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36DF" w14:textId="77777777" w:rsidR="00E65B3E" w:rsidRDefault="00E65B3E" w:rsidP="00E65B3E">
      <w:pPr>
        <w:shd w:val="clear" w:color="auto" w:fill="FFFFFF"/>
        <w:spacing w:line="0" w:lineRule="atLeast"/>
        <w:rPr>
          <w:b/>
          <w:color w:val="222222"/>
          <w:sz w:val="24"/>
          <w:szCs w:val="24"/>
        </w:rPr>
      </w:pPr>
    </w:p>
    <w:p w14:paraId="12CBE8C6" w14:textId="77777777" w:rsidR="00E65B3E" w:rsidRDefault="00E65B3E" w:rsidP="00E65B3E">
      <w:pPr>
        <w:shd w:val="clear" w:color="auto" w:fill="FFFFFF"/>
        <w:spacing w:line="0" w:lineRule="atLeast"/>
        <w:rPr>
          <w:b/>
          <w:color w:val="222222"/>
          <w:sz w:val="24"/>
          <w:szCs w:val="24"/>
        </w:rPr>
      </w:pPr>
    </w:p>
    <w:p w14:paraId="33ADACA7" w14:textId="40B6C72F" w:rsidR="00E65B3E" w:rsidRPr="00E65B3E" w:rsidRDefault="00E65B3E" w:rsidP="00E65B3E">
      <w:pPr>
        <w:shd w:val="clear" w:color="auto" w:fill="FFFFFF"/>
        <w:spacing w:line="240" w:lineRule="auto"/>
        <w:rPr>
          <w:b/>
          <w:color w:val="222222"/>
          <w:sz w:val="24"/>
          <w:szCs w:val="24"/>
        </w:rPr>
      </w:pPr>
      <w:r w:rsidRPr="00E65B3E">
        <w:rPr>
          <w:b/>
          <w:color w:val="222222"/>
          <w:sz w:val="24"/>
          <w:szCs w:val="24"/>
        </w:rPr>
        <w:t>FIH Mobile et Stellantis créent une co-entreprise pour fournir des solutions innovantes de cockpit</w:t>
      </w:r>
      <w:r w:rsidR="00F06416">
        <w:rPr>
          <w:b/>
          <w:color w:val="222222"/>
          <w:sz w:val="24"/>
          <w:szCs w:val="24"/>
        </w:rPr>
        <w:t>s</w:t>
      </w:r>
      <w:r w:rsidRPr="00E65B3E">
        <w:rPr>
          <w:b/>
          <w:color w:val="222222"/>
          <w:sz w:val="24"/>
          <w:szCs w:val="24"/>
        </w:rPr>
        <w:t xml:space="preserve"> intelligent</w:t>
      </w:r>
      <w:r w:rsidR="00F06416">
        <w:rPr>
          <w:b/>
          <w:color w:val="222222"/>
          <w:sz w:val="24"/>
          <w:szCs w:val="24"/>
        </w:rPr>
        <w:t>s</w:t>
      </w:r>
      <w:r w:rsidR="009B4C26">
        <w:rPr>
          <w:b/>
          <w:color w:val="222222"/>
          <w:sz w:val="24"/>
          <w:szCs w:val="24"/>
        </w:rPr>
        <w:t xml:space="preserve"> </w:t>
      </w:r>
      <w:r w:rsidRPr="00E65B3E">
        <w:rPr>
          <w:b/>
          <w:color w:val="222222"/>
          <w:sz w:val="24"/>
          <w:szCs w:val="24"/>
        </w:rPr>
        <w:t>à l</w:t>
      </w:r>
      <w:r w:rsidR="003806A2">
        <w:rPr>
          <w:b/>
          <w:color w:val="222222"/>
          <w:sz w:val="24"/>
          <w:szCs w:val="24"/>
        </w:rPr>
        <w:t>’</w:t>
      </w:r>
      <w:r w:rsidRPr="00E65B3E">
        <w:rPr>
          <w:b/>
          <w:color w:val="222222"/>
          <w:sz w:val="24"/>
          <w:szCs w:val="24"/>
        </w:rPr>
        <w:t>industrie automobile</w:t>
      </w:r>
    </w:p>
    <w:p w14:paraId="28C54967" w14:textId="77777777" w:rsidR="00E65B3E" w:rsidRPr="00E65B3E" w:rsidRDefault="00E65B3E" w:rsidP="00E65B3E">
      <w:pPr>
        <w:shd w:val="clear" w:color="auto" w:fill="FFFFFF"/>
        <w:spacing w:line="240" w:lineRule="auto"/>
        <w:jc w:val="center"/>
        <w:rPr>
          <w:rFonts w:eastAsia="Microsoft JhengHei Light"/>
          <w:b/>
          <w:color w:val="222222"/>
        </w:rPr>
      </w:pPr>
    </w:p>
    <w:p w14:paraId="339DB9E1" w14:textId="77777777" w:rsidR="00E65B3E" w:rsidRPr="00E65B3E" w:rsidRDefault="00E65B3E" w:rsidP="00E65B3E">
      <w:pPr>
        <w:numPr>
          <w:ilvl w:val="0"/>
          <w:numId w:val="2"/>
        </w:numPr>
        <w:pBdr>
          <w:top w:val="nil"/>
          <w:left w:val="nil"/>
          <w:bottom w:val="nil"/>
          <w:right w:val="nil"/>
          <w:between w:val="nil"/>
        </w:pBdr>
        <w:shd w:val="clear" w:color="auto" w:fill="FFFFFF"/>
        <w:spacing w:line="240" w:lineRule="auto"/>
        <w:jc w:val="both"/>
        <w:rPr>
          <w:rFonts w:eastAsia="Microsoft JhengHei Light"/>
          <w:color w:val="222222"/>
        </w:rPr>
      </w:pPr>
      <w:r w:rsidRPr="00E65B3E">
        <w:rPr>
          <w:color w:val="222222"/>
        </w:rPr>
        <w:t xml:space="preserve">Mobile Drive sera détenue à parts égales par </w:t>
      </w:r>
      <w:proofErr w:type="spellStart"/>
      <w:r w:rsidRPr="00E65B3E">
        <w:rPr>
          <w:color w:val="222222"/>
        </w:rPr>
        <w:t>Stellantis</w:t>
      </w:r>
      <w:proofErr w:type="spellEnd"/>
      <w:r w:rsidRPr="00E65B3E">
        <w:rPr>
          <w:color w:val="222222"/>
        </w:rPr>
        <w:t xml:space="preserve"> et </w:t>
      </w:r>
      <w:proofErr w:type="spellStart"/>
      <w:r w:rsidRPr="00E65B3E">
        <w:rPr>
          <w:color w:val="222222"/>
        </w:rPr>
        <w:t>Foxconn</w:t>
      </w:r>
      <w:proofErr w:type="spellEnd"/>
      <w:r w:rsidRPr="00E65B3E">
        <w:rPr>
          <w:color w:val="222222"/>
        </w:rPr>
        <w:t xml:space="preserve"> </w:t>
      </w:r>
      <w:proofErr w:type="spellStart"/>
      <w:r w:rsidRPr="00E65B3E">
        <w:rPr>
          <w:color w:val="222222"/>
        </w:rPr>
        <w:t>Technology</w:t>
      </w:r>
      <w:proofErr w:type="spellEnd"/>
      <w:r w:rsidRPr="00E65B3E">
        <w:rPr>
          <w:color w:val="222222"/>
        </w:rPr>
        <w:t xml:space="preserve"> Group.</w:t>
      </w:r>
    </w:p>
    <w:p w14:paraId="44F0AED3" w14:textId="1DD19FA4" w:rsidR="00E65B3E" w:rsidRPr="00E65B3E" w:rsidRDefault="00E65B3E" w:rsidP="00E65B3E">
      <w:pPr>
        <w:numPr>
          <w:ilvl w:val="0"/>
          <w:numId w:val="2"/>
        </w:numPr>
        <w:pBdr>
          <w:top w:val="nil"/>
          <w:left w:val="nil"/>
          <w:bottom w:val="nil"/>
          <w:right w:val="nil"/>
          <w:between w:val="nil"/>
        </w:pBdr>
        <w:shd w:val="clear" w:color="auto" w:fill="FFFFFF"/>
        <w:spacing w:line="240" w:lineRule="auto"/>
        <w:jc w:val="both"/>
        <w:rPr>
          <w:rFonts w:eastAsia="Microsoft JhengHei Light"/>
          <w:color w:val="222222"/>
        </w:rPr>
      </w:pPr>
      <w:proofErr w:type="spellStart"/>
      <w:r w:rsidRPr="00E65B3E">
        <w:rPr>
          <w:rFonts w:eastAsia="Microsoft JhengHei Light"/>
          <w:color w:val="222222"/>
        </w:rPr>
        <w:t>Stellantis</w:t>
      </w:r>
      <w:proofErr w:type="spellEnd"/>
      <w:r w:rsidRPr="00E65B3E">
        <w:rPr>
          <w:rFonts w:eastAsia="Microsoft JhengHei Light"/>
          <w:color w:val="222222"/>
        </w:rPr>
        <w:t xml:space="preserve"> accélère l</w:t>
      </w:r>
      <w:r w:rsidR="003806A2">
        <w:rPr>
          <w:rFonts w:eastAsia="Microsoft JhengHei Light"/>
          <w:color w:val="222222"/>
        </w:rPr>
        <w:t>’</w:t>
      </w:r>
      <w:r w:rsidRPr="00E65B3E">
        <w:rPr>
          <w:rFonts w:eastAsia="Microsoft JhengHei Light"/>
          <w:color w:val="222222"/>
        </w:rPr>
        <w:t>exécution de sa feuille de route technologique grâce à ce partenariat innovant.</w:t>
      </w:r>
    </w:p>
    <w:p w14:paraId="606FB66F" w14:textId="7BB608D7" w:rsidR="00E65B3E" w:rsidRPr="00E65B3E" w:rsidRDefault="00E65B3E" w:rsidP="00E65B3E">
      <w:pPr>
        <w:numPr>
          <w:ilvl w:val="0"/>
          <w:numId w:val="2"/>
        </w:numPr>
        <w:pBdr>
          <w:top w:val="nil"/>
          <w:left w:val="nil"/>
          <w:bottom w:val="nil"/>
          <w:right w:val="nil"/>
          <w:between w:val="nil"/>
        </w:pBdr>
        <w:shd w:val="clear" w:color="auto" w:fill="FFFFFF"/>
        <w:spacing w:line="240" w:lineRule="auto"/>
        <w:jc w:val="both"/>
        <w:rPr>
          <w:rFonts w:eastAsia="Microsoft JhengHei Light"/>
          <w:color w:val="222222"/>
        </w:rPr>
      </w:pPr>
      <w:r w:rsidRPr="00E65B3E">
        <w:rPr>
          <w:color w:val="222222"/>
        </w:rPr>
        <w:t>L</w:t>
      </w:r>
      <w:r w:rsidR="003806A2">
        <w:rPr>
          <w:color w:val="222222"/>
        </w:rPr>
        <w:t>’</w:t>
      </w:r>
      <w:r w:rsidRPr="00E65B3E">
        <w:rPr>
          <w:color w:val="222222"/>
        </w:rPr>
        <w:t>expertise technologique, l</w:t>
      </w:r>
      <w:r w:rsidR="003806A2">
        <w:rPr>
          <w:color w:val="222222"/>
        </w:rPr>
        <w:t>’</w:t>
      </w:r>
      <w:r w:rsidRPr="00E65B3E">
        <w:rPr>
          <w:color w:val="222222"/>
        </w:rPr>
        <w:t xml:space="preserve">expérience du marché et la propriété intellectuelle </w:t>
      </w:r>
      <w:r w:rsidR="00983274">
        <w:rPr>
          <w:color w:val="222222"/>
        </w:rPr>
        <w:t xml:space="preserve">apportées par </w:t>
      </w:r>
      <w:r w:rsidR="00891E2C">
        <w:rPr>
          <w:color w:val="222222"/>
        </w:rPr>
        <w:t>chacun</w:t>
      </w:r>
      <w:r w:rsidR="00F06416">
        <w:rPr>
          <w:color w:val="222222"/>
        </w:rPr>
        <w:t>e</w:t>
      </w:r>
      <w:r w:rsidR="00891E2C">
        <w:rPr>
          <w:color w:val="222222"/>
        </w:rPr>
        <w:t xml:space="preserve"> des </w:t>
      </w:r>
      <w:r w:rsidRPr="00E65B3E">
        <w:rPr>
          <w:color w:val="222222"/>
        </w:rPr>
        <w:t xml:space="preserve">deux entités permettront de créer une </w:t>
      </w:r>
      <w:r w:rsidR="00983274">
        <w:rPr>
          <w:color w:val="222222"/>
        </w:rPr>
        <w:t>expérience utilisateur au meilleur niveau</w:t>
      </w:r>
      <w:r w:rsidRPr="00E65B3E">
        <w:rPr>
          <w:color w:val="222222"/>
        </w:rPr>
        <w:t>.</w:t>
      </w:r>
    </w:p>
    <w:p w14:paraId="38B69BBD" w14:textId="3F0E2954" w:rsidR="00E65B3E" w:rsidRPr="00E65B3E" w:rsidRDefault="00E65B3E" w:rsidP="00E65B3E">
      <w:pPr>
        <w:numPr>
          <w:ilvl w:val="0"/>
          <w:numId w:val="2"/>
        </w:numPr>
        <w:pBdr>
          <w:top w:val="nil"/>
          <w:left w:val="nil"/>
          <w:bottom w:val="nil"/>
          <w:right w:val="nil"/>
          <w:between w:val="nil"/>
        </w:pBdr>
        <w:shd w:val="clear" w:color="auto" w:fill="FFFFFF"/>
        <w:spacing w:line="240" w:lineRule="auto"/>
        <w:jc w:val="both"/>
        <w:rPr>
          <w:rFonts w:eastAsia="Microsoft JhengHei Light"/>
          <w:color w:val="222222"/>
        </w:rPr>
      </w:pPr>
      <w:r w:rsidRPr="00E65B3E">
        <w:rPr>
          <w:color w:val="222222"/>
        </w:rPr>
        <w:t>Le</w:t>
      </w:r>
      <w:r w:rsidR="00983274">
        <w:rPr>
          <w:color w:val="222222"/>
        </w:rPr>
        <w:t>s</w:t>
      </w:r>
      <w:r w:rsidRPr="00E65B3E">
        <w:rPr>
          <w:color w:val="222222"/>
        </w:rPr>
        <w:t xml:space="preserve"> développement</w:t>
      </w:r>
      <w:r w:rsidR="00983274">
        <w:rPr>
          <w:color w:val="222222"/>
        </w:rPr>
        <w:t>s</w:t>
      </w:r>
      <w:r w:rsidRPr="00E65B3E">
        <w:rPr>
          <w:color w:val="222222"/>
        </w:rPr>
        <w:t xml:space="preserve"> de produits et </w:t>
      </w:r>
      <w:r w:rsidR="00983274">
        <w:rPr>
          <w:color w:val="222222"/>
        </w:rPr>
        <w:t xml:space="preserve">de </w:t>
      </w:r>
      <w:r w:rsidRPr="00E65B3E">
        <w:rPr>
          <w:color w:val="222222"/>
        </w:rPr>
        <w:t>technologies seront accéléré</w:t>
      </w:r>
      <w:r w:rsidR="0051235D">
        <w:rPr>
          <w:color w:val="222222"/>
        </w:rPr>
        <w:t>s</w:t>
      </w:r>
      <w:r w:rsidRPr="00E65B3E">
        <w:rPr>
          <w:color w:val="222222"/>
        </w:rPr>
        <w:t xml:space="preserve"> grâce à l</w:t>
      </w:r>
      <w:r w:rsidR="003806A2">
        <w:rPr>
          <w:color w:val="222222"/>
        </w:rPr>
        <w:t>’</w:t>
      </w:r>
      <w:r w:rsidRPr="00E65B3E">
        <w:rPr>
          <w:color w:val="222222"/>
        </w:rPr>
        <w:t>intégration des chaînes d</w:t>
      </w:r>
      <w:r w:rsidR="003806A2">
        <w:rPr>
          <w:color w:val="222222"/>
        </w:rPr>
        <w:t>’</w:t>
      </w:r>
      <w:r w:rsidRPr="00E65B3E">
        <w:rPr>
          <w:color w:val="222222"/>
        </w:rPr>
        <w:t>approvisionnement mondiales.</w:t>
      </w:r>
    </w:p>
    <w:p w14:paraId="50816C37" w14:textId="45B4C8BE" w:rsidR="00E65B3E" w:rsidRPr="00E65B3E" w:rsidRDefault="00E65B3E" w:rsidP="00E65B3E">
      <w:pPr>
        <w:numPr>
          <w:ilvl w:val="0"/>
          <w:numId w:val="2"/>
        </w:numPr>
        <w:pBdr>
          <w:top w:val="nil"/>
          <w:left w:val="nil"/>
          <w:bottom w:val="nil"/>
          <w:right w:val="nil"/>
          <w:between w:val="nil"/>
        </w:pBdr>
        <w:shd w:val="clear" w:color="auto" w:fill="FFFFFF"/>
        <w:spacing w:line="240" w:lineRule="auto"/>
        <w:jc w:val="both"/>
        <w:rPr>
          <w:rFonts w:eastAsia="Microsoft JhengHei Light"/>
          <w:color w:val="222222"/>
        </w:rPr>
      </w:pPr>
      <w:r w:rsidRPr="00E65B3E">
        <w:rPr>
          <w:color w:val="222222"/>
        </w:rPr>
        <w:t>L</w:t>
      </w:r>
      <w:r w:rsidR="003806A2">
        <w:rPr>
          <w:color w:val="222222"/>
        </w:rPr>
        <w:t>’</w:t>
      </w:r>
      <w:r w:rsidRPr="00E65B3E">
        <w:rPr>
          <w:color w:val="222222"/>
        </w:rPr>
        <w:t xml:space="preserve">équipe de direction </w:t>
      </w:r>
      <w:r w:rsidR="00262A33">
        <w:rPr>
          <w:color w:val="222222"/>
        </w:rPr>
        <w:t xml:space="preserve">de </w:t>
      </w:r>
      <w:r w:rsidRPr="00E65B3E">
        <w:rPr>
          <w:color w:val="222222"/>
        </w:rPr>
        <w:t xml:space="preserve">Mobile Drive sera composée de </w:t>
      </w:r>
      <w:r w:rsidR="009B4C26">
        <w:rPr>
          <w:color w:val="222222"/>
        </w:rPr>
        <w:t xml:space="preserve">dirigeants </w:t>
      </w:r>
      <w:r w:rsidRPr="00E65B3E">
        <w:rPr>
          <w:color w:val="222222"/>
        </w:rPr>
        <w:t xml:space="preserve">de chaque société. </w:t>
      </w:r>
    </w:p>
    <w:p w14:paraId="1021498F" w14:textId="77777777" w:rsidR="00E65B3E" w:rsidRPr="00E65B3E" w:rsidRDefault="00E65B3E" w:rsidP="00E65B3E">
      <w:pPr>
        <w:shd w:val="clear" w:color="auto" w:fill="FFFFFF"/>
        <w:spacing w:line="240" w:lineRule="auto"/>
        <w:jc w:val="both"/>
        <w:rPr>
          <w:color w:val="222222"/>
        </w:rPr>
      </w:pPr>
    </w:p>
    <w:p w14:paraId="680FA2AD" w14:textId="6EB1F752" w:rsidR="00E65B3E" w:rsidRDefault="003326FF" w:rsidP="00E65B3E">
      <w:pPr>
        <w:shd w:val="clear" w:color="auto" w:fill="FFFFFF"/>
        <w:spacing w:line="240" w:lineRule="auto"/>
        <w:jc w:val="both"/>
        <w:rPr>
          <w:color w:val="222222"/>
        </w:rPr>
      </w:pPr>
      <w:r>
        <w:rPr>
          <w:color w:val="222222"/>
        </w:rPr>
        <w:t xml:space="preserve">AMSTERDAM, TAIPEI, </w:t>
      </w:r>
      <w:r w:rsidR="00DF271E">
        <w:rPr>
          <w:color w:val="222222"/>
        </w:rPr>
        <w:t xml:space="preserve">le </w:t>
      </w:r>
      <w:r>
        <w:rPr>
          <w:color w:val="222222"/>
        </w:rPr>
        <w:t>24</w:t>
      </w:r>
      <w:r w:rsidR="00E65B3E" w:rsidRPr="00E65B3E">
        <w:rPr>
          <w:color w:val="222222"/>
        </w:rPr>
        <w:t xml:space="preserve"> août 2021 - Hon Hai </w:t>
      </w:r>
      <w:proofErr w:type="spellStart"/>
      <w:r w:rsidR="00E65B3E" w:rsidRPr="00E65B3E">
        <w:rPr>
          <w:color w:val="222222"/>
        </w:rPr>
        <w:t>Precision</w:t>
      </w:r>
      <w:proofErr w:type="spellEnd"/>
      <w:r w:rsidR="00E65B3E" w:rsidRPr="00E65B3E">
        <w:rPr>
          <w:color w:val="222222"/>
        </w:rPr>
        <w:t xml:space="preserve"> </w:t>
      </w:r>
      <w:proofErr w:type="spellStart"/>
      <w:r w:rsidR="00E65B3E" w:rsidRPr="00E65B3E">
        <w:rPr>
          <w:color w:val="222222"/>
        </w:rPr>
        <w:t>Industry</w:t>
      </w:r>
      <w:proofErr w:type="spellEnd"/>
      <w:r w:rsidR="00E65B3E" w:rsidRPr="00E65B3E">
        <w:rPr>
          <w:color w:val="222222"/>
        </w:rPr>
        <w:t xml:space="preserve"> Co., Ltd, (« </w:t>
      </w:r>
      <w:proofErr w:type="spellStart"/>
      <w:r w:rsidR="00E65B3E" w:rsidRPr="00E65B3E">
        <w:rPr>
          <w:color w:val="222222"/>
        </w:rPr>
        <w:t>Foxconn</w:t>
      </w:r>
      <w:proofErr w:type="spellEnd"/>
      <w:r w:rsidR="00E65B3E" w:rsidRPr="00E65B3E">
        <w:rPr>
          <w:color w:val="222222"/>
        </w:rPr>
        <w:t> ») (TPE : 2317), ainsi que sa filiale FIH Mobile Ltd. (« FIH ») (</w:t>
      </w:r>
      <w:proofErr w:type="gramStart"/>
      <w:r w:rsidR="00E65B3E" w:rsidRPr="00E65B3E">
        <w:rPr>
          <w:color w:val="222222"/>
        </w:rPr>
        <w:t>HKG:</w:t>
      </w:r>
      <w:proofErr w:type="gramEnd"/>
      <w:r w:rsidR="00E65B3E" w:rsidRPr="00E65B3E">
        <w:rPr>
          <w:color w:val="222222"/>
        </w:rPr>
        <w:t>2038), et Stellantis N.V. (NYSE / MTA / Euronext Paris : STLA) (« Stellantis ») ont annoncé aujourd</w:t>
      </w:r>
      <w:r w:rsidR="003806A2">
        <w:rPr>
          <w:color w:val="222222"/>
        </w:rPr>
        <w:t>’</w:t>
      </w:r>
      <w:r w:rsidR="00E65B3E" w:rsidRPr="00E65B3E">
        <w:rPr>
          <w:color w:val="222222"/>
        </w:rPr>
        <w:t>hui avoir conclu l</w:t>
      </w:r>
      <w:r w:rsidR="00891E2C">
        <w:rPr>
          <w:color w:val="222222"/>
        </w:rPr>
        <w:t>eur</w:t>
      </w:r>
      <w:r w:rsidR="0051235D">
        <w:rPr>
          <w:color w:val="222222"/>
        </w:rPr>
        <w:t xml:space="preserve"> </w:t>
      </w:r>
      <w:r w:rsidR="00E65B3E" w:rsidRPr="00E65B3E">
        <w:rPr>
          <w:color w:val="222222"/>
        </w:rPr>
        <w:t>accord de co-entreprise. Mobile Drive</w:t>
      </w:r>
      <w:r w:rsidR="00891E2C">
        <w:rPr>
          <w:color w:val="222222"/>
        </w:rPr>
        <w:t>, la nouvelle entité</w:t>
      </w:r>
      <w:r w:rsidR="00E65B3E" w:rsidRPr="00E65B3E">
        <w:rPr>
          <w:color w:val="222222"/>
        </w:rPr>
        <w:t xml:space="preserve"> </w:t>
      </w:r>
      <w:r w:rsidR="00891E2C">
        <w:rPr>
          <w:color w:val="222222"/>
        </w:rPr>
        <w:t xml:space="preserve">commune, </w:t>
      </w:r>
      <w:r w:rsidR="00E65B3E" w:rsidRPr="00E65B3E">
        <w:rPr>
          <w:color w:val="222222"/>
        </w:rPr>
        <w:t>se concentrera sur la création de cockpit</w:t>
      </w:r>
      <w:r w:rsidR="0051235D">
        <w:rPr>
          <w:color w:val="222222"/>
        </w:rPr>
        <w:t>s</w:t>
      </w:r>
      <w:r w:rsidR="00E65B3E" w:rsidRPr="00E65B3E">
        <w:rPr>
          <w:color w:val="222222"/>
        </w:rPr>
        <w:t xml:space="preserve"> intelligent</w:t>
      </w:r>
      <w:r w:rsidR="0051235D">
        <w:rPr>
          <w:color w:val="222222"/>
        </w:rPr>
        <w:t>s</w:t>
      </w:r>
      <w:r w:rsidR="00E65B3E" w:rsidRPr="00E65B3E">
        <w:rPr>
          <w:color w:val="222222"/>
        </w:rPr>
        <w:t xml:space="preserve"> pour véhicules</w:t>
      </w:r>
      <w:r w:rsidR="00891E2C">
        <w:rPr>
          <w:color w:val="222222"/>
        </w:rPr>
        <w:t>, en rupture avec</w:t>
      </w:r>
      <w:r w:rsidR="00E65B3E" w:rsidRPr="00E65B3E">
        <w:rPr>
          <w:color w:val="222222"/>
        </w:rPr>
        <w:t xml:space="preserve"> les </w:t>
      </w:r>
      <w:r w:rsidR="00891E2C">
        <w:rPr>
          <w:color w:val="222222"/>
        </w:rPr>
        <w:t xml:space="preserve">modes </w:t>
      </w:r>
      <w:r w:rsidR="00E65B3E" w:rsidRPr="00E65B3E">
        <w:rPr>
          <w:color w:val="222222"/>
        </w:rPr>
        <w:t>de conception actuel</w:t>
      </w:r>
      <w:r w:rsidR="00891E2C">
        <w:rPr>
          <w:color w:val="222222"/>
        </w:rPr>
        <w:t>s</w:t>
      </w:r>
      <w:r w:rsidR="00893188">
        <w:rPr>
          <w:color w:val="222222"/>
        </w:rPr>
        <w:t>, ce qui</w:t>
      </w:r>
      <w:r w:rsidR="00DF271E">
        <w:rPr>
          <w:color w:val="222222"/>
        </w:rPr>
        <w:t xml:space="preserve"> </w:t>
      </w:r>
      <w:r w:rsidR="00E65B3E" w:rsidRPr="00E65B3E">
        <w:rPr>
          <w:color w:val="222222"/>
        </w:rPr>
        <w:t>favorise</w:t>
      </w:r>
      <w:r w:rsidR="00DF271E">
        <w:rPr>
          <w:color w:val="222222"/>
        </w:rPr>
        <w:t>ra</w:t>
      </w:r>
      <w:r w:rsidR="00E65B3E" w:rsidRPr="00E65B3E">
        <w:rPr>
          <w:color w:val="222222"/>
        </w:rPr>
        <w:t xml:space="preserve"> le développement de véhicules connectés intelligents. Cette annonce intervient après la signature initiale d</w:t>
      </w:r>
      <w:r w:rsidR="003806A2">
        <w:rPr>
          <w:color w:val="222222"/>
        </w:rPr>
        <w:t>’</w:t>
      </w:r>
      <w:r w:rsidR="00E65B3E" w:rsidRPr="00E65B3E">
        <w:rPr>
          <w:color w:val="222222"/>
        </w:rPr>
        <w:t xml:space="preserve">un protocole </w:t>
      </w:r>
      <w:r w:rsidR="00983274">
        <w:rPr>
          <w:color w:val="222222"/>
        </w:rPr>
        <w:t>d</w:t>
      </w:r>
      <w:r w:rsidR="003806A2">
        <w:rPr>
          <w:color w:val="222222"/>
        </w:rPr>
        <w:t>’</w:t>
      </w:r>
      <w:r w:rsidR="00983274">
        <w:rPr>
          <w:color w:val="222222"/>
        </w:rPr>
        <w:t>accord</w:t>
      </w:r>
      <w:r w:rsidR="00983274" w:rsidRPr="00E65B3E">
        <w:rPr>
          <w:color w:val="222222"/>
        </w:rPr>
        <w:t xml:space="preserve"> </w:t>
      </w:r>
      <w:r w:rsidR="00E65B3E" w:rsidRPr="00E65B3E">
        <w:rPr>
          <w:color w:val="222222"/>
        </w:rPr>
        <w:t>(MOU) le 18 mai 2021.</w:t>
      </w:r>
    </w:p>
    <w:p w14:paraId="3AE0BBBD" w14:textId="77777777" w:rsidR="00E65B3E" w:rsidRPr="00E65B3E" w:rsidRDefault="00E65B3E" w:rsidP="00E65B3E">
      <w:pPr>
        <w:shd w:val="clear" w:color="auto" w:fill="FFFFFF"/>
        <w:spacing w:line="240" w:lineRule="auto"/>
        <w:jc w:val="both"/>
        <w:rPr>
          <w:rFonts w:eastAsia="Microsoft JhengHei Light"/>
          <w:color w:val="222222"/>
        </w:rPr>
      </w:pPr>
    </w:p>
    <w:p w14:paraId="5A8F02EC" w14:textId="72306B5E" w:rsidR="00E65B3E" w:rsidRDefault="00E65B3E" w:rsidP="00E65B3E">
      <w:pPr>
        <w:shd w:val="clear" w:color="auto" w:fill="FFFFFF"/>
        <w:spacing w:line="240" w:lineRule="auto"/>
        <w:jc w:val="both"/>
        <w:rPr>
          <w:color w:val="222222"/>
        </w:rPr>
      </w:pPr>
      <w:r w:rsidRPr="00E65B3E">
        <w:rPr>
          <w:color w:val="222222"/>
        </w:rPr>
        <w:t xml:space="preserve">Mobile Drive sera détenue à parts égales par Stellantis et FIH. Le partenariat </w:t>
      </w:r>
      <w:r w:rsidR="00F06416">
        <w:rPr>
          <w:color w:val="222222"/>
        </w:rPr>
        <w:t>combin</w:t>
      </w:r>
      <w:r w:rsidR="00891E2C">
        <w:rPr>
          <w:color w:val="222222"/>
        </w:rPr>
        <w:t>e</w:t>
      </w:r>
      <w:r w:rsidRPr="00E65B3E">
        <w:rPr>
          <w:color w:val="222222"/>
        </w:rPr>
        <w:t xml:space="preserve"> les capacités de </w:t>
      </w:r>
      <w:proofErr w:type="spellStart"/>
      <w:r w:rsidRPr="00E65B3E">
        <w:rPr>
          <w:color w:val="222222"/>
        </w:rPr>
        <w:t>Foxconn</w:t>
      </w:r>
      <w:proofErr w:type="spellEnd"/>
      <w:r w:rsidRPr="00E65B3E">
        <w:rPr>
          <w:color w:val="222222"/>
        </w:rPr>
        <w:t xml:space="preserve"> dans l</w:t>
      </w:r>
      <w:r w:rsidR="003806A2">
        <w:rPr>
          <w:color w:val="222222"/>
        </w:rPr>
        <w:t>’</w:t>
      </w:r>
      <w:r w:rsidRPr="00E65B3E">
        <w:rPr>
          <w:color w:val="222222"/>
        </w:rPr>
        <w:t>industrie de</w:t>
      </w:r>
      <w:r w:rsidR="00F06416">
        <w:rPr>
          <w:color w:val="222222"/>
        </w:rPr>
        <w:t xml:space="preserve"> l</w:t>
      </w:r>
      <w:r w:rsidR="003806A2">
        <w:rPr>
          <w:color w:val="222222"/>
        </w:rPr>
        <w:t>’</w:t>
      </w:r>
      <w:r w:rsidR="00F06416">
        <w:rPr>
          <w:color w:val="222222"/>
        </w:rPr>
        <w:t>ICT</w:t>
      </w:r>
      <w:r w:rsidR="0051235D">
        <w:rPr>
          <w:color w:val="222222"/>
        </w:rPr>
        <w:t xml:space="preserve"> (</w:t>
      </w:r>
      <w:r w:rsidR="003806A2">
        <w:rPr>
          <w:color w:val="222222"/>
        </w:rPr>
        <w:t>‘</w:t>
      </w:r>
      <w:r w:rsidR="0051235D" w:rsidRPr="000B3F1C">
        <w:rPr>
          <w:color w:val="222222"/>
        </w:rPr>
        <w:t xml:space="preserve">Information and Communication </w:t>
      </w:r>
      <w:proofErr w:type="spellStart"/>
      <w:r w:rsidR="0051235D" w:rsidRPr="000B3F1C">
        <w:rPr>
          <w:color w:val="222222"/>
        </w:rPr>
        <w:t>Technology</w:t>
      </w:r>
      <w:proofErr w:type="spellEnd"/>
      <w:r w:rsidR="003806A2">
        <w:rPr>
          <w:color w:val="222222"/>
        </w:rPr>
        <w:t>’</w:t>
      </w:r>
      <w:r w:rsidR="0051235D" w:rsidRPr="000B3F1C">
        <w:rPr>
          <w:color w:val="222222"/>
        </w:rPr>
        <w:t>)</w:t>
      </w:r>
      <w:r w:rsidR="00F06416">
        <w:rPr>
          <w:color w:val="222222"/>
        </w:rPr>
        <w:t xml:space="preserve"> </w:t>
      </w:r>
      <w:r w:rsidRPr="00E65B3E">
        <w:rPr>
          <w:color w:val="222222"/>
        </w:rPr>
        <w:t xml:space="preserve">et </w:t>
      </w:r>
      <w:r w:rsidR="00891E2C">
        <w:rPr>
          <w:color w:val="222222"/>
        </w:rPr>
        <w:t>d</w:t>
      </w:r>
      <w:r w:rsidRPr="00E65B3E">
        <w:rPr>
          <w:color w:val="222222"/>
        </w:rPr>
        <w:t>es solutions intelligentes, avec l</w:t>
      </w:r>
      <w:r w:rsidR="003806A2">
        <w:rPr>
          <w:color w:val="222222"/>
        </w:rPr>
        <w:t>’</w:t>
      </w:r>
      <w:r w:rsidRPr="00E65B3E">
        <w:rPr>
          <w:color w:val="222222"/>
        </w:rPr>
        <w:t xml:space="preserve">expertise de </w:t>
      </w:r>
      <w:proofErr w:type="spellStart"/>
      <w:r w:rsidRPr="00E65B3E">
        <w:rPr>
          <w:color w:val="222222"/>
        </w:rPr>
        <w:t>Stellan</w:t>
      </w:r>
      <w:r w:rsidR="002C35C4">
        <w:rPr>
          <w:color w:val="222222"/>
        </w:rPr>
        <w:t>tis</w:t>
      </w:r>
      <w:proofErr w:type="spellEnd"/>
      <w:r w:rsidR="002C35C4">
        <w:rPr>
          <w:color w:val="222222"/>
        </w:rPr>
        <w:t xml:space="preserve"> dans le secteur automobile, </w:t>
      </w:r>
      <w:r w:rsidR="00CE36B9">
        <w:rPr>
          <w:color w:val="222222"/>
        </w:rPr>
        <w:t>assur</w:t>
      </w:r>
      <w:r w:rsidR="000B3F1C">
        <w:rPr>
          <w:color w:val="222222"/>
        </w:rPr>
        <w:t>a</w:t>
      </w:r>
      <w:r w:rsidR="00CE36B9">
        <w:rPr>
          <w:color w:val="222222"/>
        </w:rPr>
        <w:t>nt ainsi</w:t>
      </w:r>
      <w:r w:rsidR="000B3F1C">
        <w:rPr>
          <w:color w:val="222222"/>
        </w:rPr>
        <w:t xml:space="preserve"> </w:t>
      </w:r>
      <w:r w:rsidRPr="00E65B3E">
        <w:rPr>
          <w:color w:val="222222"/>
        </w:rPr>
        <w:t>la croissance</w:t>
      </w:r>
      <w:r w:rsidR="00983274">
        <w:rPr>
          <w:color w:val="222222"/>
        </w:rPr>
        <w:t xml:space="preserve"> </w:t>
      </w:r>
      <w:r w:rsidRPr="00E65B3E">
        <w:rPr>
          <w:color w:val="222222"/>
        </w:rPr>
        <w:t xml:space="preserve">de Mobile Drive. </w:t>
      </w:r>
    </w:p>
    <w:p w14:paraId="3B6FF997" w14:textId="77777777" w:rsidR="00E65B3E" w:rsidRPr="00E65B3E" w:rsidRDefault="00E65B3E" w:rsidP="00E65B3E">
      <w:pPr>
        <w:shd w:val="clear" w:color="auto" w:fill="FFFFFF"/>
        <w:spacing w:line="240" w:lineRule="auto"/>
        <w:jc w:val="both"/>
        <w:rPr>
          <w:rFonts w:eastAsia="Microsoft JhengHei Light"/>
          <w:color w:val="222222"/>
        </w:rPr>
      </w:pPr>
      <w:r w:rsidRPr="00E65B3E">
        <w:rPr>
          <w:color w:val="222222"/>
        </w:rPr>
        <w:t xml:space="preserve"> </w:t>
      </w:r>
    </w:p>
    <w:p w14:paraId="7E977B3E" w14:textId="6CF158C6" w:rsidR="0051235D" w:rsidRDefault="00E65B3E" w:rsidP="00E65B3E">
      <w:pPr>
        <w:shd w:val="clear" w:color="auto" w:fill="FFFFFF"/>
        <w:spacing w:line="240" w:lineRule="auto"/>
        <w:jc w:val="both"/>
        <w:rPr>
          <w:color w:val="222222"/>
        </w:rPr>
      </w:pPr>
      <w:r w:rsidRPr="00E65B3E">
        <w:rPr>
          <w:color w:val="222222"/>
        </w:rPr>
        <w:t xml:space="preserve">Mobile Drive </w:t>
      </w:r>
      <w:r w:rsidR="00CE36B9">
        <w:rPr>
          <w:color w:val="222222"/>
        </w:rPr>
        <w:t>travaillera</w:t>
      </w:r>
      <w:r w:rsidRPr="00E65B3E">
        <w:rPr>
          <w:color w:val="222222"/>
        </w:rPr>
        <w:t xml:space="preserve"> sur le développement de solutions d</w:t>
      </w:r>
      <w:r w:rsidR="003806A2">
        <w:rPr>
          <w:color w:val="222222"/>
        </w:rPr>
        <w:t>’</w:t>
      </w:r>
      <w:r w:rsidRPr="00E65B3E">
        <w:rPr>
          <w:color w:val="222222"/>
        </w:rPr>
        <w:t>info-divertissement et de télématique, ainsi que sur une plateforme de services</w:t>
      </w:r>
      <w:r w:rsidR="004464A5">
        <w:rPr>
          <w:color w:val="222222"/>
        </w:rPr>
        <w:t xml:space="preserve"> de type</w:t>
      </w:r>
      <w:r w:rsidR="006B36B3">
        <w:rPr>
          <w:color w:val="222222"/>
        </w:rPr>
        <w:t xml:space="preserve"> </w:t>
      </w:r>
      <w:r w:rsidR="003806A2">
        <w:rPr>
          <w:color w:val="222222"/>
        </w:rPr>
        <w:t>‘</w:t>
      </w:r>
      <w:r w:rsidRPr="00E65B3E">
        <w:rPr>
          <w:color w:val="222222"/>
        </w:rPr>
        <w:t>cloud</w:t>
      </w:r>
      <w:r w:rsidR="003806A2">
        <w:rPr>
          <w:color w:val="222222"/>
        </w:rPr>
        <w:t>’</w:t>
      </w:r>
      <w:r w:rsidRPr="00E65B3E">
        <w:rPr>
          <w:color w:val="222222"/>
        </w:rPr>
        <w:t xml:space="preserve">, pour proposer une </w:t>
      </w:r>
      <w:r w:rsidR="00F06416">
        <w:rPr>
          <w:color w:val="222222"/>
        </w:rPr>
        <w:t xml:space="preserve">offre </w:t>
      </w:r>
      <w:r w:rsidRPr="00E65B3E">
        <w:rPr>
          <w:color w:val="222222"/>
        </w:rPr>
        <w:t>complète de cockpit</w:t>
      </w:r>
      <w:r w:rsidR="004464A5">
        <w:rPr>
          <w:color w:val="222222"/>
        </w:rPr>
        <w:t>s</w:t>
      </w:r>
      <w:r w:rsidRPr="00E65B3E">
        <w:rPr>
          <w:color w:val="222222"/>
        </w:rPr>
        <w:t xml:space="preserve"> intelligent</w:t>
      </w:r>
      <w:r w:rsidR="004464A5">
        <w:rPr>
          <w:color w:val="222222"/>
        </w:rPr>
        <w:t>s</w:t>
      </w:r>
      <w:r w:rsidRPr="00E65B3E">
        <w:rPr>
          <w:color w:val="222222"/>
        </w:rPr>
        <w:t xml:space="preserve">. Sa feuille de route </w:t>
      </w:r>
      <w:r w:rsidR="00F06416">
        <w:rPr>
          <w:color w:val="222222"/>
        </w:rPr>
        <w:t xml:space="preserve">en termes </w:t>
      </w:r>
      <w:r w:rsidRPr="00E65B3E">
        <w:rPr>
          <w:color w:val="222222"/>
        </w:rPr>
        <w:t>d</w:t>
      </w:r>
      <w:r w:rsidR="003806A2">
        <w:rPr>
          <w:color w:val="222222"/>
        </w:rPr>
        <w:t>’</w:t>
      </w:r>
      <w:r w:rsidRPr="00E65B3E">
        <w:rPr>
          <w:color w:val="222222"/>
        </w:rPr>
        <w:t>innovations logicielles comprendra, entre autres, des applications basées sur l</w:t>
      </w:r>
      <w:r w:rsidR="003806A2">
        <w:rPr>
          <w:color w:val="222222"/>
        </w:rPr>
        <w:t>’</w:t>
      </w:r>
      <w:r w:rsidRPr="00E65B3E">
        <w:rPr>
          <w:color w:val="222222"/>
        </w:rPr>
        <w:t>intelligence artificielle, la navigation, l</w:t>
      </w:r>
      <w:r w:rsidR="003806A2">
        <w:rPr>
          <w:color w:val="222222"/>
        </w:rPr>
        <w:t>’</w:t>
      </w:r>
      <w:r w:rsidRPr="00E65B3E">
        <w:rPr>
          <w:color w:val="222222"/>
        </w:rPr>
        <w:t xml:space="preserve">assistance vocale, les opérations </w:t>
      </w:r>
      <w:r w:rsidR="00F06416">
        <w:rPr>
          <w:color w:val="222222"/>
        </w:rPr>
        <w:t xml:space="preserve">de </w:t>
      </w:r>
      <w:r w:rsidR="003806A2">
        <w:rPr>
          <w:color w:val="222222"/>
        </w:rPr>
        <w:t>‘</w:t>
      </w:r>
      <w:r w:rsidRPr="00E65B3E">
        <w:rPr>
          <w:color w:val="222222"/>
        </w:rPr>
        <w:t>e-commerce</w:t>
      </w:r>
      <w:r w:rsidR="003806A2">
        <w:rPr>
          <w:color w:val="222222"/>
        </w:rPr>
        <w:t>’</w:t>
      </w:r>
      <w:r w:rsidRPr="00E65B3E">
        <w:rPr>
          <w:color w:val="222222"/>
        </w:rPr>
        <w:t xml:space="preserve"> et l</w:t>
      </w:r>
      <w:r w:rsidR="003806A2">
        <w:rPr>
          <w:color w:val="222222"/>
        </w:rPr>
        <w:t>’</w:t>
      </w:r>
      <w:r w:rsidRPr="00E65B3E">
        <w:rPr>
          <w:color w:val="222222"/>
        </w:rPr>
        <w:t xml:space="preserve">intégration des services de paiement. Les innovations </w:t>
      </w:r>
      <w:r w:rsidR="003806A2">
        <w:rPr>
          <w:color w:val="222222"/>
        </w:rPr>
        <w:t>‘</w:t>
      </w:r>
      <w:r w:rsidRPr="00E65B3E">
        <w:rPr>
          <w:color w:val="222222"/>
        </w:rPr>
        <w:t>hardware</w:t>
      </w:r>
      <w:r w:rsidR="003806A2">
        <w:rPr>
          <w:color w:val="222222"/>
        </w:rPr>
        <w:t>’</w:t>
      </w:r>
      <w:r w:rsidRPr="00E65B3E">
        <w:rPr>
          <w:color w:val="222222"/>
        </w:rPr>
        <w:t xml:space="preserve"> seront liées au cockpit intelligent et au boîtier télématique. </w:t>
      </w:r>
    </w:p>
    <w:p w14:paraId="4285F486" w14:textId="77777777" w:rsidR="0051235D" w:rsidRDefault="0051235D" w:rsidP="00E65B3E">
      <w:pPr>
        <w:shd w:val="clear" w:color="auto" w:fill="FFFFFF"/>
        <w:spacing w:line="240" w:lineRule="auto"/>
        <w:jc w:val="both"/>
        <w:rPr>
          <w:color w:val="222222"/>
        </w:rPr>
      </w:pPr>
    </w:p>
    <w:p w14:paraId="5526512B" w14:textId="78C7E96A" w:rsidR="00E65B3E" w:rsidRPr="00E65B3E" w:rsidRDefault="0051235D" w:rsidP="00E65B3E">
      <w:pPr>
        <w:shd w:val="clear" w:color="auto" w:fill="FFFFFF"/>
        <w:spacing w:line="240" w:lineRule="auto"/>
        <w:jc w:val="both"/>
        <w:rPr>
          <w:rFonts w:eastAsia="Microsoft JhengHei Light"/>
          <w:color w:val="222222"/>
        </w:rPr>
      </w:pPr>
      <w:r w:rsidRPr="00E65B3E">
        <w:rPr>
          <w:color w:val="222222"/>
        </w:rPr>
        <w:t xml:space="preserve">Grâce </w:t>
      </w:r>
      <w:r>
        <w:rPr>
          <w:color w:val="222222"/>
        </w:rPr>
        <w:t>au</w:t>
      </w:r>
      <w:r w:rsidR="00F06416">
        <w:rPr>
          <w:color w:val="222222"/>
        </w:rPr>
        <w:t xml:space="preserve"> partage</w:t>
      </w:r>
      <w:r>
        <w:rPr>
          <w:color w:val="222222"/>
        </w:rPr>
        <w:t xml:space="preserve"> </w:t>
      </w:r>
      <w:r w:rsidR="00E65B3E" w:rsidRPr="00E65B3E">
        <w:rPr>
          <w:color w:val="222222"/>
        </w:rPr>
        <w:t xml:space="preserve">de </w:t>
      </w:r>
      <w:r w:rsidR="004464A5">
        <w:rPr>
          <w:color w:val="222222"/>
        </w:rPr>
        <w:t xml:space="preserve">la </w:t>
      </w:r>
      <w:r w:rsidR="00E65B3E" w:rsidRPr="00E65B3E">
        <w:rPr>
          <w:color w:val="222222"/>
        </w:rPr>
        <w:t>propriété intellectuelle entre ses entités fondatrices et à l</w:t>
      </w:r>
      <w:r w:rsidR="003806A2">
        <w:rPr>
          <w:color w:val="222222"/>
        </w:rPr>
        <w:t>’</w:t>
      </w:r>
      <w:r w:rsidR="00E65B3E" w:rsidRPr="00E65B3E">
        <w:rPr>
          <w:color w:val="222222"/>
        </w:rPr>
        <w:t xml:space="preserve">intégration </w:t>
      </w:r>
      <w:r w:rsidR="004464A5">
        <w:rPr>
          <w:color w:val="222222"/>
        </w:rPr>
        <w:t>complémentaire</w:t>
      </w:r>
      <w:r w:rsidR="004464A5" w:rsidRPr="00E65B3E">
        <w:rPr>
          <w:color w:val="222222"/>
        </w:rPr>
        <w:t xml:space="preserve"> </w:t>
      </w:r>
      <w:r w:rsidR="00E65B3E" w:rsidRPr="00E65B3E">
        <w:rPr>
          <w:color w:val="222222"/>
        </w:rPr>
        <w:t>de leurs chaînes d</w:t>
      </w:r>
      <w:r w:rsidR="003806A2">
        <w:rPr>
          <w:color w:val="222222"/>
        </w:rPr>
        <w:t>’</w:t>
      </w:r>
      <w:r w:rsidR="00E65B3E" w:rsidRPr="00E65B3E">
        <w:rPr>
          <w:color w:val="222222"/>
        </w:rPr>
        <w:t>approvisionnement respectives, Mobile Drive sera en mesure de créer de</w:t>
      </w:r>
      <w:r w:rsidR="004464A5">
        <w:rPr>
          <w:color w:val="222222"/>
        </w:rPr>
        <w:t>s</w:t>
      </w:r>
      <w:r w:rsidR="00E65B3E" w:rsidRPr="00E65B3E">
        <w:rPr>
          <w:color w:val="222222"/>
        </w:rPr>
        <w:t xml:space="preserve"> services numériques automobiles </w:t>
      </w:r>
      <w:r w:rsidR="004464A5">
        <w:rPr>
          <w:color w:val="222222"/>
        </w:rPr>
        <w:t xml:space="preserve">de pointe </w:t>
      </w:r>
      <w:r w:rsidR="00E65B3E" w:rsidRPr="00E65B3E">
        <w:rPr>
          <w:color w:val="222222"/>
        </w:rPr>
        <w:t>et d</w:t>
      </w:r>
      <w:r w:rsidR="003806A2">
        <w:rPr>
          <w:color w:val="222222"/>
        </w:rPr>
        <w:t>’</w:t>
      </w:r>
      <w:r w:rsidR="00E65B3E" w:rsidRPr="00E65B3E">
        <w:rPr>
          <w:color w:val="222222"/>
        </w:rPr>
        <w:t>offrir une expérience utilisateur</w:t>
      </w:r>
      <w:r w:rsidR="004464A5">
        <w:rPr>
          <w:color w:val="222222"/>
        </w:rPr>
        <w:t xml:space="preserve"> sans faille</w:t>
      </w:r>
      <w:r w:rsidR="00E65B3E" w:rsidRPr="00E65B3E">
        <w:rPr>
          <w:color w:val="222222"/>
        </w:rPr>
        <w:t xml:space="preserve">, </w:t>
      </w:r>
      <w:r w:rsidR="004464A5">
        <w:rPr>
          <w:color w:val="222222"/>
        </w:rPr>
        <w:t xml:space="preserve">tant </w:t>
      </w:r>
      <w:r w:rsidR="00E65B3E" w:rsidRPr="00E65B3E">
        <w:rPr>
          <w:color w:val="222222"/>
        </w:rPr>
        <w:t>à l</w:t>
      </w:r>
      <w:r w:rsidR="003806A2">
        <w:rPr>
          <w:color w:val="222222"/>
        </w:rPr>
        <w:t>’</w:t>
      </w:r>
      <w:r w:rsidR="00E65B3E" w:rsidRPr="00E65B3E">
        <w:rPr>
          <w:color w:val="222222"/>
        </w:rPr>
        <w:t xml:space="preserve">intérieur </w:t>
      </w:r>
      <w:r w:rsidR="004464A5">
        <w:rPr>
          <w:color w:val="222222"/>
        </w:rPr>
        <w:t>qu</w:t>
      </w:r>
      <w:r w:rsidR="003806A2">
        <w:rPr>
          <w:color w:val="222222"/>
        </w:rPr>
        <w:t>’</w:t>
      </w:r>
      <w:r w:rsidR="00E65B3E" w:rsidRPr="00E65B3E">
        <w:rPr>
          <w:color w:val="222222"/>
        </w:rPr>
        <w:t>à l</w:t>
      </w:r>
      <w:r w:rsidR="003806A2">
        <w:rPr>
          <w:color w:val="222222"/>
        </w:rPr>
        <w:t>’</w:t>
      </w:r>
      <w:r w:rsidR="00E65B3E" w:rsidRPr="00E65B3E">
        <w:rPr>
          <w:color w:val="222222"/>
        </w:rPr>
        <w:t xml:space="preserve">extérieur du véhicule. À </w:t>
      </w:r>
      <w:r>
        <w:rPr>
          <w:color w:val="222222"/>
        </w:rPr>
        <w:t xml:space="preserve">terme, </w:t>
      </w:r>
      <w:r w:rsidR="00E65B3E" w:rsidRPr="00E65B3E">
        <w:rPr>
          <w:color w:val="222222"/>
        </w:rPr>
        <w:t>l</w:t>
      </w:r>
      <w:r w:rsidR="003806A2">
        <w:rPr>
          <w:color w:val="222222"/>
        </w:rPr>
        <w:t>’</w:t>
      </w:r>
      <w:r w:rsidR="00F06416">
        <w:rPr>
          <w:color w:val="222222"/>
        </w:rPr>
        <w:t xml:space="preserve">offre </w:t>
      </w:r>
      <w:r w:rsidR="00E65B3E" w:rsidRPr="00E65B3E">
        <w:rPr>
          <w:color w:val="222222"/>
        </w:rPr>
        <w:t>de cockpit</w:t>
      </w:r>
      <w:r w:rsidR="004464A5">
        <w:rPr>
          <w:color w:val="222222"/>
        </w:rPr>
        <w:t>s</w:t>
      </w:r>
      <w:r w:rsidR="00E65B3E" w:rsidRPr="00E65B3E">
        <w:rPr>
          <w:color w:val="222222"/>
        </w:rPr>
        <w:t xml:space="preserve"> intelligent</w:t>
      </w:r>
      <w:r w:rsidR="004464A5">
        <w:rPr>
          <w:color w:val="222222"/>
        </w:rPr>
        <w:t>s</w:t>
      </w:r>
      <w:r w:rsidR="00E65B3E" w:rsidRPr="00E65B3E">
        <w:rPr>
          <w:color w:val="222222"/>
        </w:rPr>
        <w:t xml:space="preserve"> sera non seulement disponible pour tous les véhicules Stellantis, mais aussi pour les </w:t>
      </w:r>
      <w:r w:rsidR="000B3F1C">
        <w:rPr>
          <w:color w:val="222222"/>
        </w:rPr>
        <w:t xml:space="preserve">constructeurs automobiles tiers. Cela </w:t>
      </w:r>
      <w:r w:rsidR="00E65B3E" w:rsidRPr="00E65B3E">
        <w:rPr>
          <w:color w:val="222222"/>
        </w:rPr>
        <w:t>élargira la portée et l</w:t>
      </w:r>
      <w:r w:rsidR="003806A2">
        <w:rPr>
          <w:color w:val="222222"/>
        </w:rPr>
        <w:t>’</w:t>
      </w:r>
      <w:r w:rsidR="00E65B3E" w:rsidRPr="00E65B3E">
        <w:rPr>
          <w:color w:val="222222"/>
        </w:rPr>
        <w:t xml:space="preserve">impact de Mobile Drive, </w:t>
      </w:r>
      <w:r w:rsidR="00064E0C">
        <w:rPr>
          <w:color w:val="222222"/>
        </w:rPr>
        <w:t>dont l</w:t>
      </w:r>
      <w:r w:rsidR="003806A2">
        <w:rPr>
          <w:color w:val="222222"/>
        </w:rPr>
        <w:t>’</w:t>
      </w:r>
      <w:r w:rsidR="00E65B3E" w:rsidRPr="00E65B3E">
        <w:rPr>
          <w:color w:val="222222"/>
        </w:rPr>
        <w:t xml:space="preserve">objectif </w:t>
      </w:r>
      <w:r w:rsidR="00064E0C">
        <w:rPr>
          <w:color w:val="222222"/>
        </w:rPr>
        <w:t xml:space="preserve">est </w:t>
      </w:r>
      <w:r w:rsidR="00E65B3E" w:rsidRPr="00E65B3E">
        <w:rPr>
          <w:color w:val="222222"/>
        </w:rPr>
        <w:t>de devenir un leader mondial des solutions de cockpit</w:t>
      </w:r>
      <w:r w:rsidR="00064E0C">
        <w:rPr>
          <w:color w:val="222222"/>
        </w:rPr>
        <w:t>s</w:t>
      </w:r>
      <w:r w:rsidR="00E65B3E" w:rsidRPr="00E65B3E">
        <w:rPr>
          <w:color w:val="222222"/>
        </w:rPr>
        <w:t xml:space="preserve"> intelligent</w:t>
      </w:r>
      <w:r w:rsidR="00064E0C">
        <w:rPr>
          <w:color w:val="222222"/>
        </w:rPr>
        <w:t>s</w:t>
      </w:r>
      <w:r w:rsidR="00E65B3E" w:rsidRPr="00E65B3E">
        <w:rPr>
          <w:color w:val="222222"/>
        </w:rPr>
        <w:t xml:space="preserve"> et de véhicules connectés.</w:t>
      </w:r>
    </w:p>
    <w:p w14:paraId="3A04B131" w14:textId="47AAD11C" w:rsidR="00E65B3E" w:rsidRDefault="00E65B3E" w:rsidP="00E65B3E">
      <w:pPr>
        <w:shd w:val="clear" w:color="auto" w:fill="FFFFFF"/>
        <w:spacing w:line="240" w:lineRule="auto"/>
        <w:rPr>
          <w:rFonts w:eastAsia="Encode Sans"/>
          <w:b/>
          <w:color w:val="222222"/>
        </w:rPr>
      </w:pPr>
    </w:p>
    <w:p w14:paraId="669FDC87" w14:textId="77777777" w:rsidR="00DF7148" w:rsidRPr="006B36B3" w:rsidRDefault="00DF7148" w:rsidP="006B36B3">
      <w:pPr>
        <w:shd w:val="clear" w:color="auto" w:fill="FFFFFF"/>
        <w:spacing w:line="240" w:lineRule="auto"/>
        <w:jc w:val="both"/>
        <w:rPr>
          <w:rFonts w:eastAsia="Encode Sans"/>
          <w:b/>
          <w:i/>
          <w:color w:val="222222"/>
          <w:sz w:val="18"/>
        </w:rPr>
      </w:pPr>
      <w:r w:rsidRPr="006B36B3">
        <w:rPr>
          <w:b/>
          <w:i/>
          <w:color w:val="222222"/>
          <w:sz w:val="18"/>
        </w:rPr>
        <w:t xml:space="preserve">À propos de </w:t>
      </w:r>
      <w:proofErr w:type="spellStart"/>
      <w:r w:rsidRPr="006B36B3">
        <w:rPr>
          <w:b/>
          <w:i/>
          <w:color w:val="222222"/>
          <w:sz w:val="18"/>
        </w:rPr>
        <w:t>Foxconn</w:t>
      </w:r>
      <w:proofErr w:type="spellEnd"/>
    </w:p>
    <w:p w14:paraId="1DDC077A" w14:textId="02E7CEF4" w:rsidR="00DF7148" w:rsidRPr="006B36B3" w:rsidRDefault="00DF7148" w:rsidP="006B36B3">
      <w:pPr>
        <w:shd w:val="clear" w:color="auto" w:fill="FFFFFF"/>
        <w:spacing w:line="240" w:lineRule="auto"/>
        <w:jc w:val="both"/>
        <w:rPr>
          <w:rFonts w:eastAsia="Encode Sans"/>
          <w:i/>
          <w:color w:val="222222"/>
          <w:sz w:val="18"/>
        </w:rPr>
      </w:pPr>
      <w:r w:rsidRPr="006B36B3">
        <w:rPr>
          <w:i/>
          <w:color w:val="222222"/>
          <w:sz w:val="18"/>
        </w:rPr>
        <w:t xml:space="preserve">Fondé à Taïwan en 1974, Hon Hai </w:t>
      </w:r>
      <w:proofErr w:type="spellStart"/>
      <w:r w:rsidRPr="006B36B3">
        <w:rPr>
          <w:i/>
          <w:color w:val="222222"/>
          <w:sz w:val="18"/>
        </w:rPr>
        <w:t>Precision</w:t>
      </w:r>
      <w:proofErr w:type="spellEnd"/>
      <w:r w:rsidRPr="006B36B3">
        <w:rPr>
          <w:i/>
          <w:color w:val="222222"/>
          <w:sz w:val="18"/>
        </w:rPr>
        <w:t xml:space="preserve"> </w:t>
      </w:r>
      <w:proofErr w:type="spellStart"/>
      <w:r w:rsidRPr="006B36B3">
        <w:rPr>
          <w:i/>
          <w:color w:val="222222"/>
          <w:sz w:val="18"/>
        </w:rPr>
        <w:t>Industry</w:t>
      </w:r>
      <w:proofErr w:type="spellEnd"/>
      <w:r w:rsidRPr="006B36B3">
        <w:rPr>
          <w:i/>
          <w:color w:val="222222"/>
          <w:sz w:val="18"/>
        </w:rPr>
        <w:t xml:space="preserve"> Co., Ltd., (« </w:t>
      </w:r>
      <w:proofErr w:type="spellStart"/>
      <w:r w:rsidRPr="006B36B3">
        <w:rPr>
          <w:i/>
          <w:color w:val="222222"/>
          <w:sz w:val="18"/>
        </w:rPr>
        <w:t>Foxconn</w:t>
      </w:r>
      <w:proofErr w:type="spellEnd"/>
      <w:r w:rsidRPr="006B36B3">
        <w:rPr>
          <w:i/>
          <w:color w:val="222222"/>
          <w:sz w:val="18"/>
        </w:rPr>
        <w:t xml:space="preserve"> ») TPE : 2317) est le plus gros fournisseur de composants électroniques au monde. </w:t>
      </w:r>
      <w:proofErr w:type="spellStart"/>
      <w:r w:rsidRPr="006B36B3">
        <w:rPr>
          <w:i/>
          <w:color w:val="222222"/>
          <w:sz w:val="18"/>
        </w:rPr>
        <w:t>Foxconn</w:t>
      </w:r>
      <w:proofErr w:type="spellEnd"/>
      <w:r w:rsidRPr="006B36B3">
        <w:rPr>
          <w:i/>
          <w:color w:val="222222"/>
          <w:sz w:val="18"/>
        </w:rPr>
        <w:t>, qui est aussi le numéro un de la fourniture de solutions technologiques, tire continuellement parti de son expertise dans le domaine des logiciels et du matériel pour intégrer ses systèmes de fabrication uniques avec les technologies émergentes. Plus d</w:t>
      </w:r>
      <w:r w:rsidR="003806A2">
        <w:rPr>
          <w:i/>
          <w:color w:val="222222"/>
          <w:sz w:val="18"/>
        </w:rPr>
        <w:t>’</w:t>
      </w:r>
      <w:r w:rsidRPr="006B36B3">
        <w:rPr>
          <w:i/>
          <w:color w:val="222222"/>
          <w:sz w:val="18"/>
        </w:rPr>
        <w:t xml:space="preserve">infos sur </w:t>
      </w:r>
      <w:hyperlink r:id="rId7" w:history="1">
        <w:r w:rsidRPr="006B36B3">
          <w:rPr>
            <w:rStyle w:val="Hyperlink"/>
            <w:i/>
            <w:sz w:val="18"/>
          </w:rPr>
          <w:t>www.honhai.com</w:t>
        </w:r>
      </w:hyperlink>
      <w:r w:rsidRPr="006B36B3">
        <w:rPr>
          <w:i/>
          <w:color w:val="222222"/>
          <w:sz w:val="18"/>
        </w:rPr>
        <w:t>.</w:t>
      </w:r>
    </w:p>
    <w:p w14:paraId="1D17A465" w14:textId="77777777" w:rsidR="00DF7148" w:rsidRPr="006B36B3" w:rsidRDefault="00DF7148" w:rsidP="006B36B3">
      <w:pPr>
        <w:shd w:val="clear" w:color="auto" w:fill="FFFFFF"/>
        <w:spacing w:line="240" w:lineRule="auto"/>
        <w:jc w:val="both"/>
        <w:rPr>
          <w:rFonts w:eastAsia="Encode Sans"/>
          <w:b/>
          <w:i/>
          <w:color w:val="222222"/>
          <w:sz w:val="18"/>
        </w:rPr>
      </w:pPr>
    </w:p>
    <w:p w14:paraId="7A78E4AA" w14:textId="77777777" w:rsidR="008F037D" w:rsidRDefault="008F037D" w:rsidP="006B36B3">
      <w:pPr>
        <w:shd w:val="clear" w:color="auto" w:fill="FFFFFF"/>
        <w:spacing w:line="240" w:lineRule="auto"/>
        <w:jc w:val="both"/>
        <w:rPr>
          <w:b/>
          <w:i/>
          <w:color w:val="222222"/>
          <w:sz w:val="18"/>
        </w:rPr>
      </w:pPr>
    </w:p>
    <w:p w14:paraId="32EDAD4A" w14:textId="77777777" w:rsidR="008F037D" w:rsidRDefault="008F037D" w:rsidP="006B36B3">
      <w:pPr>
        <w:shd w:val="clear" w:color="auto" w:fill="FFFFFF"/>
        <w:spacing w:line="240" w:lineRule="auto"/>
        <w:jc w:val="both"/>
        <w:rPr>
          <w:b/>
          <w:i/>
          <w:color w:val="222222"/>
          <w:sz w:val="18"/>
        </w:rPr>
      </w:pPr>
    </w:p>
    <w:p w14:paraId="2F0A7EB3" w14:textId="0AE94AF7" w:rsidR="00DF7148" w:rsidRPr="006B36B3" w:rsidRDefault="00DF7148" w:rsidP="006B36B3">
      <w:pPr>
        <w:shd w:val="clear" w:color="auto" w:fill="FFFFFF"/>
        <w:spacing w:line="240" w:lineRule="auto"/>
        <w:jc w:val="both"/>
        <w:rPr>
          <w:rFonts w:eastAsia="Encode Sans"/>
          <w:b/>
          <w:i/>
          <w:color w:val="222222"/>
          <w:sz w:val="18"/>
        </w:rPr>
      </w:pPr>
      <w:r w:rsidRPr="006B36B3">
        <w:rPr>
          <w:b/>
          <w:i/>
          <w:color w:val="222222"/>
          <w:sz w:val="18"/>
        </w:rPr>
        <w:t>À propos de FIH</w:t>
      </w:r>
    </w:p>
    <w:p w14:paraId="40AB61DC" w14:textId="49DCAC05" w:rsidR="00DF7148" w:rsidRPr="006B36B3" w:rsidRDefault="00DF7148" w:rsidP="006B36B3">
      <w:pPr>
        <w:shd w:val="clear" w:color="auto" w:fill="FFFFFF"/>
        <w:spacing w:line="240" w:lineRule="auto"/>
        <w:jc w:val="both"/>
        <w:rPr>
          <w:rFonts w:eastAsia="Encode Sans"/>
          <w:i/>
          <w:color w:val="222222"/>
          <w:sz w:val="18"/>
        </w:rPr>
      </w:pPr>
      <w:r w:rsidRPr="006B36B3">
        <w:rPr>
          <w:i/>
          <w:color w:val="222222"/>
          <w:sz w:val="18"/>
        </w:rPr>
        <w:t xml:space="preserve">En tant que filiale du groupe </w:t>
      </w:r>
      <w:proofErr w:type="spellStart"/>
      <w:r w:rsidRPr="006B36B3">
        <w:rPr>
          <w:i/>
          <w:color w:val="222222"/>
          <w:sz w:val="18"/>
        </w:rPr>
        <w:t>Foxconn</w:t>
      </w:r>
      <w:proofErr w:type="spellEnd"/>
      <w:r w:rsidRPr="006B36B3">
        <w:rPr>
          <w:i/>
          <w:color w:val="222222"/>
          <w:sz w:val="18"/>
        </w:rPr>
        <w:t xml:space="preserve"> </w:t>
      </w:r>
      <w:proofErr w:type="spellStart"/>
      <w:r w:rsidRPr="006B36B3">
        <w:rPr>
          <w:i/>
          <w:color w:val="222222"/>
          <w:sz w:val="18"/>
        </w:rPr>
        <w:t>Technology</w:t>
      </w:r>
      <w:proofErr w:type="spellEnd"/>
      <w:r w:rsidRPr="006B36B3">
        <w:rPr>
          <w:i/>
          <w:color w:val="222222"/>
          <w:sz w:val="18"/>
        </w:rPr>
        <w:t xml:space="preserve"> et leader mondial dans le secteur des appareils mobiles, FIH offre à ses clients des services de conception, de développement et de fabrication verticalement intégrés, à savoir une gamme complète de services d</w:t>
      </w:r>
      <w:r w:rsidR="003806A2">
        <w:rPr>
          <w:i/>
          <w:color w:val="222222"/>
          <w:sz w:val="18"/>
        </w:rPr>
        <w:t>’</w:t>
      </w:r>
      <w:r w:rsidRPr="006B36B3">
        <w:rPr>
          <w:i/>
          <w:color w:val="222222"/>
          <w:sz w:val="18"/>
        </w:rPr>
        <w:t>ingénierie et de fabrication de bout en bout en matière de téléphones portables, d</w:t>
      </w:r>
      <w:r w:rsidR="003806A2">
        <w:rPr>
          <w:i/>
          <w:color w:val="222222"/>
          <w:sz w:val="18"/>
        </w:rPr>
        <w:t>’</w:t>
      </w:r>
      <w:r w:rsidRPr="006B36B3">
        <w:rPr>
          <w:i/>
          <w:color w:val="222222"/>
          <w:sz w:val="18"/>
        </w:rPr>
        <w:t>appareils de communication mobiles / sans fil et de produits électroniques grand public. À l</w:t>
      </w:r>
      <w:r w:rsidR="003806A2">
        <w:rPr>
          <w:i/>
          <w:color w:val="222222"/>
          <w:sz w:val="18"/>
        </w:rPr>
        <w:t>’</w:t>
      </w:r>
      <w:r w:rsidRPr="006B36B3">
        <w:rPr>
          <w:i/>
          <w:color w:val="222222"/>
          <w:sz w:val="18"/>
        </w:rPr>
        <w:t>heure du passage à l</w:t>
      </w:r>
      <w:r w:rsidR="003806A2">
        <w:rPr>
          <w:i/>
          <w:color w:val="222222"/>
          <w:sz w:val="18"/>
        </w:rPr>
        <w:t>’</w:t>
      </w:r>
      <w:r w:rsidRPr="006B36B3">
        <w:rPr>
          <w:i/>
          <w:color w:val="222222"/>
          <w:sz w:val="18"/>
        </w:rPr>
        <w:t>ère de l</w:t>
      </w:r>
      <w:r w:rsidR="003806A2">
        <w:rPr>
          <w:i/>
          <w:color w:val="222222"/>
          <w:sz w:val="18"/>
        </w:rPr>
        <w:t>’</w:t>
      </w:r>
      <w:r w:rsidRPr="006B36B3">
        <w:rPr>
          <w:i/>
          <w:color w:val="222222"/>
          <w:sz w:val="18"/>
        </w:rPr>
        <w:t>Internet et de l</w:t>
      </w:r>
      <w:r w:rsidR="003806A2">
        <w:rPr>
          <w:i/>
          <w:color w:val="222222"/>
          <w:sz w:val="18"/>
        </w:rPr>
        <w:t>’</w:t>
      </w:r>
      <w:r w:rsidRPr="006B36B3">
        <w:rPr>
          <w:i/>
          <w:color w:val="222222"/>
          <w:sz w:val="18"/>
        </w:rPr>
        <w:t>exploration de nouvelles opportunités commerciales, FIH s</w:t>
      </w:r>
      <w:r w:rsidR="003806A2">
        <w:rPr>
          <w:i/>
          <w:color w:val="222222"/>
          <w:sz w:val="18"/>
        </w:rPr>
        <w:t>’</w:t>
      </w:r>
      <w:r w:rsidRPr="006B36B3">
        <w:rPr>
          <w:i/>
          <w:color w:val="222222"/>
          <w:sz w:val="18"/>
        </w:rPr>
        <w:t>est également engagé dans les domaines de la 5G, de l</w:t>
      </w:r>
      <w:r w:rsidR="003806A2">
        <w:rPr>
          <w:i/>
          <w:color w:val="222222"/>
          <w:sz w:val="18"/>
        </w:rPr>
        <w:t>’</w:t>
      </w:r>
      <w:proofErr w:type="spellStart"/>
      <w:r w:rsidRPr="006B36B3">
        <w:rPr>
          <w:i/>
          <w:color w:val="222222"/>
          <w:sz w:val="18"/>
        </w:rPr>
        <w:t>IdV</w:t>
      </w:r>
      <w:proofErr w:type="spellEnd"/>
      <w:r w:rsidRPr="006B36B3">
        <w:rPr>
          <w:i/>
          <w:color w:val="222222"/>
          <w:sz w:val="18"/>
        </w:rPr>
        <w:t xml:space="preserve"> (Internet des Véhicules) et de l</w:t>
      </w:r>
      <w:r w:rsidR="003806A2">
        <w:rPr>
          <w:i/>
          <w:color w:val="222222"/>
          <w:sz w:val="18"/>
        </w:rPr>
        <w:t>’</w:t>
      </w:r>
      <w:r w:rsidRPr="006B36B3">
        <w:rPr>
          <w:i/>
          <w:color w:val="222222"/>
          <w:sz w:val="18"/>
        </w:rPr>
        <w:t>IA pour développer l</w:t>
      </w:r>
      <w:r w:rsidR="003806A2">
        <w:rPr>
          <w:i/>
          <w:color w:val="222222"/>
          <w:sz w:val="18"/>
        </w:rPr>
        <w:t>’</w:t>
      </w:r>
      <w:r w:rsidRPr="006B36B3">
        <w:rPr>
          <w:i/>
          <w:color w:val="222222"/>
          <w:sz w:val="18"/>
        </w:rPr>
        <w:t>Internet et l</w:t>
      </w:r>
      <w:r w:rsidR="003806A2">
        <w:rPr>
          <w:i/>
          <w:color w:val="222222"/>
          <w:sz w:val="18"/>
        </w:rPr>
        <w:t>’</w:t>
      </w:r>
      <w:r w:rsidRPr="006B36B3">
        <w:rPr>
          <w:i/>
          <w:color w:val="222222"/>
          <w:sz w:val="18"/>
        </w:rPr>
        <w:t>écosystème mobile.</w:t>
      </w:r>
    </w:p>
    <w:p w14:paraId="09D5FDAE" w14:textId="77777777" w:rsidR="00DF7148" w:rsidRPr="006B36B3" w:rsidRDefault="00DF7148" w:rsidP="006B36B3">
      <w:pPr>
        <w:shd w:val="clear" w:color="auto" w:fill="FFFFFF"/>
        <w:spacing w:line="240" w:lineRule="auto"/>
        <w:jc w:val="both"/>
        <w:rPr>
          <w:rFonts w:ascii="Encode Sans CondensedLight" w:eastAsia="Encode Sans" w:hAnsi="Encode Sans CondensedLight"/>
          <w:b/>
          <w:i/>
          <w:color w:val="222222"/>
        </w:rPr>
      </w:pPr>
    </w:p>
    <w:p w14:paraId="7171BDFF" w14:textId="77777777" w:rsidR="00DF7148" w:rsidRPr="006B36B3" w:rsidRDefault="00DF7148" w:rsidP="006B36B3">
      <w:pPr>
        <w:shd w:val="clear" w:color="auto" w:fill="FFFFFF"/>
        <w:spacing w:line="240" w:lineRule="auto"/>
        <w:jc w:val="both"/>
        <w:rPr>
          <w:rFonts w:eastAsia="Encode Sans"/>
          <w:b/>
          <w:i/>
          <w:color w:val="222222"/>
          <w:sz w:val="18"/>
        </w:rPr>
      </w:pPr>
      <w:r w:rsidRPr="006B36B3">
        <w:rPr>
          <w:rFonts w:eastAsia="Encode Sans"/>
          <w:b/>
          <w:i/>
          <w:color w:val="222222"/>
          <w:sz w:val="18"/>
        </w:rPr>
        <w:t>À propos de Stellantis</w:t>
      </w:r>
    </w:p>
    <w:p w14:paraId="3392CBE9" w14:textId="7DBE1361" w:rsidR="00DF7148" w:rsidRPr="006B36B3" w:rsidRDefault="00DF7148" w:rsidP="006B36B3">
      <w:pPr>
        <w:shd w:val="clear" w:color="auto" w:fill="FFFFFF"/>
        <w:spacing w:line="240" w:lineRule="auto"/>
        <w:jc w:val="both"/>
        <w:rPr>
          <w:i/>
          <w:color w:val="222222"/>
          <w:sz w:val="18"/>
        </w:rPr>
      </w:pPr>
      <w:r w:rsidRPr="006B36B3">
        <w:rPr>
          <w:i/>
          <w:color w:val="222222"/>
          <w:sz w:val="18"/>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w:t>
      </w:r>
      <w:r w:rsidR="003806A2">
        <w:rPr>
          <w:i/>
          <w:color w:val="222222"/>
          <w:sz w:val="18"/>
        </w:rPr>
        <w:t>’</w:t>
      </w:r>
      <w:r w:rsidRPr="006B36B3">
        <w:rPr>
          <w:i/>
          <w:color w:val="222222"/>
          <w:sz w:val="18"/>
        </w:rPr>
        <w:t xml:space="preserve">étendue de son expérience et la diversité des talents internationaux qui le composent. </w:t>
      </w:r>
      <w:proofErr w:type="spellStart"/>
      <w:r w:rsidRPr="006B36B3">
        <w:rPr>
          <w:i/>
          <w:color w:val="222222"/>
          <w:sz w:val="18"/>
        </w:rPr>
        <w:t>Stellantis</w:t>
      </w:r>
      <w:proofErr w:type="spellEnd"/>
      <w:r w:rsidRPr="006B36B3">
        <w:rPr>
          <w:i/>
          <w:color w:val="222222"/>
          <w:sz w:val="18"/>
        </w:rPr>
        <w:t xml:space="preserve"> compte s</w:t>
      </w:r>
      <w:r w:rsidR="003806A2">
        <w:rPr>
          <w:i/>
          <w:color w:val="222222"/>
          <w:sz w:val="18"/>
        </w:rPr>
        <w:t>’</w:t>
      </w:r>
      <w:r w:rsidRPr="006B36B3">
        <w:rPr>
          <w:i/>
          <w:color w:val="222222"/>
          <w:sz w:val="18"/>
        </w:rPr>
        <w:t>appuyer sur l</w:t>
      </w:r>
      <w:r w:rsidR="003806A2">
        <w:rPr>
          <w:i/>
          <w:color w:val="222222"/>
          <w:sz w:val="18"/>
        </w:rPr>
        <w:t>’</w:t>
      </w:r>
      <w:r w:rsidRPr="006B36B3">
        <w:rPr>
          <w:i/>
          <w:color w:val="222222"/>
          <w:sz w:val="18"/>
        </w:rPr>
        <w:t>ampleur de son portefeuille de marques emblématiques, qui a été fondé par des visionnaires qui ont insufflé leur passion dans leurs entreprises, associée à un esprit de compétition qui parle autant à ses employés qu</w:t>
      </w:r>
      <w:r w:rsidR="003806A2">
        <w:rPr>
          <w:i/>
          <w:color w:val="222222"/>
          <w:sz w:val="18"/>
        </w:rPr>
        <w:t>’</w:t>
      </w:r>
      <w:r w:rsidRPr="006B36B3">
        <w:rPr>
          <w:i/>
          <w:color w:val="222222"/>
          <w:sz w:val="18"/>
        </w:rPr>
        <w:t>à ses clients. L</w:t>
      </w:r>
      <w:r w:rsidR="003806A2">
        <w:rPr>
          <w:i/>
          <w:color w:val="222222"/>
          <w:sz w:val="18"/>
        </w:rPr>
        <w:t>’</w:t>
      </w:r>
      <w:r w:rsidRPr="006B36B3">
        <w:rPr>
          <w:i/>
          <w:color w:val="222222"/>
          <w:sz w:val="18"/>
        </w:rPr>
        <w:t xml:space="preserve">objectif de </w:t>
      </w:r>
      <w:proofErr w:type="spellStart"/>
      <w:r w:rsidRPr="006B36B3">
        <w:rPr>
          <w:i/>
          <w:color w:val="222222"/>
          <w:sz w:val="18"/>
        </w:rPr>
        <w:t>Stellantis</w:t>
      </w:r>
      <w:proofErr w:type="spellEnd"/>
      <w:r w:rsidRPr="006B36B3">
        <w:rPr>
          <w:i/>
          <w:color w:val="222222"/>
          <w:sz w:val="18"/>
        </w:rPr>
        <w:t> : devenir le numéro un, en termes de qualité et non de taille, tout en créant encore plus de valeur pour l</w:t>
      </w:r>
      <w:r w:rsidR="003806A2">
        <w:rPr>
          <w:i/>
          <w:color w:val="222222"/>
          <w:sz w:val="18"/>
        </w:rPr>
        <w:t>’</w:t>
      </w:r>
      <w:r w:rsidRPr="006B36B3">
        <w:rPr>
          <w:i/>
          <w:color w:val="222222"/>
          <w:sz w:val="18"/>
        </w:rPr>
        <w:t>ensemble de ses partenaires et des communautés au sein desquelles il opère.</w:t>
      </w:r>
    </w:p>
    <w:p w14:paraId="21A56F41" w14:textId="77777777" w:rsidR="004C611F" w:rsidRPr="006B36B3" w:rsidRDefault="004C611F" w:rsidP="006B36B3">
      <w:pPr>
        <w:shd w:val="clear" w:color="auto" w:fill="FFFFFF"/>
        <w:spacing w:line="240" w:lineRule="auto"/>
        <w:jc w:val="both"/>
        <w:rPr>
          <w:rFonts w:ascii="Encode Sans CondensedLight" w:eastAsia="Encode Sans" w:hAnsi="Encode Sans CondensedLight"/>
          <w:color w:val="222222"/>
          <w:sz w:val="18"/>
          <w:szCs w:val="18"/>
        </w:rPr>
      </w:pPr>
    </w:p>
    <w:tbl>
      <w:tblPr>
        <w:tblStyle w:val="Grilledutableau2"/>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5"/>
        <w:gridCol w:w="2265"/>
        <w:gridCol w:w="2266"/>
        <w:gridCol w:w="2266"/>
      </w:tblGrid>
      <w:tr w:rsidR="00DF7148" w:rsidRPr="00DF7148" w14:paraId="0E932E11" w14:textId="77777777" w:rsidTr="00081DA5">
        <w:tc>
          <w:tcPr>
            <w:tcW w:w="2265" w:type="dxa"/>
            <w:tcBorders>
              <w:top w:val="single" w:sz="4" w:space="0" w:color="FFFFFF"/>
              <w:left w:val="single" w:sz="4" w:space="0" w:color="FFFFFF"/>
              <w:bottom w:val="single" w:sz="4" w:space="0" w:color="FFFFFF"/>
              <w:right w:val="single" w:sz="4" w:space="0" w:color="FFFFFF"/>
            </w:tcBorders>
            <w:vAlign w:val="bottom"/>
            <w:hideMark/>
          </w:tcPr>
          <w:p w14:paraId="62A9E0A3" w14:textId="77777777" w:rsidR="00DF7148" w:rsidRPr="00DF7148" w:rsidRDefault="00DF7148" w:rsidP="00081DA5">
            <w:pPr>
              <w:jc w:val="center"/>
              <w:rPr>
                <w:rFonts w:ascii="Encode Sans CondensedLight" w:eastAsia="Calibri" w:hAnsi="Encode Sans CondensedLight" w:cs="Times New Roman"/>
              </w:rPr>
            </w:pPr>
            <w:r w:rsidRPr="00DF7148">
              <w:rPr>
                <w:rFonts w:ascii="Encode Sans CondensedLight" w:eastAsiaTheme="minorEastAsia" w:hAnsi="Encode Sans CondensedLight" w:cs="Arial"/>
                <w:sz w:val="16"/>
                <w:szCs w:val="16"/>
                <w:lang w:eastAsia="zh-TW"/>
              </w:rPr>
              <w:object w:dxaOrig="450" w:dyaOrig="450" w14:anchorId="6BAEE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2.55pt" o:ole="">
                  <v:imagedata r:id="rId8" o:title=""/>
                </v:shape>
                <o:OLEObject Type="Embed" ProgID="PBrush" ShapeID="_x0000_i1025" DrawAspect="Content" ObjectID="_1691268879" r:id="rId9"/>
              </w:object>
            </w:r>
            <w:hyperlink r:id="rId10" w:history="1">
              <w:r w:rsidRPr="00DF7148">
                <w:rPr>
                  <w:rStyle w:val="Hyperlink"/>
                  <w:rFonts w:ascii="Encode Sans CondensedLight" w:hAnsi="Encode Sans CondensedLight"/>
                </w:rPr>
                <w:t>@</w:t>
              </w:r>
              <w:proofErr w:type="spellStart"/>
              <w:r w:rsidRPr="00DF7148">
                <w:rPr>
                  <w:rStyle w:val="Hyperlink"/>
                  <w:rFonts w:ascii="Encode Sans CondensedLight" w:hAnsi="Encode Sans CondensedLight"/>
                </w:rPr>
                <w:t>Stellantis</w:t>
              </w:r>
              <w:proofErr w:type="spellEnd"/>
            </w:hyperlink>
          </w:p>
        </w:tc>
        <w:tc>
          <w:tcPr>
            <w:tcW w:w="2265" w:type="dxa"/>
            <w:tcBorders>
              <w:top w:val="single" w:sz="4" w:space="0" w:color="FFFFFF"/>
              <w:left w:val="single" w:sz="4" w:space="0" w:color="FFFFFF"/>
              <w:bottom w:val="single" w:sz="4" w:space="0" w:color="FFFFFF"/>
              <w:right w:val="single" w:sz="4" w:space="0" w:color="FFFFFF"/>
            </w:tcBorders>
            <w:vAlign w:val="bottom"/>
            <w:hideMark/>
          </w:tcPr>
          <w:p w14:paraId="2A1BA6C1" w14:textId="77777777" w:rsidR="00DF7148" w:rsidRPr="00DF7148" w:rsidRDefault="00DF7148" w:rsidP="00081DA5">
            <w:pPr>
              <w:jc w:val="center"/>
              <w:rPr>
                <w:rFonts w:ascii="Encode Sans CondensedLight" w:eastAsia="Calibri" w:hAnsi="Encode Sans CondensedLight" w:cs="Times New Roman"/>
              </w:rPr>
            </w:pPr>
            <w:r w:rsidRPr="00DF7148">
              <w:rPr>
                <w:rFonts w:ascii="Encode Sans CondensedLight" w:eastAsiaTheme="minorEastAsia" w:hAnsi="Encode Sans CondensedLight" w:cs="Arial"/>
                <w:sz w:val="16"/>
                <w:szCs w:val="16"/>
                <w:lang w:eastAsia="zh-TW"/>
              </w:rPr>
              <w:object w:dxaOrig="435" w:dyaOrig="435" w14:anchorId="2F11A1DF">
                <v:shape id="_x0000_i1026" type="#_x0000_t75" style="width:21.9pt;height:21.9pt" o:ole="">
                  <v:imagedata r:id="rId11" o:title=""/>
                </v:shape>
                <o:OLEObject Type="Embed" ProgID="PBrush" ShapeID="_x0000_i1026" DrawAspect="Content" ObjectID="_1691268880" r:id="rId12"/>
              </w:object>
            </w:r>
            <w:hyperlink r:id="rId13" w:history="1">
              <w:proofErr w:type="spellStart"/>
              <w:r w:rsidRPr="00DF7148">
                <w:rPr>
                  <w:rStyle w:val="Hyperlink"/>
                  <w:rFonts w:ascii="Encode Sans CondensedLight" w:hAnsi="Encode Sans CondensedLight"/>
                </w:rPr>
                <w:t>Stellantis</w:t>
              </w:r>
              <w:proofErr w:type="spellEnd"/>
            </w:hyperlink>
          </w:p>
        </w:tc>
        <w:tc>
          <w:tcPr>
            <w:tcW w:w="2266" w:type="dxa"/>
            <w:tcBorders>
              <w:top w:val="single" w:sz="4" w:space="0" w:color="FFFFFF"/>
              <w:left w:val="single" w:sz="4" w:space="0" w:color="FFFFFF"/>
              <w:bottom w:val="single" w:sz="4" w:space="0" w:color="FFFFFF"/>
              <w:right w:val="single" w:sz="4" w:space="0" w:color="FFFFFF"/>
            </w:tcBorders>
            <w:vAlign w:val="bottom"/>
            <w:hideMark/>
          </w:tcPr>
          <w:p w14:paraId="01D91647" w14:textId="77777777" w:rsidR="00DF7148" w:rsidRPr="00DF7148" w:rsidRDefault="00DF7148" w:rsidP="00081DA5">
            <w:pPr>
              <w:jc w:val="center"/>
              <w:rPr>
                <w:rFonts w:ascii="Encode Sans CondensedLight" w:eastAsia="Calibri" w:hAnsi="Encode Sans CondensedLight" w:cs="Times New Roman"/>
              </w:rPr>
            </w:pPr>
            <w:r w:rsidRPr="00DF7148">
              <w:rPr>
                <w:rFonts w:ascii="Encode Sans CondensedLight" w:eastAsiaTheme="minorEastAsia" w:hAnsi="Encode Sans CondensedLight" w:cs="Arial"/>
                <w:sz w:val="16"/>
                <w:szCs w:val="16"/>
                <w:lang w:eastAsia="zh-TW"/>
              </w:rPr>
              <w:object w:dxaOrig="420" w:dyaOrig="420" w14:anchorId="527BA215">
                <v:shape id="_x0000_i1027" type="#_x0000_t75" style="width:21.3pt;height:21.3pt" o:ole="">
                  <v:imagedata r:id="rId14" o:title=""/>
                </v:shape>
                <o:OLEObject Type="Embed" ProgID="PBrush" ShapeID="_x0000_i1027" DrawAspect="Content" ObjectID="_1691268881" r:id="rId15"/>
              </w:object>
            </w:r>
            <w:hyperlink r:id="rId16" w:history="1">
              <w:proofErr w:type="spellStart"/>
              <w:r w:rsidRPr="00DF7148">
                <w:rPr>
                  <w:rStyle w:val="Hyperlink"/>
                  <w:rFonts w:ascii="Encode Sans CondensedLight" w:hAnsi="Encode Sans CondensedLight"/>
                </w:rPr>
                <w:t>Stellantis</w:t>
              </w:r>
              <w:proofErr w:type="spellEnd"/>
            </w:hyperlink>
          </w:p>
        </w:tc>
        <w:tc>
          <w:tcPr>
            <w:tcW w:w="2266" w:type="dxa"/>
            <w:tcBorders>
              <w:top w:val="single" w:sz="4" w:space="0" w:color="FFFFFF"/>
              <w:left w:val="single" w:sz="4" w:space="0" w:color="FFFFFF"/>
              <w:bottom w:val="single" w:sz="4" w:space="0" w:color="FFFFFF"/>
              <w:right w:val="single" w:sz="4" w:space="0" w:color="FFFFFF"/>
            </w:tcBorders>
            <w:vAlign w:val="bottom"/>
            <w:hideMark/>
          </w:tcPr>
          <w:p w14:paraId="0038654F" w14:textId="77777777" w:rsidR="00DF7148" w:rsidRPr="00DF7148" w:rsidRDefault="00DF7148" w:rsidP="00081DA5">
            <w:pPr>
              <w:jc w:val="center"/>
              <w:rPr>
                <w:rFonts w:ascii="Encode Sans CondensedLight" w:eastAsia="Calibri" w:hAnsi="Encode Sans CondensedLight" w:cs="Times New Roman"/>
              </w:rPr>
            </w:pPr>
            <w:r w:rsidRPr="00DF7148">
              <w:rPr>
                <w:rFonts w:ascii="Encode Sans CondensedLight" w:eastAsiaTheme="minorEastAsia" w:hAnsi="Encode Sans CondensedLight" w:cs="Arial"/>
                <w:sz w:val="16"/>
                <w:szCs w:val="16"/>
                <w:lang w:eastAsia="zh-TW"/>
              </w:rPr>
              <w:object w:dxaOrig="465" w:dyaOrig="465" w14:anchorId="6C05D0B3">
                <v:shape id="_x0000_i1028" type="#_x0000_t75" style="width:23.15pt;height:23.15pt" o:ole="">
                  <v:imagedata r:id="rId17" o:title=""/>
                </v:shape>
                <o:OLEObject Type="Embed" ProgID="PBrush" ShapeID="_x0000_i1028" DrawAspect="Content" ObjectID="_1691268882" r:id="rId18"/>
              </w:object>
            </w:r>
            <w:hyperlink r:id="rId19" w:history="1">
              <w:proofErr w:type="spellStart"/>
              <w:r w:rsidRPr="00DF7148">
                <w:rPr>
                  <w:rStyle w:val="Hyperlink"/>
                  <w:rFonts w:ascii="Encode Sans CondensedLight" w:hAnsi="Encode Sans CondensedLight"/>
                </w:rPr>
                <w:t>Stellantis</w:t>
              </w:r>
              <w:proofErr w:type="spellEnd"/>
            </w:hyperlink>
          </w:p>
        </w:tc>
      </w:tr>
    </w:tbl>
    <w:p w14:paraId="3F5B0CA6" w14:textId="77777777" w:rsidR="00DF7148" w:rsidRPr="00DF7148" w:rsidRDefault="00DF7148" w:rsidP="00DF7148">
      <w:pPr>
        <w:shd w:val="clear" w:color="auto" w:fill="FFFFFF"/>
        <w:spacing w:line="240" w:lineRule="auto"/>
        <w:rPr>
          <w:rFonts w:ascii="Encode Sans CondensedLight" w:eastAsia="Encode Sans" w:hAnsi="Encode Sans CondensedLight"/>
          <w:color w:val="222222"/>
        </w:rPr>
      </w:pPr>
    </w:p>
    <w:p w14:paraId="23011B04" w14:textId="77777777" w:rsidR="00DF7148" w:rsidRPr="00DF7148" w:rsidRDefault="00DF7148" w:rsidP="00DF7148">
      <w:pPr>
        <w:shd w:val="clear" w:color="auto" w:fill="FFFFFF"/>
        <w:spacing w:line="240" w:lineRule="auto"/>
        <w:jc w:val="both"/>
        <w:rPr>
          <w:rFonts w:ascii="Encode Sans CondensedLight" w:eastAsia="Times New Roman" w:hAnsi="Encode Sans CondensedLight"/>
          <w:color w:val="222222"/>
          <w:sz w:val="18"/>
          <w:szCs w:val="24"/>
        </w:rPr>
      </w:pPr>
    </w:p>
    <w:tbl>
      <w:tblPr>
        <w:tblStyle w:val="TableGrid"/>
        <w:tblW w:w="7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05"/>
      </w:tblGrid>
      <w:tr w:rsidR="00DF7148" w:rsidRPr="00DF7148" w14:paraId="2D30D027" w14:textId="77777777" w:rsidTr="00081DA5">
        <w:trPr>
          <w:trHeight w:val="879"/>
        </w:trPr>
        <w:tc>
          <w:tcPr>
            <w:tcW w:w="7905" w:type="dxa"/>
            <w:hideMark/>
          </w:tcPr>
          <w:p w14:paraId="7C7632B4" w14:textId="77777777" w:rsidR="00DF7148" w:rsidRPr="00DF7148" w:rsidRDefault="00DF7148" w:rsidP="00081DA5">
            <w:pPr>
              <w:spacing w:after="360" w:line="288" w:lineRule="auto"/>
              <w:ind w:left="440"/>
              <w:rPr>
                <w:rFonts w:ascii="Encode Sans CondensedLight" w:hAnsi="Encode Sans CondensedLight"/>
                <w:color w:val="1F497D" w:themeColor="text2"/>
                <w:sz w:val="20"/>
                <w:szCs w:val="20"/>
              </w:rPr>
            </w:pPr>
            <w:r w:rsidRPr="00DF7148">
              <w:rPr>
                <w:rFonts w:ascii="Encode Sans CondensedLight" w:hAnsi="Encode Sans CondensedLight"/>
                <w:noProof/>
                <w:lang w:val="en-US"/>
              </w:rPr>
              <mc:AlternateContent>
                <mc:Choice Requires="wps">
                  <w:drawing>
                    <wp:inline distT="0" distB="0" distL="0" distR="0" wp14:anchorId="36245166" wp14:editId="2A537EF6">
                      <wp:extent cx="431800" cy="62230"/>
                      <wp:effectExtent l="0" t="0" r="6350" b="4445"/>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52CF82" id="Freeform 3"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VXNwMAAHsIAAAOAAAAZHJzL2Uyb0RvYy54bWysVttu2zAMfR+wfxD0OGD1NWkd1C2GFh0G&#10;dFuBZh+gyHJszJY8SYnTff0oyXaVNMmAYS+2JZ4ckYcUmevbXdugLZOqFjzH0UWIEeNUFDVf5/jH&#10;8uHjFUZKE16QRnCW4xem8O3N+3fXfbdgsahEUzCJgISrRd/luNK6WwSBohVriboQHeNgLIVsiYal&#10;XAeFJD2wt00Qh+E86IUsOikoUwp2750R31j+smRUfy9LxTRqcgy+afuU9rkyz+DmmizWknRVTQc3&#10;yD940ZKaw6ET1T3RBG1k/YaqrakUSpT6goo2EGVZU2ZjgGii8CCa54p0zMYC4qhukkn9P1r6bfsk&#10;UV3kOMWIkxZS9CAZM4KjxKjTd2oBoOfuSZr4VPco6E8FhmDPYhYKMGjVfxUFsJCNFlaRXSlb80uI&#10;Fe2s8C+T8GynEYXNNImuQkgPBdM8jhObl4Asxt/SjdKfmbA8ZPuotEtbAV9W9GJwfQkcZdtABj8E&#10;KA2jNItRj5JZOuR5wkUebh5lUYIqlGSHqNhDhceJEg9ymgi0ndxK4izNjpPNPFh41KO5h0gTuAAn&#10;3Lr0cMeZ4F5OLp1TKvNwpwOMfOFDNAfH4DmbJfNDTSNf+vPIffnPcfpZOM/pZ+INEipuPdYUqcYy&#10;ozs+1Bl8IWIa2xLiNYXXCWVq2pQdVO4yMsECCeCM1YNHe3AIzMDt/ToKj/fg4LOBz06yJ3twqBED&#10;vzwJT/fgUAgGbot/dMa9h6glNNHD9ikxgva5csntiDZiWUHgE/U5NlcOVfDO7Fmt2LKlsABtBIM7&#10;YE91Vw5OewU03Ac6YSfYaBzfnWWLodohhLFpjMbx7UDWo7+jDh0bSWgjFHPZNeHaNE9xG7m8DqVE&#10;UxcPddOYgO0kY3eNRFsCM4hQyrh25dBsWuiVbj8yN2YYR7APQ8vtj0FNNPbkvRMaW2xcmBOdh2bH&#10;tmfTkV0LX4niBbqzFG4CwsSGj0rI3xj1MP1yrH5tiGQYNV84jJcsSlPQXttFOruMYSF9y8q3EE6B&#10;Kscaw/Uwn3fajdhNJ+t1BSe5gLn4BFOhrE37tv45r4YFTDgb3DCNzQj11xb1+p/h5g8AAAD//wMA&#10;UEsDBBQABgAIAAAAIQDN1FzB2AAAAAIBAAAPAAAAZHJzL2Rvd25yZXYueG1sTI9BS8NAEIXvgv9h&#10;GcGb3VQkTWM2JQhC8SJtPXicZMckNDsbsts2+usdvejlweMN731TbGY3qDNNofdsYLlIQBE33vbc&#10;Gng7PN9loEJEtjh4JgOfFGBTXl8VmFt/4R2d97FVUsIhRwNdjGOudWg6chgWfiSW7MNPDqPYqdV2&#10;wouUu0HfJ0mqHfYsCx2O9NRRc9yfnIHdNq2208gv1euDrt/1evUVcGXM7c1cPYKKNMe/Y/jBF3Qo&#10;han2J7ZBDQbkkfirkqWZuNrAOgNdFvo/evkNAAD//wMAUEsBAi0AFAAGAAgAAAAhALaDOJL+AAAA&#10;4QEAABMAAAAAAAAAAAAAAAAAAAAAAFtDb250ZW50X1R5cGVzXS54bWxQSwECLQAUAAYACAAAACEA&#10;OP0h/9YAAACUAQAACwAAAAAAAAAAAAAAAAAvAQAAX3JlbHMvLnJlbHNQSwECLQAUAAYACAAAACEA&#10;0MKVVzcDAAB7CAAADgAAAAAAAAAAAAAAAAAuAgAAZHJzL2Uyb0RvYy54bWxQSwECLQAUAAYACAAA&#10;ACEAzdRcwdgAAAACAQAADwAAAAAAAAAAAAAAAACRBQAAZHJzL2Rvd25yZXYueG1sUEsFBgAAAAAE&#10;AAQA8wAAAJYGAAAAAA==&#10;" path="m329,39l,39,27,,354,,329,39xe" fillcolor="#4f81bd [3204]" stroked="f">
                      <v:path arrowok="t" o:connecttype="custom" o:connectlocs="489729507,98790923;0,98790923;40190334,0;526942373,0;489729507,98790923" o:connectangles="0,0,0,0,0"/>
                      <w10:anchorlock/>
                    </v:shape>
                  </w:pict>
                </mc:Fallback>
              </mc:AlternateContent>
            </w:r>
          </w:p>
          <w:p w14:paraId="5D8423D1" w14:textId="4528B744" w:rsidR="00DF7148" w:rsidRPr="00DF7148" w:rsidRDefault="00DF7148" w:rsidP="00081DA5">
            <w:pPr>
              <w:spacing w:after="120" w:line="288" w:lineRule="auto"/>
              <w:ind w:left="440"/>
              <w:rPr>
                <w:rFonts w:ascii="Encode Sans CondensedLight" w:hAnsi="Encode Sans CondensedLight" w:cs="Arial"/>
                <w:color w:val="1F497D" w:themeColor="text2"/>
                <w:sz w:val="22"/>
                <w:szCs w:val="22"/>
              </w:rPr>
            </w:pPr>
            <w:r w:rsidRPr="00DF7148">
              <w:rPr>
                <w:rFonts w:ascii="Encode Sans CondensedLight" w:hAnsi="Encode Sans CondensedLight"/>
                <w:color w:val="1F497D" w:themeColor="text2"/>
                <w:sz w:val="22"/>
                <w:szCs w:val="22"/>
              </w:rPr>
              <w:t>Pour plus d</w:t>
            </w:r>
            <w:r w:rsidR="003806A2">
              <w:rPr>
                <w:rFonts w:ascii="Encode Sans CondensedLight" w:hAnsi="Encode Sans CondensedLight"/>
                <w:color w:val="1F497D" w:themeColor="text2"/>
                <w:sz w:val="22"/>
                <w:szCs w:val="22"/>
              </w:rPr>
              <w:t>’</w:t>
            </w:r>
            <w:r w:rsidRPr="00DF7148">
              <w:rPr>
                <w:rFonts w:ascii="Encode Sans CondensedLight" w:hAnsi="Encode Sans CondensedLight"/>
                <w:color w:val="1F497D" w:themeColor="text2"/>
                <w:sz w:val="22"/>
                <w:szCs w:val="22"/>
              </w:rPr>
              <w:t>informations, merci de contacter :</w:t>
            </w:r>
          </w:p>
          <w:p w14:paraId="315EEFA7" w14:textId="77777777" w:rsidR="00A63AF1" w:rsidRPr="008F037D" w:rsidRDefault="00A63AF1" w:rsidP="00A63AF1">
            <w:pPr>
              <w:shd w:val="clear" w:color="auto" w:fill="FFFFFF"/>
              <w:ind w:left="440"/>
              <w:rPr>
                <w:rFonts w:ascii="Arial" w:eastAsia="Times New Roman" w:hAnsi="Arial" w:cs="Arial"/>
                <w:sz w:val="18"/>
                <w:szCs w:val="18"/>
                <w:lang w:val="en-US"/>
              </w:rPr>
            </w:pPr>
            <w:r w:rsidRPr="008F037D">
              <w:rPr>
                <w:rFonts w:ascii="Arial" w:hAnsi="Arial" w:cs="Arial"/>
                <w:b/>
                <w:sz w:val="18"/>
                <w:szCs w:val="18"/>
                <w:lang w:val="en-US"/>
              </w:rPr>
              <w:t xml:space="preserve">Molly </w:t>
            </w:r>
            <w:r w:rsidR="00B25CEF" w:rsidRPr="008F037D">
              <w:rPr>
                <w:rFonts w:ascii="Arial" w:hAnsi="Arial" w:cs="Arial"/>
                <w:b/>
                <w:sz w:val="18"/>
                <w:szCs w:val="18"/>
                <w:lang w:val="en-US"/>
              </w:rPr>
              <w:t xml:space="preserve">SHIH </w:t>
            </w:r>
            <w:r w:rsidRPr="008F037D">
              <w:rPr>
                <w:rFonts w:ascii="Arial" w:hAnsi="Arial" w:cs="Arial"/>
                <w:b/>
                <w:sz w:val="18"/>
                <w:szCs w:val="18"/>
                <w:lang w:val="en-US"/>
              </w:rPr>
              <w:t>:</w:t>
            </w:r>
            <w:r w:rsidRPr="008F037D">
              <w:rPr>
                <w:rFonts w:ascii="Arial" w:hAnsi="Arial" w:cs="Arial"/>
                <w:sz w:val="18"/>
                <w:szCs w:val="18"/>
                <w:lang w:val="en-US"/>
              </w:rPr>
              <w:t xml:space="preserve"> </w:t>
            </w:r>
            <w:r w:rsidRPr="008F037D">
              <w:rPr>
                <w:rFonts w:ascii="Arial" w:eastAsia="Times New Roman" w:hAnsi="Arial" w:cs="Arial"/>
                <w:sz w:val="18"/>
                <w:szCs w:val="18"/>
                <w:lang w:val="en-US"/>
              </w:rPr>
              <w:t xml:space="preserve">+886 2 2268 5511 #64653 - </w:t>
            </w:r>
            <w:r w:rsidRPr="008F037D">
              <w:rPr>
                <w:rFonts w:ascii="Arial" w:hAnsi="Arial" w:cs="Arial"/>
                <w:sz w:val="18"/>
                <w:szCs w:val="18"/>
                <w:shd w:val="clear" w:color="auto" w:fill="FFFFFF"/>
                <w:lang w:val="en-US"/>
              </w:rPr>
              <w:t>pr@fih-foxconn.com</w:t>
            </w:r>
          </w:p>
          <w:p w14:paraId="221CB4A2" w14:textId="77777777" w:rsidR="00DF7148" w:rsidRPr="008F037D" w:rsidRDefault="00DF7148" w:rsidP="00081DA5">
            <w:pPr>
              <w:shd w:val="clear" w:color="auto" w:fill="FFFFFF"/>
              <w:ind w:left="440"/>
              <w:rPr>
                <w:rFonts w:ascii="Arial" w:eastAsia="Times New Roman" w:hAnsi="Arial" w:cs="Arial"/>
                <w:b/>
                <w:sz w:val="18"/>
                <w:szCs w:val="18"/>
                <w:lang w:val="en-GB"/>
              </w:rPr>
            </w:pPr>
          </w:p>
          <w:p w14:paraId="424A71F5" w14:textId="3DD134A9" w:rsidR="00DF7148" w:rsidRPr="008F037D" w:rsidRDefault="00DF7148" w:rsidP="00081DA5">
            <w:pPr>
              <w:shd w:val="clear" w:color="auto" w:fill="FFFFFF"/>
              <w:ind w:left="440"/>
              <w:rPr>
                <w:rFonts w:ascii="Arial" w:eastAsia="Times New Roman" w:hAnsi="Arial" w:cs="Arial"/>
                <w:sz w:val="18"/>
                <w:szCs w:val="18"/>
                <w:lang w:val="en-US"/>
              </w:rPr>
            </w:pPr>
            <w:r w:rsidRPr="008F037D">
              <w:rPr>
                <w:rFonts w:ascii="Arial" w:hAnsi="Arial" w:cs="Arial"/>
                <w:b/>
                <w:sz w:val="18"/>
                <w:szCs w:val="18"/>
                <w:lang w:val="en-US"/>
              </w:rPr>
              <w:t xml:space="preserve">Jimmy HUANG : </w:t>
            </w:r>
            <w:r w:rsidRPr="008F037D">
              <w:rPr>
                <w:rFonts w:ascii="Arial" w:eastAsia="Times New Roman" w:hAnsi="Arial" w:cs="Arial"/>
                <w:sz w:val="18"/>
                <w:szCs w:val="18"/>
                <w:lang w:val="en-US"/>
              </w:rPr>
              <w:t>+866</w:t>
            </w:r>
            <w:r w:rsidR="008D2162" w:rsidRPr="008F037D">
              <w:rPr>
                <w:rFonts w:ascii="Arial" w:eastAsia="Times New Roman" w:hAnsi="Arial" w:cs="Arial"/>
                <w:sz w:val="18"/>
                <w:szCs w:val="18"/>
                <w:lang w:val="en-US"/>
              </w:rPr>
              <w:t xml:space="preserve"> </w:t>
            </w:r>
            <w:r w:rsidRPr="008F037D">
              <w:rPr>
                <w:rFonts w:ascii="Arial" w:eastAsia="Times New Roman" w:hAnsi="Arial" w:cs="Arial"/>
                <w:sz w:val="18"/>
                <w:szCs w:val="18"/>
                <w:lang w:val="en-US"/>
              </w:rPr>
              <w:t>2</w:t>
            </w:r>
            <w:r w:rsidR="008D2162" w:rsidRPr="008F037D">
              <w:rPr>
                <w:rFonts w:ascii="Arial" w:eastAsia="Times New Roman" w:hAnsi="Arial" w:cs="Arial"/>
                <w:sz w:val="18"/>
                <w:szCs w:val="18"/>
                <w:lang w:val="en-US"/>
              </w:rPr>
              <w:t xml:space="preserve"> </w:t>
            </w:r>
            <w:r w:rsidRPr="008F037D">
              <w:rPr>
                <w:rFonts w:ascii="Arial" w:eastAsia="Times New Roman" w:hAnsi="Arial" w:cs="Arial"/>
                <w:sz w:val="18"/>
                <w:szCs w:val="18"/>
                <w:lang w:val="en-US"/>
              </w:rPr>
              <w:t>2268</w:t>
            </w:r>
            <w:r w:rsidR="008D2162" w:rsidRPr="008F037D">
              <w:rPr>
                <w:rFonts w:ascii="Arial" w:eastAsia="Times New Roman" w:hAnsi="Arial" w:cs="Arial"/>
                <w:sz w:val="18"/>
                <w:szCs w:val="18"/>
                <w:lang w:val="en-US"/>
              </w:rPr>
              <w:t xml:space="preserve"> </w:t>
            </w:r>
            <w:r w:rsidRPr="008F037D">
              <w:rPr>
                <w:rFonts w:ascii="Arial" w:eastAsia="Times New Roman" w:hAnsi="Arial" w:cs="Arial"/>
                <w:sz w:val="18"/>
                <w:szCs w:val="18"/>
                <w:lang w:val="en-US"/>
              </w:rPr>
              <w:t>3466 - media@foxconn.com</w:t>
            </w:r>
          </w:p>
          <w:p w14:paraId="3D02AC4E" w14:textId="77777777" w:rsidR="00DF7148" w:rsidRPr="008F037D" w:rsidRDefault="00DF7148" w:rsidP="00081DA5">
            <w:pPr>
              <w:shd w:val="clear" w:color="auto" w:fill="FFFFFF"/>
              <w:ind w:left="440"/>
              <w:rPr>
                <w:rFonts w:ascii="Arial" w:hAnsi="Arial" w:cs="Arial"/>
                <w:b/>
                <w:sz w:val="18"/>
                <w:szCs w:val="18"/>
                <w:lang w:val="en-GB"/>
              </w:rPr>
            </w:pPr>
          </w:p>
          <w:p w14:paraId="2A99002F" w14:textId="649EA819" w:rsidR="00DF7148" w:rsidRPr="008F037D" w:rsidRDefault="00DF7148" w:rsidP="00081DA5">
            <w:pPr>
              <w:shd w:val="clear" w:color="auto" w:fill="FFFFFF"/>
              <w:ind w:left="440"/>
              <w:rPr>
                <w:rFonts w:ascii="Arial" w:eastAsia="Times New Roman" w:hAnsi="Arial" w:cs="Arial"/>
                <w:sz w:val="18"/>
                <w:szCs w:val="18"/>
                <w:lang w:val="en-US"/>
              </w:rPr>
            </w:pPr>
            <w:r w:rsidRPr="008F037D">
              <w:rPr>
                <w:rFonts w:ascii="Arial" w:hAnsi="Arial" w:cs="Arial"/>
                <w:b/>
                <w:sz w:val="18"/>
                <w:szCs w:val="18"/>
                <w:lang w:val="en-US"/>
              </w:rPr>
              <w:t>Pierre</w:t>
            </w:r>
            <w:r w:rsidR="0051235D" w:rsidRPr="008F037D">
              <w:rPr>
                <w:rFonts w:ascii="Arial" w:hAnsi="Arial" w:cs="Arial"/>
                <w:b/>
                <w:sz w:val="18"/>
                <w:szCs w:val="18"/>
                <w:lang w:val="en-US"/>
              </w:rPr>
              <w:t>-</w:t>
            </w:r>
            <w:r w:rsidR="00B25CEF" w:rsidRPr="008F037D">
              <w:rPr>
                <w:rFonts w:ascii="Arial" w:hAnsi="Arial" w:cs="Arial"/>
                <w:b/>
                <w:sz w:val="18"/>
                <w:szCs w:val="18"/>
                <w:lang w:val="en-US"/>
              </w:rPr>
              <w:t>Olivier</w:t>
            </w:r>
            <w:r w:rsidRPr="008F037D">
              <w:rPr>
                <w:rFonts w:ascii="Arial" w:hAnsi="Arial" w:cs="Arial"/>
                <w:b/>
                <w:sz w:val="18"/>
                <w:szCs w:val="18"/>
                <w:lang w:val="en-US"/>
              </w:rPr>
              <w:t xml:space="preserve"> SALMON : </w:t>
            </w:r>
            <w:r w:rsidRPr="008F037D">
              <w:rPr>
                <w:rFonts w:ascii="Arial" w:hAnsi="Arial" w:cs="Arial"/>
                <w:sz w:val="18"/>
                <w:szCs w:val="18"/>
                <w:lang w:val="en-US"/>
              </w:rPr>
              <w:t>+</w:t>
            </w:r>
            <w:r w:rsidRPr="008F037D">
              <w:rPr>
                <w:rFonts w:ascii="Arial" w:eastAsia="Times New Roman" w:hAnsi="Arial" w:cs="Arial"/>
                <w:sz w:val="18"/>
                <w:szCs w:val="18"/>
                <w:lang w:val="en-US"/>
              </w:rPr>
              <w:t>33 6 76 86 45 48 - pierreolivier.salmon@stellantis.com</w:t>
            </w:r>
          </w:p>
          <w:p w14:paraId="4AA8C85E" w14:textId="77777777" w:rsidR="00DF7148" w:rsidRPr="008F037D" w:rsidRDefault="00DF7148" w:rsidP="00081DA5">
            <w:pPr>
              <w:shd w:val="clear" w:color="auto" w:fill="FFFFFF"/>
              <w:ind w:left="440"/>
              <w:rPr>
                <w:rFonts w:ascii="Arial" w:hAnsi="Arial" w:cs="Arial"/>
                <w:b/>
                <w:sz w:val="18"/>
                <w:szCs w:val="18"/>
                <w:lang w:val="en-US"/>
              </w:rPr>
            </w:pPr>
          </w:p>
          <w:p w14:paraId="481B87F4" w14:textId="77777777" w:rsidR="00DF7148" w:rsidRPr="008F037D" w:rsidRDefault="00DF7148" w:rsidP="00081DA5">
            <w:pPr>
              <w:shd w:val="clear" w:color="auto" w:fill="FFFFFF"/>
              <w:ind w:left="440"/>
              <w:rPr>
                <w:rFonts w:ascii="Arial" w:hAnsi="Arial" w:cs="Arial"/>
                <w:b/>
                <w:sz w:val="18"/>
                <w:szCs w:val="18"/>
              </w:rPr>
            </w:pPr>
            <w:proofErr w:type="spellStart"/>
            <w:r w:rsidRPr="008F037D">
              <w:rPr>
                <w:rFonts w:ascii="Arial" w:hAnsi="Arial" w:cs="Arial"/>
                <w:b/>
                <w:sz w:val="18"/>
                <w:szCs w:val="18"/>
                <w:lang w:val="en-US"/>
              </w:rPr>
              <w:t>Valérie</w:t>
            </w:r>
            <w:proofErr w:type="spellEnd"/>
            <w:r w:rsidRPr="008F037D">
              <w:rPr>
                <w:rFonts w:ascii="Arial" w:hAnsi="Arial" w:cs="Arial"/>
                <w:b/>
                <w:sz w:val="18"/>
                <w:szCs w:val="18"/>
                <w:lang w:val="en-US"/>
              </w:rPr>
              <w:t xml:space="preserve"> GILLOT :</w:t>
            </w:r>
            <w:r w:rsidRPr="008F037D">
              <w:rPr>
                <w:rFonts w:ascii="Arial" w:hAnsi="Arial" w:cs="Arial"/>
                <w:b/>
                <w:sz w:val="18"/>
                <w:szCs w:val="18"/>
              </w:rPr>
              <w:t xml:space="preserve"> </w:t>
            </w:r>
            <w:r w:rsidRPr="008F037D">
              <w:rPr>
                <w:rFonts w:ascii="Arial" w:eastAsia="Times New Roman" w:hAnsi="Arial" w:cs="Arial"/>
                <w:sz w:val="18"/>
                <w:szCs w:val="18"/>
                <w:lang w:val="en-US"/>
              </w:rPr>
              <w:t>+33 6 83 92 92 96 - valerie.gillot@stellantis.com</w:t>
            </w:r>
          </w:p>
          <w:p w14:paraId="633B7242" w14:textId="77777777" w:rsidR="00DF7148" w:rsidRPr="00DF7148" w:rsidRDefault="00DF7148" w:rsidP="00081DA5">
            <w:pPr>
              <w:shd w:val="clear" w:color="auto" w:fill="FFFFFF"/>
              <w:ind w:left="440"/>
              <w:rPr>
                <w:rFonts w:ascii="Encode Sans CondensedLight" w:hAnsi="Encode Sans CondensedLight" w:cs="Arial"/>
                <w:b/>
                <w:sz w:val="18"/>
                <w:szCs w:val="18"/>
              </w:rPr>
            </w:pPr>
          </w:p>
          <w:p w14:paraId="7A9B26EA" w14:textId="77777777" w:rsidR="00DF7148" w:rsidRPr="00DF7148" w:rsidRDefault="00DF7148" w:rsidP="00081DA5">
            <w:pPr>
              <w:shd w:val="clear" w:color="auto" w:fill="FFFFFF"/>
              <w:rPr>
                <w:rFonts w:ascii="Encode Sans CondensedLight" w:hAnsi="Encode Sans CondensedLight" w:cs="Arial"/>
                <w:b/>
                <w:sz w:val="18"/>
                <w:szCs w:val="18"/>
              </w:rPr>
            </w:pPr>
          </w:p>
        </w:tc>
      </w:tr>
    </w:tbl>
    <w:p w14:paraId="44AE266F" w14:textId="77777777" w:rsidR="00DF7148" w:rsidRPr="00DF7148" w:rsidRDefault="00DF7148" w:rsidP="00DF7148">
      <w:pPr>
        <w:spacing w:after="360" w:line="288" w:lineRule="auto"/>
        <w:rPr>
          <w:rFonts w:ascii="Encode Sans CondensedLight" w:hAnsi="Encode Sans CondensedLight" w:cs="Calibri"/>
          <w:i/>
          <w:color w:val="1F497D" w:themeColor="text2"/>
          <w:sz w:val="18"/>
        </w:rPr>
      </w:pPr>
      <w:r w:rsidRPr="00DF7148">
        <w:rPr>
          <w:rFonts w:ascii="Encode Sans CondensedLight" w:hAnsi="Encode Sans CondensedLight"/>
          <w:i/>
          <w:color w:val="1F497D" w:themeColor="text2"/>
          <w:sz w:val="18"/>
        </w:rPr>
        <w:t>DÉCLARATIONS PROSPECTIVES</w:t>
      </w:r>
    </w:p>
    <w:p w14:paraId="680547FD" w14:textId="5D257A49" w:rsidR="00DF7148" w:rsidRPr="00DF7148" w:rsidRDefault="00DF7148" w:rsidP="004C611F">
      <w:pPr>
        <w:jc w:val="both"/>
        <w:rPr>
          <w:rFonts w:ascii="Encode Sans CondensedLight" w:hAnsi="Encode Sans CondensedLight"/>
          <w:i/>
          <w:sz w:val="16"/>
        </w:rPr>
      </w:pPr>
      <w:r w:rsidRPr="00DF7148">
        <w:rPr>
          <w:rFonts w:ascii="Encode Sans CondensedLight" w:hAnsi="Encode Sans CondensedLight"/>
          <w:i/>
          <w:sz w:val="16"/>
        </w:rPr>
        <w:t>Cette communication contient des déclarations prospectives. En particulier, les déclarations concernant les performances financières futures et les attentes de la Société quant à la réalisation de certaines mesures cibles incluant le chiffre d</w:t>
      </w:r>
      <w:r w:rsidR="003806A2">
        <w:rPr>
          <w:rFonts w:ascii="Encode Sans CondensedLight" w:hAnsi="Encode Sans CondensedLight"/>
          <w:i/>
          <w:sz w:val="16"/>
        </w:rPr>
        <w:t>’</w:t>
      </w:r>
      <w:r w:rsidRPr="00DF7148">
        <w:rPr>
          <w:rFonts w:ascii="Encode Sans CondensedLight" w:hAnsi="Encode Sans CondensedLight"/>
          <w:i/>
          <w:sz w:val="16"/>
        </w:rPr>
        <w:t>affaires, les flux de trésoreries industriels disponibles, les livraisons de véhicules, les investissements en capital, les dépenses en recherche et développement et les autres dépenses à toute date future ou pour toute période future, sont des déclarations prospectives. Ces déclarations prospectives peuvent souvent être identifiées par les mots « peut », « pourra », « s</w:t>
      </w:r>
      <w:r w:rsidR="003806A2">
        <w:rPr>
          <w:rFonts w:ascii="Encode Sans CondensedLight" w:hAnsi="Encode Sans CondensedLight"/>
          <w:i/>
          <w:sz w:val="16"/>
        </w:rPr>
        <w:t>’</w:t>
      </w:r>
      <w:r w:rsidRPr="00DF7148">
        <w:rPr>
          <w:rFonts w:ascii="Encode Sans CondensedLight" w:hAnsi="Encode Sans CondensedLight"/>
          <w:i/>
          <w:sz w:val="16"/>
        </w:rPr>
        <w:t>attendre à », « pourrait », « devrait », « prévoir », « estimer », « anticiper », « croire », « rester », « en mesure de », « concevoir », « cibler », « objectif », « prévisions », « projections », « perspectives », « prospects », « planifier », ainsi que par d</w:t>
      </w:r>
      <w:r w:rsidR="003806A2">
        <w:rPr>
          <w:rFonts w:ascii="Encode Sans CondensedLight" w:hAnsi="Encode Sans CondensedLight"/>
          <w:i/>
          <w:sz w:val="16"/>
        </w:rPr>
        <w:t>’</w:t>
      </w:r>
      <w:r w:rsidRPr="00DF7148">
        <w:rPr>
          <w:rFonts w:ascii="Encode Sans CondensedLight" w:hAnsi="Encode Sans CondensedLight"/>
          <w:i/>
          <w:sz w:val="16"/>
        </w:rPr>
        <w:t>autres termes similaires. Ces déclarations prospectives ne constituent pas des garanties de performances futures. Elles reposent au contraire sur l</w:t>
      </w:r>
      <w:r w:rsidR="003806A2">
        <w:rPr>
          <w:rFonts w:ascii="Encode Sans CondensedLight" w:hAnsi="Encode Sans CondensedLight"/>
          <w:i/>
          <w:sz w:val="16"/>
        </w:rPr>
        <w:t>’</w:t>
      </w:r>
      <w:r w:rsidRPr="00DF7148">
        <w:rPr>
          <w:rFonts w:ascii="Encode Sans CondensedLight" w:hAnsi="Encode Sans CondensedLight"/>
          <w:i/>
          <w:sz w:val="16"/>
        </w:rPr>
        <w:t>état actuel des connaissances du Groupe ainsi que sur ses projections et attentes futures vis-à-vis d</w:t>
      </w:r>
      <w:r w:rsidR="003806A2">
        <w:rPr>
          <w:rFonts w:ascii="Encode Sans CondensedLight" w:hAnsi="Encode Sans CondensedLight"/>
          <w:i/>
          <w:sz w:val="16"/>
        </w:rPr>
        <w:t>’</w:t>
      </w:r>
      <w:r w:rsidRPr="00DF7148">
        <w:rPr>
          <w:rFonts w:ascii="Encode Sans CondensedLight" w:hAnsi="Encode Sans CondensedLight"/>
          <w:i/>
          <w:sz w:val="16"/>
        </w:rPr>
        <w:t>événements à venir, et de par leur nature sont soumises à des incertitudes et risques inhérents. Elles concernent des événements et dépendent de circonstances susceptibles ou non de survenir ou d</w:t>
      </w:r>
      <w:r w:rsidR="003806A2">
        <w:rPr>
          <w:rFonts w:ascii="Encode Sans CondensedLight" w:hAnsi="Encode Sans CondensedLight"/>
          <w:i/>
          <w:sz w:val="16"/>
        </w:rPr>
        <w:t>’</w:t>
      </w:r>
      <w:r w:rsidRPr="00DF7148">
        <w:rPr>
          <w:rFonts w:ascii="Encode Sans CondensedLight" w:hAnsi="Encode Sans CondensedLight"/>
          <w:i/>
          <w:sz w:val="16"/>
        </w:rPr>
        <w:t>exister à l</w:t>
      </w:r>
      <w:r w:rsidR="003806A2">
        <w:rPr>
          <w:rFonts w:ascii="Encode Sans CondensedLight" w:hAnsi="Encode Sans CondensedLight"/>
          <w:i/>
          <w:sz w:val="16"/>
        </w:rPr>
        <w:t>’</w:t>
      </w:r>
      <w:r w:rsidRPr="00DF7148">
        <w:rPr>
          <w:rFonts w:ascii="Encode Sans CondensedLight" w:hAnsi="Encode Sans CondensedLight"/>
          <w:i/>
          <w:sz w:val="16"/>
        </w:rPr>
        <w:t xml:space="preserve">avenir, et en tant que telles, il est recommandé de ne pas leur accorder de confiance excessive. </w:t>
      </w:r>
    </w:p>
    <w:p w14:paraId="2DA7A2AE" w14:textId="77777777" w:rsidR="00DF7148" w:rsidRPr="00DF7148" w:rsidRDefault="00DF7148" w:rsidP="00DF7148">
      <w:pPr>
        <w:rPr>
          <w:rFonts w:ascii="Encode Sans CondensedLight" w:hAnsi="Encode Sans CondensedLight"/>
          <w:i/>
          <w:sz w:val="16"/>
        </w:rPr>
      </w:pPr>
    </w:p>
    <w:p w14:paraId="1318CB06" w14:textId="75A8B28B" w:rsidR="00DF7148" w:rsidRPr="00DF7148" w:rsidRDefault="00DF7148" w:rsidP="004C611F">
      <w:pPr>
        <w:jc w:val="both"/>
        <w:rPr>
          <w:rFonts w:ascii="Encode Sans CondensedLight" w:hAnsi="Encode Sans CondensedLight"/>
          <w:i/>
          <w:sz w:val="16"/>
        </w:rPr>
      </w:pPr>
      <w:r w:rsidRPr="00DF7148">
        <w:rPr>
          <w:rFonts w:ascii="Encode Sans CondensedLight" w:hAnsi="Encode Sans CondensedLight"/>
          <w:i/>
          <w:sz w:val="16"/>
        </w:rPr>
        <w:t>Plusieurs facteurs pourraient entraîner un gros écart entre les résultats réels et ceux anticipés dans la présente, et notamment : l</w:t>
      </w:r>
      <w:r w:rsidR="003806A2">
        <w:rPr>
          <w:rFonts w:ascii="Encode Sans CondensedLight" w:hAnsi="Encode Sans CondensedLight"/>
          <w:i/>
          <w:sz w:val="16"/>
        </w:rPr>
        <w:t>’</w:t>
      </w:r>
      <w:r w:rsidRPr="00DF7148">
        <w:rPr>
          <w:rFonts w:ascii="Encode Sans CondensedLight" w:hAnsi="Encode Sans CondensedLight"/>
          <w:i/>
          <w:sz w:val="16"/>
        </w:rPr>
        <w:t>impact de la pandémie de COVID-19, la capacité du Groupe à réussir le lancement de nouveaux produits et à maintenir le volume de véhicules expédiés ; des changements au niveau des marchés financiers internationaux, de l</w:t>
      </w:r>
      <w:r w:rsidR="003806A2">
        <w:rPr>
          <w:rFonts w:ascii="Encode Sans CondensedLight" w:hAnsi="Encode Sans CondensedLight"/>
          <w:i/>
          <w:sz w:val="16"/>
        </w:rPr>
        <w:t>’</w:t>
      </w:r>
      <w:r w:rsidRPr="00DF7148">
        <w:rPr>
          <w:rFonts w:ascii="Encode Sans CondensedLight" w:hAnsi="Encode Sans CondensedLight"/>
          <w:i/>
          <w:sz w:val="16"/>
        </w:rPr>
        <w:t>environnement économique global et de la demande en produits automobiles qui varie en fonction de la conjoncture ; des changements dans les conditions économiques et politiques locales, des changements dans la politique commerciale et l</w:t>
      </w:r>
      <w:r w:rsidR="003806A2">
        <w:rPr>
          <w:rFonts w:ascii="Encode Sans CondensedLight" w:hAnsi="Encode Sans CondensedLight"/>
          <w:i/>
          <w:sz w:val="16"/>
        </w:rPr>
        <w:t>’</w:t>
      </w:r>
      <w:r w:rsidRPr="00DF7148">
        <w:rPr>
          <w:rFonts w:ascii="Encode Sans CondensedLight" w:hAnsi="Encode Sans CondensedLight"/>
          <w:i/>
          <w:sz w:val="16"/>
        </w:rPr>
        <w:t>imposition de tarifs mondiaux ou régionaux ou ciblant spécifiquement le secteur automobile, l</w:t>
      </w:r>
      <w:r w:rsidR="003806A2">
        <w:rPr>
          <w:rFonts w:ascii="Encode Sans CondensedLight" w:hAnsi="Encode Sans CondensedLight"/>
          <w:i/>
          <w:sz w:val="16"/>
        </w:rPr>
        <w:t>’</w:t>
      </w:r>
      <w:r w:rsidRPr="00DF7148">
        <w:rPr>
          <w:rFonts w:ascii="Encode Sans CondensedLight" w:hAnsi="Encode Sans CondensedLight"/>
          <w:i/>
          <w:sz w:val="16"/>
        </w:rPr>
        <w:t>entrée en vigueur de réformes fiscales ou d</w:t>
      </w:r>
      <w:r w:rsidR="003806A2">
        <w:rPr>
          <w:rFonts w:ascii="Encode Sans CondensedLight" w:hAnsi="Encode Sans CondensedLight"/>
          <w:i/>
          <w:sz w:val="16"/>
        </w:rPr>
        <w:t>’</w:t>
      </w:r>
      <w:r w:rsidRPr="00DF7148">
        <w:rPr>
          <w:rFonts w:ascii="Encode Sans CondensedLight" w:hAnsi="Encode Sans CondensedLight"/>
          <w:i/>
          <w:sz w:val="16"/>
        </w:rPr>
        <w:t>autres changements impactant les lois et réglementations fiscales ; la capacité du Groupe à développer certaines de ses marques à l</w:t>
      </w:r>
      <w:r w:rsidR="003806A2">
        <w:rPr>
          <w:rFonts w:ascii="Encode Sans CondensedLight" w:hAnsi="Encode Sans CondensedLight"/>
          <w:i/>
          <w:sz w:val="16"/>
        </w:rPr>
        <w:t>’</w:t>
      </w:r>
      <w:r w:rsidRPr="00DF7148">
        <w:rPr>
          <w:rFonts w:ascii="Encode Sans CondensedLight" w:hAnsi="Encode Sans CondensedLight"/>
          <w:i/>
          <w:sz w:val="16"/>
        </w:rPr>
        <w:t xml:space="preserve">échelle mondiale ; sa capacité à offrir des produits attractifs et innovants ; sa capacité à </w:t>
      </w:r>
      <w:r w:rsidRPr="00DF7148">
        <w:rPr>
          <w:rFonts w:ascii="Encode Sans CondensedLight" w:hAnsi="Encode Sans CondensedLight"/>
          <w:i/>
          <w:sz w:val="16"/>
        </w:rPr>
        <w:lastRenderedPageBreak/>
        <w:t>développer, fabriquer et vendre des véhicules équipés de technologies de pointe comme l</w:t>
      </w:r>
      <w:r w:rsidR="003806A2">
        <w:rPr>
          <w:rFonts w:ascii="Encode Sans CondensedLight" w:hAnsi="Encode Sans CondensedLight"/>
          <w:i/>
          <w:sz w:val="16"/>
        </w:rPr>
        <w:t>’</w:t>
      </w:r>
      <w:r w:rsidRPr="00DF7148">
        <w:rPr>
          <w:rFonts w:ascii="Encode Sans CondensedLight" w:hAnsi="Encode Sans CondensedLight"/>
          <w:i/>
          <w:sz w:val="16"/>
        </w:rPr>
        <w:t xml:space="preserve">électrification avancée, la connectivité ou la conduite autonome ; différents types de réclamations, poursuites, enquêtes gouvernementales et autres événements imprévus, y compris des plaintes concernant la fiabilité du </w:t>
      </w:r>
      <w:bookmarkStart w:id="0" w:name="_GoBack"/>
      <w:bookmarkEnd w:id="0"/>
      <w:r w:rsidRPr="00DF7148">
        <w:rPr>
          <w:rFonts w:ascii="Encode Sans CondensedLight" w:hAnsi="Encode Sans CondensedLight"/>
          <w:i/>
          <w:sz w:val="16"/>
        </w:rPr>
        <w:t>produit et sa garantie, et des plaintes, enquêtes et poursuites liées à l</w:t>
      </w:r>
      <w:r w:rsidR="003806A2">
        <w:rPr>
          <w:rFonts w:ascii="Encode Sans CondensedLight" w:hAnsi="Encode Sans CondensedLight"/>
          <w:i/>
          <w:sz w:val="16"/>
        </w:rPr>
        <w:t>’</w:t>
      </w:r>
      <w:r w:rsidRPr="00DF7148">
        <w:rPr>
          <w:rFonts w:ascii="Encode Sans CondensedLight" w:hAnsi="Encode Sans CondensedLight"/>
          <w:i/>
          <w:sz w:val="16"/>
        </w:rPr>
        <w:t>environnement ; des dépenses opérationnelles importantes en lien avec le respect des règlementations environnementales, sanitaires et de sécurité ; la vive concurrence marquant le secteur automobile, susceptible d</w:t>
      </w:r>
      <w:r w:rsidR="003806A2">
        <w:rPr>
          <w:rFonts w:ascii="Encode Sans CondensedLight" w:hAnsi="Encode Sans CondensedLight"/>
          <w:i/>
          <w:sz w:val="16"/>
        </w:rPr>
        <w:t>’</w:t>
      </w:r>
      <w:r w:rsidRPr="00DF7148">
        <w:rPr>
          <w:rFonts w:ascii="Encode Sans CondensedLight" w:hAnsi="Encode Sans CondensedLight"/>
          <w:i/>
          <w:sz w:val="16"/>
        </w:rPr>
        <w:t>augmenter en raison de la fusion ; l</w:t>
      </w:r>
      <w:r w:rsidR="003806A2">
        <w:rPr>
          <w:rFonts w:ascii="Encode Sans CondensedLight" w:hAnsi="Encode Sans CondensedLight"/>
          <w:i/>
          <w:sz w:val="16"/>
        </w:rPr>
        <w:t>’</w:t>
      </w:r>
      <w:r w:rsidRPr="00DF7148">
        <w:rPr>
          <w:rFonts w:ascii="Encode Sans CondensedLight" w:hAnsi="Encode Sans CondensedLight"/>
          <w:i/>
          <w:sz w:val="16"/>
        </w:rPr>
        <w:t>exposition à des insuffisances dans le financement des régimes de prévoyance définis par le Groupe ; la capacité de fournir ou faciliter l</w:t>
      </w:r>
      <w:r w:rsidR="003806A2">
        <w:rPr>
          <w:rFonts w:ascii="Encode Sans CondensedLight" w:hAnsi="Encode Sans CondensedLight"/>
          <w:i/>
          <w:sz w:val="16"/>
        </w:rPr>
        <w:t>’</w:t>
      </w:r>
      <w:r w:rsidRPr="00DF7148">
        <w:rPr>
          <w:rFonts w:ascii="Encode Sans CondensedLight" w:hAnsi="Encode Sans CondensedLight"/>
          <w:i/>
          <w:sz w:val="16"/>
        </w:rPr>
        <w:t>accès à des financements adéquats pour les concessionnaires et les clients particuliers, et les risques associés à l</w:t>
      </w:r>
      <w:r w:rsidR="003806A2">
        <w:rPr>
          <w:rFonts w:ascii="Encode Sans CondensedLight" w:hAnsi="Encode Sans CondensedLight"/>
          <w:i/>
          <w:sz w:val="16"/>
        </w:rPr>
        <w:t>’</w:t>
      </w:r>
      <w:r w:rsidRPr="00DF7148">
        <w:rPr>
          <w:rFonts w:ascii="Encode Sans CondensedLight" w:hAnsi="Encode Sans CondensedLight"/>
          <w:i/>
          <w:sz w:val="16"/>
        </w:rPr>
        <w:t>implantation et aux opérations des établissements financiers ; la capacité d</w:t>
      </w:r>
      <w:r w:rsidR="003806A2">
        <w:rPr>
          <w:rFonts w:ascii="Encode Sans CondensedLight" w:hAnsi="Encode Sans CondensedLight"/>
          <w:i/>
          <w:sz w:val="16"/>
        </w:rPr>
        <w:t>’</w:t>
      </w:r>
      <w:r w:rsidRPr="00DF7148">
        <w:rPr>
          <w:rFonts w:ascii="Encode Sans CondensedLight" w:hAnsi="Encode Sans CondensedLight"/>
          <w:i/>
          <w:sz w:val="16"/>
        </w:rPr>
        <w:t>obtention d</w:t>
      </w:r>
      <w:r w:rsidR="003806A2">
        <w:rPr>
          <w:rFonts w:ascii="Encode Sans CondensedLight" w:hAnsi="Encode Sans CondensedLight"/>
          <w:i/>
          <w:sz w:val="16"/>
        </w:rPr>
        <w:t>’</w:t>
      </w:r>
      <w:r w:rsidRPr="00DF7148">
        <w:rPr>
          <w:rFonts w:ascii="Encode Sans CondensedLight" w:hAnsi="Encode Sans CondensedLight"/>
          <w:i/>
          <w:sz w:val="16"/>
        </w:rPr>
        <w:t>un financement pour mettre en œuvre les plans de développement du Groupe et améliorer leurs activités, situation financière et résultats opérationnels ; un dysfonctionnement, une perturbation ou une violation de sécurité significative compromettant les systèmes informatiques ou les systèmes de contrôle électronique équipant les véhicules du Groupe ; la capacité du Groupe à atteindre les bénéfices escomptés suite aux accords de joint-venture ; les perturbations découlant d</w:t>
      </w:r>
      <w:r w:rsidR="003806A2">
        <w:rPr>
          <w:rFonts w:ascii="Encode Sans CondensedLight" w:hAnsi="Encode Sans CondensedLight"/>
          <w:i/>
          <w:sz w:val="16"/>
        </w:rPr>
        <w:t>’</w:t>
      </w:r>
      <w:r w:rsidRPr="00DF7148">
        <w:rPr>
          <w:rFonts w:ascii="Encode Sans CondensedLight" w:hAnsi="Encode Sans CondensedLight"/>
          <w:i/>
          <w:sz w:val="16"/>
        </w:rPr>
        <w:t>une instabilité politique, sociale et économique ; les risques associés à nos relations avec nos employés, nos concessionnaires et nos fournisseurs ; une augmentation des coûts, une rupture d</w:t>
      </w:r>
      <w:r w:rsidR="003806A2">
        <w:rPr>
          <w:rFonts w:ascii="Encode Sans CondensedLight" w:hAnsi="Encode Sans CondensedLight"/>
          <w:i/>
          <w:sz w:val="16"/>
        </w:rPr>
        <w:t>’</w:t>
      </w:r>
      <w:r w:rsidRPr="00DF7148">
        <w:rPr>
          <w:rFonts w:ascii="Encode Sans CondensedLight" w:hAnsi="Encode Sans CondensedLight"/>
          <w:i/>
          <w:sz w:val="16"/>
        </w:rPr>
        <w:t>approvisionnement ou une pénurie de matières premières, pièces, composants et systèmes utilisés dans les véhicules du Groupe ; le développement de relations avec la main d</w:t>
      </w:r>
      <w:r w:rsidR="003806A2">
        <w:rPr>
          <w:rFonts w:ascii="Encode Sans CondensedLight" w:hAnsi="Encode Sans CondensedLight"/>
          <w:i/>
          <w:sz w:val="16"/>
        </w:rPr>
        <w:t>’</w:t>
      </w:r>
      <w:r w:rsidRPr="00DF7148">
        <w:rPr>
          <w:rFonts w:ascii="Encode Sans CondensedLight" w:hAnsi="Encode Sans CondensedLight"/>
          <w:i/>
          <w:sz w:val="16"/>
        </w:rPr>
        <w:t>œuvre et les partenaires sociaux, et l</w:t>
      </w:r>
      <w:r w:rsidR="003806A2">
        <w:rPr>
          <w:rFonts w:ascii="Encode Sans CondensedLight" w:hAnsi="Encode Sans CondensedLight"/>
          <w:i/>
          <w:sz w:val="16"/>
        </w:rPr>
        <w:t>’</w:t>
      </w:r>
      <w:r w:rsidRPr="00DF7148">
        <w:rPr>
          <w:rFonts w:ascii="Encode Sans CondensedLight" w:hAnsi="Encode Sans CondensedLight"/>
          <w:i/>
          <w:sz w:val="16"/>
        </w:rPr>
        <w:t>évolution des lois applicables en matière de travail ; la fluctuation des taux de change, la modification des taux d</w:t>
      </w:r>
      <w:r w:rsidR="003806A2">
        <w:rPr>
          <w:rFonts w:ascii="Encode Sans CondensedLight" w:hAnsi="Encode Sans CondensedLight"/>
          <w:i/>
          <w:sz w:val="16"/>
        </w:rPr>
        <w:t>’</w:t>
      </w:r>
      <w:r w:rsidRPr="00DF7148">
        <w:rPr>
          <w:rFonts w:ascii="Encode Sans CondensedLight" w:hAnsi="Encode Sans CondensedLight"/>
          <w:i/>
          <w:sz w:val="16"/>
        </w:rPr>
        <w:t>intérêt, les risques de crédit et autres risques liés au marché ; une instabilité politique ou sociale ; un séisme ou une autre catastrophe naturelle ; le risque que les opérations de Peugeot S.A. et Fiat Chrysler Automobiles N.V. ne soient pas intégrées avec succès, et d</w:t>
      </w:r>
      <w:r w:rsidR="003806A2">
        <w:rPr>
          <w:rFonts w:ascii="Encode Sans CondensedLight" w:hAnsi="Encode Sans CondensedLight"/>
          <w:i/>
          <w:sz w:val="16"/>
        </w:rPr>
        <w:t>’</w:t>
      </w:r>
      <w:r w:rsidRPr="00DF7148">
        <w:rPr>
          <w:rFonts w:ascii="Encode Sans CondensedLight" w:hAnsi="Encode Sans CondensedLight"/>
          <w:i/>
          <w:sz w:val="16"/>
        </w:rPr>
        <w:t xml:space="preserve">autres risques et incertitudes. </w:t>
      </w:r>
    </w:p>
    <w:p w14:paraId="3931688A" w14:textId="77777777" w:rsidR="00DF7148" w:rsidRPr="00DF7148" w:rsidRDefault="00DF7148" w:rsidP="004C611F">
      <w:pPr>
        <w:jc w:val="both"/>
        <w:rPr>
          <w:rFonts w:ascii="Encode Sans CondensedLight" w:hAnsi="Encode Sans CondensedLight"/>
          <w:i/>
          <w:sz w:val="16"/>
        </w:rPr>
      </w:pPr>
    </w:p>
    <w:p w14:paraId="37845B49" w14:textId="0099E6C3" w:rsidR="00DF7148" w:rsidRPr="00DF7148" w:rsidRDefault="00DF7148" w:rsidP="004C611F">
      <w:pPr>
        <w:jc w:val="both"/>
        <w:rPr>
          <w:rFonts w:ascii="Encode Sans CondensedLight" w:hAnsi="Encode Sans CondensedLight"/>
          <w:i/>
          <w:sz w:val="16"/>
        </w:rPr>
      </w:pPr>
      <w:r w:rsidRPr="00DF7148">
        <w:rPr>
          <w:rFonts w:ascii="Encode Sans CondensedLight" w:hAnsi="Encode Sans CondensedLight"/>
          <w:i/>
          <w:sz w:val="16"/>
        </w:rPr>
        <w:t>Toutes les déclarations prospectives contenues dans cette communication sont valables à la date des présentes, et le Groupe ne prend aucun engagement de mettre à jour ou de réviser publiquement lesdites déclarations prospectives. De plus amples informations concernant le Groupe et ses activités, y compris les facteurs susceptibles d</w:t>
      </w:r>
      <w:r w:rsidR="003806A2">
        <w:rPr>
          <w:rFonts w:ascii="Encode Sans CondensedLight" w:hAnsi="Encode Sans CondensedLight"/>
          <w:i/>
          <w:sz w:val="16"/>
        </w:rPr>
        <w:t>’</w:t>
      </w:r>
      <w:r w:rsidRPr="00DF7148">
        <w:rPr>
          <w:rFonts w:ascii="Encode Sans CondensedLight" w:hAnsi="Encode Sans CondensedLight"/>
          <w:i/>
          <w:sz w:val="16"/>
        </w:rPr>
        <w:t>impacter de manière significative les résultats financiers du Groupe, sont incluses dans les rapports et dossiers du Groupe déposés auprès de l</w:t>
      </w:r>
      <w:r w:rsidR="003806A2">
        <w:rPr>
          <w:rFonts w:ascii="Encode Sans CondensedLight" w:hAnsi="Encode Sans CondensedLight"/>
          <w:i/>
          <w:sz w:val="16"/>
        </w:rPr>
        <w:t>’</w:t>
      </w:r>
      <w:r w:rsidRPr="00DF7148">
        <w:rPr>
          <w:rFonts w:ascii="Encode Sans CondensedLight" w:hAnsi="Encode Sans CondensedLight"/>
          <w:i/>
          <w:sz w:val="16"/>
        </w:rPr>
        <w:t>U.S. Securities and Exchange Commission, de l</w:t>
      </w:r>
      <w:r w:rsidR="003806A2">
        <w:rPr>
          <w:rFonts w:ascii="Encode Sans CondensedLight" w:hAnsi="Encode Sans CondensedLight"/>
          <w:i/>
          <w:sz w:val="16"/>
        </w:rPr>
        <w:t>’</w:t>
      </w:r>
      <w:r w:rsidRPr="00DF7148">
        <w:rPr>
          <w:rFonts w:ascii="Encode Sans CondensedLight" w:hAnsi="Encode Sans CondensedLight"/>
          <w:i/>
          <w:sz w:val="16"/>
        </w:rPr>
        <w:t>AFM et de la CONSOB.</w:t>
      </w:r>
    </w:p>
    <w:sectPr w:rsidR="00DF7148" w:rsidRPr="00DF7148">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AF4A" w14:textId="77777777" w:rsidR="007B4A2F" w:rsidRDefault="007B4A2F">
      <w:pPr>
        <w:spacing w:line="240" w:lineRule="auto"/>
      </w:pPr>
      <w:r>
        <w:separator/>
      </w:r>
    </w:p>
  </w:endnote>
  <w:endnote w:type="continuationSeparator" w:id="0">
    <w:p w14:paraId="0C606B57" w14:textId="77777777" w:rsidR="007B4A2F" w:rsidRDefault="007B4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Encode Sans">
    <w:panose1 w:val="00000000000000000000"/>
    <w:charset w:val="00"/>
    <w:family w:val="auto"/>
    <w:pitch w:val="variable"/>
    <w:sig w:usb0="A00000FF" w:usb1="4000207B" w:usb2="00000000" w:usb3="00000000" w:csb0="00000193" w:csb1="00000000"/>
  </w:font>
  <w:font w:name="Encode Sans CondensedLight">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48AB" w14:textId="77777777" w:rsidR="007B4A2F" w:rsidRDefault="007B4A2F">
      <w:pPr>
        <w:spacing w:line="240" w:lineRule="auto"/>
      </w:pPr>
      <w:r>
        <w:separator/>
      </w:r>
    </w:p>
  </w:footnote>
  <w:footnote w:type="continuationSeparator" w:id="0">
    <w:p w14:paraId="3E28C45A" w14:textId="77777777" w:rsidR="007B4A2F" w:rsidRDefault="007B4A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617" w14:textId="2478BE1B" w:rsidR="007135D1" w:rsidRDefault="00BD5D19">
    <w:r>
      <w:rPr>
        <w:noProof/>
        <w:lang w:val="en-US"/>
      </w:rPr>
      <w:drawing>
        <wp:inline distT="0" distB="0" distL="0" distR="0" wp14:anchorId="1A67CC7F" wp14:editId="1B1CD19F">
          <wp:extent cx="1647825" cy="41266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 Hai Foxconn logo.png"/>
                  <pic:cNvPicPr/>
                </pic:nvPicPr>
                <pic:blipFill>
                  <a:blip r:embed="rId1">
                    <a:extLst>
                      <a:ext uri="{28A0092B-C50C-407E-A947-70E740481C1C}">
                        <a14:useLocalDpi xmlns:a14="http://schemas.microsoft.com/office/drawing/2010/main" val="0"/>
                      </a:ext>
                    </a:extLst>
                  </a:blip>
                  <a:stretch>
                    <a:fillRect/>
                  </a:stretch>
                </pic:blipFill>
                <pic:spPr>
                  <a:xfrm>
                    <a:off x="0" y="0"/>
                    <a:ext cx="1675202" cy="419516"/>
                  </a:xfrm>
                  <a:prstGeom prst="rect">
                    <a:avLst/>
                  </a:prstGeom>
                </pic:spPr>
              </pic:pic>
            </a:graphicData>
          </a:graphic>
        </wp:inline>
      </w:drawing>
    </w:r>
    <w:r>
      <w:t xml:space="preserve">                                                     </w:t>
    </w:r>
    <w:r>
      <w:rPr>
        <w:noProof/>
        <w:lang w:val="en-US"/>
      </w:rPr>
      <w:drawing>
        <wp:inline distT="114300" distB="114300" distL="114300" distR="114300" wp14:anchorId="3BA27E0E" wp14:editId="63CAA8E3">
          <wp:extent cx="1982928" cy="523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b="16919"/>
                  <a:stretch/>
                </pic:blipFill>
                <pic:spPr bwMode="auto">
                  <a:xfrm>
                    <a:off x="0" y="0"/>
                    <a:ext cx="1984623" cy="524323"/>
                  </a:xfrm>
                  <a:prstGeom prst="rect">
                    <a:avLst/>
                  </a:prstGeom>
                  <a:ln>
                    <a:noFill/>
                  </a:ln>
                  <a:extLst>
                    <a:ext uri="{53640926-AAD7-44D8-BBD7-CCE9431645EC}">
                      <a14:shadowObscured xmlns:a14="http://schemas.microsoft.com/office/drawing/2010/main"/>
                    </a:ext>
                  </a:extLst>
                </pic:spPr>
              </pic:pic>
            </a:graphicData>
          </a:graphic>
        </wp:inline>
      </w:drawing>
    </w:r>
  </w:p>
  <w:p w14:paraId="4721C5A9" w14:textId="77777777" w:rsidR="003806A2" w:rsidRDefault="003806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2391"/>
    <w:multiLevelType w:val="multilevel"/>
    <w:tmpl w:val="57BAF45A"/>
    <w:lvl w:ilvl="0">
      <w:start w:val="1"/>
      <w:numFmt w:val="bullet"/>
      <w:lvlText w:val="●"/>
      <w:lvlJc w:val="left"/>
      <w:pPr>
        <w:ind w:left="840" w:hanging="480"/>
      </w:pPr>
      <w:rPr>
        <w:rFonts w:ascii="Noto Sans Symbols" w:eastAsia="Noto Sans Symbols" w:hAnsi="Noto Sans Symbols" w:cs="Noto Sans Symbols"/>
      </w:rPr>
    </w:lvl>
    <w:lvl w:ilvl="1">
      <w:start w:val="1"/>
      <w:numFmt w:val="bullet"/>
      <w:lvlText w:val="■"/>
      <w:lvlJc w:val="left"/>
      <w:pPr>
        <w:ind w:left="1320" w:hanging="480"/>
      </w:pPr>
      <w:rPr>
        <w:rFonts w:ascii="Noto Sans Symbols" w:eastAsia="Noto Sans Symbols" w:hAnsi="Noto Sans Symbols" w:cs="Noto Sans Symbols"/>
      </w:rPr>
    </w:lvl>
    <w:lvl w:ilvl="2">
      <w:start w:val="1"/>
      <w:numFmt w:val="bullet"/>
      <w:lvlText w:val="◆"/>
      <w:lvlJc w:val="left"/>
      <w:pPr>
        <w:ind w:left="1800" w:hanging="480"/>
      </w:pPr>
      <w:rPr>
        <w:rFonts w:ascii="Noto Sans Symbols" w:eastAsia="Noto Sans Symbols" w:hAnsi="Noto Sans Symbols" w:cs="Noto Sans Symbols"/>
      </w:rPr>
    </w:lvl>
    <w:lvl w:ilvl="3">
      <w:start w:val="1"/>
      <w:numFmt w:val="bullet"/>
      <w:lvlText w:val="●"/>
      <w:lvlJc w:val="left"/>
      <w:pPr>
        <w:ind w:left="2280" w:hanging="480"/>
      </w:pPr>
      <w:rPr>
        <w:rFonts w:ascii="Noto Sans Symbols" w:eastAsia="Noto Sans Symbols" w:hAnsi="Noto Sans Symbols" w:cs="Noto Sans Symbols"/>
      </w:rPr>
    </w:lvl>
    <w:lvl w:ilvl="4">
      <w:start w:val="1"/>
      <w:numFmt w:val="bullet"/>
      <w:lvlText w:val="■"/>
      <w:lvlJc w:val="left"/>
      <w:pPr>
        <w:ind w:left="2760" w:hanging="480"/>
      </w:pPr>
      <w:rPr>
        <w:rFonts w:ascii="Noto Sans Symbols" w:eastAsia="Noto Sans Symbols" w:hAnsi="Noto Sans Symbols" w:cs="Noto Sans Symbols"/>
      </w:rPr>
    </w:lvl>
    <w:lvl w:ilvl="5">
      <w:start w:val="1"/>
      <w:numFmt w:val="bullet"/>
      <w:lvlText w:val="◆"/>
      <w:lvlJc w:val="left"/>
      <w:pPr>
        <w:ind w:left="3240" w:hanging="480"/>
      </w:pPr>
      <w:rPr>
        <w:rFonts w:ascii="Noto Sans Symbols" w:eastAsia="Noto Sans Symbols" w:hAnsi="Noto Sans Symbols" w:cs="Noto Sans Symbols"/>
      </w:rPr>
    </w:lvl>
    <w:lvl w:ilvl="6">
      <w:start w:val="1"/>
      <w:numFmt w:val="bullet"/>
      <w:lvlText w:val="●"/>
      <w:lvlJc w:val="left"/>
      <w:pPr>
        <w:ind w:left="3720" w:hanging="480"/>
      </w:pPr>
      <w:rPr>
        <w:rFonts w:ascii="Noto Sans Symbols" w:eastAsia="Noto Sans Symbols" w:hAnsi="Noto Sans Symbols" w:cs="Noto Sans Symbols"/>
      </w:rPr>
    </w:lvl>
    <w:lvl w:ilvl="7">
      <w:start w:val="1"/>
      <w:numFmt w:val="bullet"/>
      <w:lvlText w:val="■"/>
      <w:lvlJc w:val="left"/>
      <w:pPr>
        <w:ind w:left="4200" w:hanging="480"/>
      </w:pPr>
      <w:rPr>
        <w:rFonts w:ascii="Noto Sans Symbols" w:eastAsia="Noto Sans Symbols" w:hAnsi="Noto Sans Symbols" w:cs="Noto Sans Symbols"/>
      </w:rPr>
    </w:lvl>
    <w:lvl w:ilvl="8">
      <w:start w:val="1"/>
      <w:numFmt w:val="bullet"/>
      <w:lvlText w:val="◆"/>
      <w:lvlJc w:val="left"/>
      <w:pPr>
        <w:ind w:left="4680" w:hanging="480"/>
      </w:pPr>
      <w:rPr>
        <w:rFonts w:ascii="Noto Sans Symbols" w:eastAsia="Noto Sans Symbols" w:hAnsi="Noto Sans Symbols" w:cs="Noto Sans Symbols"/>
      </w:rPr>
    </w:lvl>
  </w:abstractNum>
  <w:abstractNum w:abstractNumId="1" w15:restartNumberingAfterBreak="0">
    <w:nsid w:val="383A4274"/>
    <w:multiLevelType w:val="multilevel"/>
    <w:tmpl w:val="16F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D1"/>
    <w:rsid w:val="00013170"/>
    <w:rsid w:val="00015415"/>
    <w:rsid w:val="000463E8"/>
    <w:rsid w:val="0004746B"/>
    <w:rsid w:val="00064E0C"/>
    <w:rsid w:val="000A7784"/>
    <w:rsid w:val="000B3F1C"/>
    <w:rsid w:val="00122128"/>
    <w:rsid w:val="001464F8"/>
    <w:rsid w:val="00183237"/>
    <w:rsid w:val="001978F7"/>
    <w:rsid w:val="002123FC"/>
    <w:rsid w:val="00214106"/>
    <w:rsid w:val="00245450"/>
    <w:rsid w:val="00262A33"/>
    <w:rsid w:val="002849E1"/>
    <w:rsid w:val="002A436E"/>
    <w:rsid w:val="002C35C4"/>
    <w:rsid w:val="002D7319"/>
    <w:rsid w:val="002D7EBC"/>
    <w:rsid w:val="002F004B"/>
    <w:rsid w:val="0030053A"/>
    <w:rsid w:val="00311E87"/>
    <w:rsid w:val="003326FF"/>
    <w:rsid w:val="0035748F"/>
    <w:rsid w:val="00376C5D"/>
    <w:rsid w:val="003806A2"/>
    <w:rsid w:val="003A2984"/>
    <w:rsid w:val="004464A5"/>
    <w:rsid w:val="00454E4D"/>
    <w:rsid w:val="00481F67"/>
    <w:rsid w:val="004C1DA0"/>
    <w:rsid w:val="004C611F"/>
    <w:rsid w:val="0051235D"/>
    <w:rsid w:val="0051631B"/>
    <w:rsid w:val="005379EA"/>
    <w:rsid w:val="00593133"/>
    <w:rsid w:val="005B35B7"/>
    <w:rsid w:val="005D15F1"/>
    <w:rsid w:val="005F42E1"/>
    <w:rsid w:val="0060420E"/>
    <w:rsid w:val="00633A7E"/>
    <w:rsid w:val="006805A0"/>
    <w:rsid w:val="006B36B3"/>
    <w:rsid w:val="006C1CFE"/>
    <w:rsid w:val="006E3421"/>
    <w:rsid w:val="006E6F54"/>
    <w:rsid w:val="007135D1"/>
    <w:rsid w:val="00716F99"/>
    <w:rsid w:val="0074395E"/>
    <w:rsid w:val="007B4A2F"/>
    <w:rsid w:val="00834DD5"/>
    <w:rsid w:val="00853DAD"/>
    <w:rsid w:val="008647B3"/>
    <w:rsid w:val="0088348C"/>
    <w:rsid w:val="00891E2C"/>
    <w:rsid w:val="00893188"/>
    <w:rsid w:val="008B36F4"/>
    <w:rsid w:val="008D2162"/>
    <w:rsid w:val="008F037D"/>
    <w:rsid w:val="00914361"/>
    <w:rsid w:val="009577F1"/>
    <w:rsid w:val="00983274"/>
    <w:rsid w:val="00992776"/>
    <w:rsid w:val="009A623A"/>
    <w:rsid w:val="009B4C26"/>
    <w:rsid w:val="00A61D88"/>
    <w:rsid w:val="00A6305F"/>
    <w:rsid w:val="00A63AF1"/>
    <w:rsid w:val="00A7744C"/>
    <w:rsid w:val="00AB08E1"/>
    <w:rsid w:val="00B25CEF"/>
    <w:rsid w:val="00B61C33"/>
    <w:rsid w:val="00BD5D19"/>
    <w:rsid w:val="00BE3206"/>
    <w:rsid w:val="00C12C8C"/>
    <w:rsid w:val="00C22847"/>
    <w:rsid w:val="00C76412"/>
    <w:rsid w:val="00C95160"/>
    <w:rsid w:val="00CE36B9"/>
    <w:rsid w:val="00CF58B8"/>
    <w:rsid w:val="00D349A7"/>
    <w:rsid w:val="00D87392"/>
    <w:rsid w:val="00D9161E"/>
    <w:rsid w:val="00DE7E76"/>
    <w:rsid w:val="00DF271E"/>
    <w:rsid w:val="00DF638D"/>
    <w:rsid w:val="00DF7148"/>
    <w:rsid w:val="00E02675"/>
    <w:rsid w:val="00E23D35"/>
    <w:rsid w:val="00E36C02"/>
    <w:rsid w:val="00E5717B"/>
    <w:rsid w:val="00E65B3E"/>
    <w:rsid w:val="00F06416"/>
    <w:rsid w:val="00F50D57"/>
    <w:rsid w:val="00F8481F"/>
    <w:rsid w:val="00F923B1"/>
    <w:rsid w:val="00FE2D8F"/>
    <w:rsid w:val="00FF0115"/>
    <w:rsid w:val="00FF49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D335B"/>
  <w15:docId w15:val="{5BA0B6A2-6509-4983-B32D-8FA1B333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D5D19"/>
    <w:pPr>
      <w:tabs>
        <w:tab w:val="center" w:pos="4680"/>
        <w:tab w:val="right" w:pos="9360"/>
      </w:tabs>
      <w:spacing w:line="240" w:lineRule="auto"/>
    </w:pPr>
  </w:style>
  <w:style w:type="character" w:customStyle="1" w:styleId="HeaderChar">
    <w:name w:val="Header Char"/>
    <w:basedOn w:val="DefaultParagraphFont"/>
    <w:link w:val="Header"/>
    <w:uiPriority w:val="99"/>
    <w:rsid w:val="00BD5D19"/>
  </w:style>
  <w:style w:type="paragraph" w:styleId="Footer">
    <w:name w:val="footer"/>
    <w:basedOn w:val="Normal"/>
    <w:link w:val="FooterChar"/>
    <w:uiPriority w:val="99"/>
    <w:unhideWhenUsed/>
    <w:rsid w:val="00BD5D19"/>
    <w:pPr>
      <w:tabs>
        <w:tab w:val="center" w:pos="4680"/>
        <w:tab w:val="right" w:pos="9360"/>
      </w:tabs>
      <w:spacing w:line="240" w:lineRule="auto"/>
    </w:pPr>
  </w:style>
  <w:style w:type="character" w:customStyle="1" w:styleId="FooterChar">
    <w:name w:val="Footer Char"/>
    <w:basedOn w:val="DefaultParagraphFont"/>
    <w:link w:val="Footer"/>
    <w:uiPriority w:val="99"/>
    <w:rsid w:val="00BD5D19"/>
  </w:style>
  <w:style w:type="character" w:styleId="Hyperlink">
    <w:name w:val="Hyperlink"/>
    <w:basedOn w:val="DefaultParagraphFont"/>
    <w:uiPriority w:val="99"/>
    <w:unhideWhenUsed/>
    <w:rsid w:val="00716F99"/>
    <w:rPr>
      <w:color w:val="0000FF" w:themeColor="hyperlink"/>
      <w:u w:val="single"/>
    </w:rPr>
  </w:style>
  <w:style w:type="paragraph" w:styleId="BalloonText">
    <w:name w:val="Balloon Text"/>
    <w:basedOn w:val="Normal"/>
    <w:link w:val="BalloonTextChar"/>
    <w:uiPriority w:val="99"/>
    <w:semiHidden/>
    <w:unhideWhenUsed/>
    <w:rsid w:val="00716F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99"/>
    <w:rPr>
      <w:rFonts w:ascii="Segoe UI" w:hAnsi="Segoe UI" w:cs="Segoe UI"/>
      <w:sz w:val="18"/>
      <w:szCs w:val="18"/>
    </w:rPr>
  </w:style>
  <w:style w:type="table" w:styleId="TableGrid">
    <w:name w:val="Table Grid"/>
    <w:basedOn w:val="TableNormal"/>
    <w:uiPriority w:val="59"/>
    <w:rsid w:val="00D349A7"/>
    <w:pPr>
      <w:spacing w:line="240" w:lineRule="auto"/>
    </w:pPr>
    <w:rPr>
      <w:rFonts w:asciiTheme="minorHAnsi" w:eastAsiaTheme="minorHAnsi" w:hAnsiTheme="minorHAnsi" w:cstheme="minorBidi"/>
      <w:sz w:val="16"/>
      <w:szCs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D349A7"/>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1E2C"/>
    <w:rPr>
      <w:sz w:val="16"/>
      <w:szCs w:val="16"/>
    </w:rPr>
  </w:style>
  <w:style w:type="paragraph" w:styleId="CommentText">
    <w:name w:val="annotation text"/>
    <w:basedOn w:val="Normal"/>
    <w:link w:val="CommentTextChar"/>
    <w:uiPriority w:val="99"/>
    <w:semiHidden/>
    <w:unhideWhenUsed/>
    <w:rsid w:val="00891E2C"/>
    <w:pPr>
      <w:spacing w:line="240" w:lineRule="auto"/>
    </w:pPr>
    <w:rPr>
      <w:sz w:val="20"/>
      <w:szCs w:val="20"/>
    </w:rPr>
  </w:style>
  <w:style w:type="character" w:customStyle="1" w:styleId="CommentTextChar">
    <w:name w:val="Comment Text Char"/>
    <w:basedOn w:val="DefaultParagraphFont"/>
    <w:link w:val="CommentText"/>
    <w:uiPriority w:val="99"/>
    <w:semiHidden/>
    <w:rsid w:val="00891E2C"/>
    <w:rPr>
      <w:sz w:val="20"/>
      <w:szCs w:val="20"/>
    </w:rPr>
  </w:style>
  <w:style w:type="paragraph" w:styleId="CommentSubject">
    <w:name w:val="annotation subject"/>
    <w:basedOn w:val="CommentText"/>
    <w:next w:val="CommentText"/>
    <w:link w:val="CommentSubjectChar"/>
    <w:uiPriority w:val="99"/>
    <w:semiHidden/>
    <w:unhideWhenUsed/>
    <w:rsid w:val="00891E2C"/>
    <w:rPr>
      <w:b/>
      <w:bCs/>
    </w:rPr>
  </w:style>
  <w:style w:type="character" w:customStyle="1" w:styleId="CommentSubjectChar">
    <w:name w:val="Comment Subject Char"/>
    <w:basedOn w:val="CommentTextChar"/>
    <w:link w:val="CommentSubject"/>
    <w:uiPriority w:val="99"/>
    <w:semiHidden/>
    <w:rsid w:val="00891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8538">
      <w:bodyDiv w:val="1"/>
      <w:marLeft w:val="0"/>
      <w:marRight w:val="0"/>
      <w:marTop w:val="0"/>
      <w:marBottom w:val="0"/>
      <w:divBdr>
        <w:top w:val="none" w:sz="0" w:space="0" w:color="auto"/>
        <w:left w:val="none" w:sz="0" w:space="0" w:color="auto"/>
        <w:bottom w:val="none" w:sz="0" w:space="0" w:color="auto"/>
        <w:right w:val="none" w:sz="0" w:space="0" w:color="auto"/>
      </w:divBdr>
    </w:div>
    <w:div w:id="859201486">
      <w:bodyDiv w:val="1"/>
      <w:marLeft w:val="0"/>
      <w:marRight w:val="0"/>
      <w:marTop w:val="0"/>
      <w:marBottom w:val="0"/>
      <w:divBdr>
        <w:top w:val="none" w:sz="0" w:space="0" w:color="auto"/>
        <w:left w:val="none" w:sz="0" w:space="0" w:color="auto"/>
        <w:bottom w:val="none" w:sz="0" w:space="0" w:color="auto"/>
        <w:right w:val="none" w:sz="0" w:space="0" w:color="auto"/>
      </w:divBdr>
    </w:div>
    <w:div w:id="1023550255">
      <w:bodyDiv w:val="1"/>
      <w:marLeft w:val="0"/>
      <w:marRight w:val="0"/>
      <w:marTop w:val="0"/>
      <w:marBottom w:val="0"/>
      <w:divBdr>
        <w:top w:val="none" w:sz="0" w:space="0" w:color="auto"/>
        <w:left w:val="none" w:sz="0" w:space="0" w:color="auto"/>
        <w:bottom w:val="none" w:sz="0" w:space="0" w:color="auto"/>
        <w:right w:val="none" w:sz="0" w:space="0" w:color="auto"/>
      </w:divBdr>
    </w:div>
    <w:div w:id="1109085277">
      <w:bodyDiv w:val="1"/>
      <w:marLeft w:val="0"/>
      <w:marRight w:val="0"/>
      <w:marTop w:val="0"/>
      <w:marBottom w:val="0"/>
      <w:divBdr>
        <w:top w:val="none" w:sz="0" w:space="0" w:color="auto"/>
        <w:left w:val="none" w:sz="0" w:space="0" w:color="auto"/>
        <w:bottom w:val="none" w:sz="0" w:space="0" w:color="auto"/>
        <w:right w:val="none" w:sz="0" w:space="0" w:color="auto"/>
      </w:divBdr>
    </w:div>
    <w:div w:id="160741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onhai.com" TargetMode="Externa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linkedin.com/company/Stellanti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1569</Words>
  <Characters>9483</Characters>
  <Application>Microsoft Office Word</Application>
  <DocSecurity>0</DocSecurity>
  <Lines>150</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Johnston</cp:lastModifiedBy>
  <cp:revision>5</cp:revision>
  <dcterms:created xsi:type="dcterms:W3CDTF">2021-08-23T08:04:00Z</dcterms:created>
  <dcterms:modified xsi:type="dcterms:W3CDTF">2021-08-23T22:07:00Z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2021-05-17T14:34:50Z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9744ff2c-9835-47cc-968b-99310c604caf</vt:lpwstr>
  </property>
  <property fmtid="{D5CDD505-2E9C-101B-9397-08002B2CF9AE}" pid="8" name="MSIP_Label_2fd53d93-3f4c-4b90-b511-bd6bdbb4fba9_ContentBits">
    <vt:lpwstr>0</vt:lpwstr>
  </property>
</Properties>
</file>