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8EE0A" w14:textId="77777777" w:rsidR="00674B61" w:rsidRDefault="00674B61" w:rsidP="00674B61">
      <w:pPr>
        <w:shd w:val="clear" w:color="auto" w:fill="FFFFFF"/>
        <w:spacing w:line="0" w:lineRule="atLeast"/>
        <w:rPr>
          <w:b/>
          <w:color w:val="222222"/>
        </w:rPr>
      </w:pPr>
    </w:p>
    <w:p w14:paraId="47BDD9D1" w14:textId="002FB3FF" w:rsidR="004115A7" w:rsidRDefault="004115A7" w:rsidP="00674B61">
      <w:pPr>
        <w:shd w:val="clear" w:color="auto" w:fill="FFFFFF"/>
        <w:spacing w:line="0" w:lineRule="atLeast"/>
        <w:rPr>
          <w:b/>
          <w:color w:val="222222"/>
        </w:rPr>
      </w:pPr>
      <w:r w:rsidRPr="00931F44">
        <w:rPr>
          <w:b/>
          <w:color w:val="222222"/>
        </w:rPr>
        <w:t xml:space="preserve">FIH Mobile e Stellantis creano una joint venture per fornire soluzioni </w:t>
      </w:r>
      <w:r w:rsidR="00D158A7" w:rsidRPr="00931F44">
        <w:rPr>
          <w:b/>
          <w:color w:val="222222"/>
        </w:rPr>
        <w:t xml:space="preserve">di cockpit dirompenti e </w:t>
      </w:r>
      <w:r w:rsidRPr="00931F44">
        <w:rPr>
          <w:b/>
          <w:color w:val="222222"/>
        </w:rPr>
        <w:t>intelligenti</w:t>
      </w:r>
      <w:r w:rsidR="00D158A7" w:rsidRPr="00931F44">
        <w:rPr>
          <w:b/>
          <w:color w:val="222222"/>
        </w:rPr>
        <w:t xml:space="preserve"> </w:t>
      </w:r>
      <w:r w:rsidRPr="00931F44">
        <w:rPr>
          <w:b/>
          <w:color w:val="222222"/>
        </w:rPr>
        <w:t>per il settore automobilistico</w:t>
      </w:r>
    </w:p>
    <w:p w14:paraId="5372E557" w14:textId="77777777" w:rsidR="00931F44" w:rsidRPr="00931F44" w:rsidRDefault="00931F44" w:rsidP="004115A7">
      <w:pPr>
        <w:shd w:val="clear" w:color="auto" w:fill="FFFFFF"/>
        <w:spacing w:line="0" w:lineRule="atLeast"/>
        <w:jc w:val="center"/>
        <w:rPr>
          <w:rFonts w:eastAsia="Microsoft JhengHei Light"/>
          <w:b/>
          <w:color w:val="222222"/>
        </w:rPr>
      </w:pPr>
    </w:p>
    <w:p w14:paraId="7B8AB2AF" w14:textId="137A60FE" w:rsidR="00F83177" w:rsidRPr="00F83177" w:rsidRDefault="004115A7" w:rsidP="00F83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rPr>
          <w:rFonts w:eastAsia="Microsoft JhengHei Light"/>
          <w:color w:val="222222"/>
        </w:rPr>
      </w:pPr>
      <w:r w:rsidRPr="00931F44">
        <w:rPr>
          <w:color w:val="222222"/>
        </w:rPr>
        <w:t>Mobile Drive sarà di proprietà di Stellantis e Foxconn Technology Group in misura paritetica</w:t>
      </w:r>
    </w:p>
    <w:p w14:paraId="6D4F2BB3" w14:textId="7E72E3C5" w:rsidR="004115A7" w:rsidRPr="004B5751" w:rsidRDefault="00F83177" w:rsidP="004B57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rPr>
          <w:rFonts w:eastAsia="Microsoft JhengHei Light"/>
          <w:color w:val="222222"/>
        </w:rPr>
      </w:pPr>
      <w:proofErr w:type="spellStart"/>
      <w:r>
        <w:rPr>
          <w:rFonts w:eastAsia="Microsoft JhengHei Light"/>
          <w:color w:val="222222"/>
        </w:rPr>
        <w:t>Stellantis</w:t>
      </w:r>
      <w:proofErr w:type="spellEnd"/>
      <w:r>
        <w:rPr>
          <w:rFonts w:eastAsia="Microsoft JhengHei Light"/>
          <w:color w:val="222222"/>
        </w:rPr>
        <w:t xml:space="preserve"> accelera l</w:t>
      </w:r>
      <w:r w:rsidR="00AE3E17">
        <w:rPr>
          <w:rFonts w:eastAsia="Microsoft JhengHei Light"/>
          <w:color w:val="222222"/>
        </w:rPr>
        <w:t>’</w:t>
      </w:r>
      <w:r>
        <w:rPr>
          <w:rFonts w:eastAsia="Microsoft JhengHei Light"/>
          <w:color w:val="222222"/>
        </w:rPr>
        <w:t xml:space="preserve">esecuzione della </w:t>
      </w:r>
      <w:proofErr w:type="spellStart"/>
      <w:r>
        <w:rPr>
          <w:rFonts w:eastAsia="Microsoft JhengHei Light"/>
          <w:color w:val="222222"/>
        </w:rPr>
        <w:t>roadmap</w:t>
      </w:r>
      <w:proofErr w:type="spellEnd"/>
      <w:r>
        <w:rPr>
          <w:rFonts w:eastAsia="Microsoft JhengHei Light"/>
          <w:color w:val="222222"/>
        </w:rPr>
        <w:t xml:space="preserve"> tecnologica per mezzo di una partnership innovativa</w:t>
      </w:r>
      <w:r w:rsidR="004115A7" w:rsidRPr="004B5751">
        <w:rPr>
          <w:color w:val="222222"/>
        </w:rPr>
        <w:t xml:space="preserve"> </w:t>
      </w:r>
    </w:p>
    <w:p w14:paraId="240118DB" w14:textId="7487BAA3" w:rsidR="00A018B9" w:rsidRPr="004B5751" w:rsidRDefault="00A018B9" w:rsidP="00A018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rPr>
          <w:color w:val="222222"/>
        </w:rPr>
      </w:pPr>
      <w:r>
        <w:rPr>
          <w:color w:val="222222"/>
        </w:rPr>
        <w:t>La c</w:t>
      </w:r>
      <w:r w:rsidRPr="00A018B9">
        <w:rPr>
          <w:color w:val="222222"/>
        </w:rPr>
        <w:t xml:space="preserve">ompetenza tecnologica condivisa, </w:t>
      </w:r>
      <w:r>
        <w:rPr>
          <w:color w:val="222222"/>
        </w:rPr>
        <w:t>l</w:t>
      </w:r>
      <w:r w:rsidR="00AE3E17">
        <w:rPr>
          <w:color w:val="222222"/>
        </w:rPr>
        <w:t>’</w:t>
      </w:r>
      <w:r w:rsidRPr="00A018B9">
        <w:rPr>
          <w:color w:val="222222"/>
        </w:rPr>
        <w:t xml:space="preserve">esperienza di mercato e </w:t>
      </w:r>
      <w:r>
        <w:rPr>
          <w:color w:val="222222"/>
        </w:rPr>
        <w:t xml:space="preserve">le </w:t>
      </w:r>
      <w:r w:rsidRPr="00A018B9">
        <w:rPr>
          <w:color w:val="222222"/>
        </w:rPr>
        <w:t>proprietà intellettuali di entrambe</w:t>
      </w:r>
      <w:r>
        <w:rPr>
          <w:color w:val="222222"/>
        </w:rPr>
        <w:t xml:space="preserve"> </w:t>
      </w:r>
      <w:r w:rsidRPr="00A018B9">
        <w:rPr>
          <w:color w:val="222222"/>
        </w:rPr>
        <w:t xml:space="preserve">le società </w:t>
      </w:r>
      <w:r>
        <w:rPr>
          <w:color w:val="222222"/>
        </w:rPr>
        <w:t xml:space="preserve">permetteranno la creazione </w:t>
      </w:r>
      <w:r w:rsidRPr="00A018B9">
        <w:rPr>
          <w:color w:val="222222"/>
        </w:rPr>
        <w:t>di un</w:t>
      </w:r>
      <w:r w:rsidR="00AE3E17">
        <w:rPr>
          <w:color w:val="222222"/>
        </w:rPr>
        <w:t>’</w:t>
      </w:r>
      <w:r w:rsidRPr="00A018B9">
        <w:rPr>
          <w:color w:val="222222"/>
        </w:rPr>
        <w:t>esperienza di bordo eccezionale.</w:t>
      </w:r>
    </w:p>
    <w:p w14:paraId="114C6665" w14:textId="7C73784F" w:rsidR="004115A7" w:rsidRPr="00931F44" w:rsidRDefault="004115A7" w:rsidP="00411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rPr>
          <w:rFonts w:eastAsia="Microsoft JhengHei Light"/>
          <w:color w:val="222222"/>
        </w:rPr>
      </w:pPr>
      <w:r w:rsidRPr="00931F44">
        <w:rPr>
          <w:color w:val="222222"/>
        </w:rPr>
        <w:t>Lo sviluppo del prodotto e i guadagni tecnologici saranno ottimizzati trami</w:t>
      </w:r>
      <w:r w:rsidR="00780F77">
        <w:rPr>
          <w:color w:val="222222"/>
        </w:rPr>
        <w:t>te l</w:t>
      </w:r>
      <w:r w:rsidR="00AE3E17">
        <w:rPr>
          <w:color w:val="222222"/>
        </w:rPr>
        <w:t>’</w:t>
      </w:r>
      <w:r w:rsidR="00780F77">
        <w:rPr>
          <w:color w:val="222222"/>
        </w:rPr>
        <w:t xml:space="preserve">integrazione </w:t>
      </w:r>
      <w:r w:rsidRPr="00931F44">
        <w:rPr>
          <w:color w:val="222222"/>
        </w:rPr>
        <w:t>delle catene di fornitura globali</w:t>
      </w:r>
    </w:p>
    <w:p w14:paraId="3B00E79D" w14:textId="7E0BCB17" w:rsidR="004115A7" w:rsidRPr="00931F44" w:rsidRDefault="004115A7" w:rsidP="004115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rPr>
          <w:rFonts w:eastAsia="Microsoft JhengHei Light"/>
          <w:color w:val="222222"/>
        </w:rPr>
      </w:pPr>
      <w:r w:rsidRPr="00931F44">
        <w:rPr>
          <w:color w:val="222222"/>
        </w:rPr>
        <w:t xml:space="preserve">Il team di gestione della nuova entità sarà composto da dirigenti senior di ciascuna società </w:t>
      </w:r>
    </w:p>
    <w:p w14:paraId="257B359B" w14:textId="77777777" w:rsidR="00931F44" w:rsidRPr="00931F44" w:rsidRDefault="00931F44" w:rsidP="00931F4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="840"/>
        <w:rPr>
          <w:rFonts w:eastAsia="Microsoft JhengHei Light"/>
          <w:color w:val="222222"/>
        </w:rPr>
      </w:pPr>
    </w:p>
    <w:p w14:paraId="2CC25158" w14:textId="276A1B9A" w:rsidR="004115A7" w:rsidRDefault="009D3433" w:rsidP="00931F44">
      <w:pPr>
        <w:shd w:val="clear" w:color="auto" w:fill="FFFFFF"/>
        <w:spacing w:line="240" w:lineRule="auto"/>
        <w:jc w:val="both"/>
        <w:rPr>
          <w:color w:val="222222"/>
        </w:rPr>
      </w:pPr>
      <w:r w:rsidRPr="00931F44">
        <w:rPr>
          <w:color w:val="222222"/>
        </w:rPr>
        <w:t xml:space="preserve">AMSTERDAM, TAIPEI, </w:t>
      </w:r>
      <w:r w:rsidR="008F1D1D">
        <w:rPr>
          <w:color w:val="222222"/>
        </w:rPr>
        <w:t>24</w:t>
      </w:r>
      <w:r w:rsidRPr="00931F44">
        <w:rPr>
          <w:color w:val="222222"/>
        </w:rPr>
        <w:t xml:space="preserve"> agosto 2021 - Hon Hai Precision Industry Co., Ltd., (</w:t>
      </w:r>
      <w:r w:rsidR="00AE3E17">
        <w:rPr>
          <w:color w:val="222222"/>
        </w:rPr>
        <w:t>“</w:t>
      </w:r>
      <w:proofErr w:type="spellStart"/>
      <w:r w:rsidRPr="00931F44">
        <w:rPr>
          <w:color w:val="222222"/>
        </w:rPr>
        <w:t>Foxconn</w:t>
      </w:r>
      <w:proofErr w:type="spellEnd"/>
      <w:r w:rsidR="00AE3E17">
        <w:rPr>
          <w:color w:val="222222"/>
        </w:rPr>
        <w:t>”</w:t>
      </w:r>
      <w:r w:rsidRPr="00931F44">
        <w:rPr>
          <w:color w:val="222222"/>
        </w:rPr>
        <w:t>) (TPE: 2317) unitamente alla sua controllata FIH Mobile Ltd., (</w:t>
      </w:r>
      <w:r w:rsidR="00AE3E17">
        <w:rPr>
          <w:color w:val="222222"/>
        </w:rPr>
        <w:t>“</w:t>
      </w:r>
      <w:r w:rsidRPr="00931F44">
        <w:rPr>
          <w:color w:val="222222"/>
        </w:rPr>
        <w:t>FIH</w:t>
      </w:r>
      <w:r w:rsidR="00AE3E17">
        <w:rPr>
          <w:color w:val="222222"/>
        </w:rPr>
        <w:t>”</w:t>
      </w:r>
      <w:r w:rsidRPr="00931F44">
        <w:rPr>
          <w:color w:val="222222"/>
        </w:rPr>
        <w:t xml:space="preserve">) (HKG:2038), e </w:t>
      </w:r>
      <w:proofErr w:type="spellStart"/>
      <w:r w:rsidRPr="00931F44">
        <w:rPr>
          <w:color w:val="222222"/>
        </w:rPr>
        <w:t>Stellantis</w:t>
      </w:r>
      <w:proofErr w:type="spellEnd"/>
      <w:r w:rsidRPr="00931F44">
        <w:rPr>
          <w:color w:val="222222"/>
        </w:rPr>
        <w:t xml:space="preserve"> N.V. (NYSE / MTA / Euronext Paris: STLA) (</w:t>
      </w:r>
      <w:r w:rsidR="00AE3E17">
        <w:rPr>
          <w:color w:val="222222"/>
        </w:rPr>
        <w:t>“</w:t>
      </w:r>
      <w:proofErr w:type="spellStart"/>
      <w:r w:rsidRPr="00931F44">
        <w:rPr>
          <w:color w:val="222222"/>
        </w:rPr>
        <w:t>Stellantis</w:t>
      </w:r>
      <w:proofErr w:type="spellEnd"/>
      <w:r w:rsidR="00AE3E17">
        <w:rPr>
          <w:color w:val="222222"/>
        </w:rPr>
        <w:t>”</w:t>
      </w:r>
      <w:r w:rsidRPr="00931F44">
        <w:rPr>
          <w:color w:val="222222"/>
        </w:rPr>
        <w:t>) hanno annunciato oggi di aver stipulato un accordo di joint venture. Mobile Drive, la società</w:t>
      </w:r>
      <w:r w:rsidR="00D158A7" w:rsidRPr="00931F44">
        <w:rPr>
          <w:color w:val="222222"/>
        </w:rPr>
        <w:t xml:space="preserve"> nata dalla</w:t>
      </w:r>
      <w:r w:rsidRPr="00931F44">
        <w:rPr>
          <w:color w:val="222222"/>
        </w:rPr>
        <w:t xml:space="preserve"> joint venture, si concentrerà sulla fornitura di una soluzione intelligente di abitacoli per veicoli che rivoluzionerà le attuali convenzioni di progettazione e favorirà lo sviluppo di veicoli intelligenti connessi. </w:t>
      </w:r>
      <w:r w:rsidR="00D158A7" w:rsidRPr="00931F44">
        <w:rPr>
          <w:color w:val="222222"/>
        </w:rPr>
        <w:t>La firma dell</w:t>
      </w:r>
      <w:r w:rsidR="00AE3E17">
        <w:rPr>
          <w:color w:val="222222"/>
        </w:rPr>
        <w:t>’</w:t>
      </w:r>
      <w:r w:rsidR="00D158A7" w:rsidRPr="00931F44">
        <w:rPr>
          <w:color w:val="222222"/>
        </w:rPr>
        <w:t>accordo</w:t>
      </w:r>
      <w:r w:rsidRPr="00931F44">
        <w:rPr>
          <w:color w:val="222222"/>
        </w:rPr>
        <w:t xml:space="preserve"> arriva dopo che un memorandum d</w:t>
      </w:r>
      <w:r w:rsidR="00AE3E17">
        <w:rPr>
          <w:color w:val="222222"/>
        </w:rPr>
        <w:t>’</w:t>
      </w:r>
      <w:r w:rsidRPr="00931F44">
        <w:rPr>
          <w:color w:val="222222"/>
        </w:rPr>
        <w:t>intesa (MOU) è stato inizialmente firmato il 18 maggio 2021.</w:t>
      </w:r>
    </w:p>
    <w:p w14:paraId="1D16A0A0" w14:textId="77777777" w:rsidR="00931F44" w:rsidRPr="00931F44" w:rsidRDefault="00931F44" w:rsidP="00931F44">
      <w:pPr>
        <w:shd w:val="clear" w:color="auto" w:fill="FFFFFF"/>
        <w:spacing w:line="240" w:lineRule="auto"/>
        <w:jc w:val="both"/>
        <w:rPr>
          <w:rFonts w:eastAsia="Microsoft JhengHei Light"/>
          <w:color w:val="222222"/>
        </w:rPr>
      </w:pPr>
    </w:p>
    <w:p w14:paraId="35B7789B" w14:textId="5073520A" w:rsidR="004115A7" w:rsidRDefault="004115A7" w:rsidP="00931F44">
      <w:pPr>
        <w:shd w:val="clear" w:color="auto" w:fill="FFFFFF"/>
        <w:spacing w:line="240" w:lineRule="auto"/>
        <w:jc w:val="both"/>
        <w:rPr>
          <w:color w:val="222222"/>
        </w:rPr>
      </w:pPr>
      <w:r w:rsidRPr="00931F44">
        <w:rPr>
          <w:color w:val="222222"/>
        </w:rPr>
        <w:t xml:space="preserve">Mobile Drive sarà di proprietà di Stellantis e FIH in misura paritetica. La partnership ha combinato le capacità di Foxconn nel campo ICT e </w:t>
      </w:r>
      <w:proofErr w:type="spellStart"/>
      <w:r w:rsidRPr="00931F44">
        <w:rPr>
          <w:color w:val="222222"/>
        </w:rPr>
        <w:t>smart</w:t>
      </w:r>
      <w:proofErr w:type="spellEnd"/>
      <w:r w:rsidRPr="00931F44">
        <w:rPr>
          <w:color w:val="222222"/>
        </w:rPr>
        <w:t xml:space="preserve"> </w:t>
      </w:r>
      <w:proofErr w:type="spellStart"/>
      <w:r w:rsidRPr="00931F44">
        <w:rPr>
          <w:color w:val="222222"/>
        </w:rPr>
        <w:t>solution</w:t>
      </w:r>
      <w:proofErr w:type="spellEnd"/>
      <w:r w:rsidRPr="00931F44">
        <w:rPr>
          <w:color w:val="222222"/>
        </w:rPr>
        <w:t>, con l</w:t>
      </w:r>
      <w:r w:rsidR="00AE3E17">
        <w:rPr>
          <w:color w:val="222222"/>
        </w:rPr>
        <w:t>’</w:t>
      </w:r>
      <w:r w:rsidRPr="00931F44">
        <w:rPr>
          <w:color w:val="222222"/>
        </w:rPr>
        <w:t xml:space="preserve">esperienza di </w:t>
      </w:r>
      <w:proofErr w:type="spellStart"/>
      <w:r w:rsidRPr="00931F44">
        <w:rPr>
          <w:color w:val="222222"/>
        </w:rPr>
        <w:t>Stellantis</w:t>
      </w:r>
      <w:proofErr w:type="spellEnd"/>
      <w:r w:rsidRPr="00931F44">
        <w:rPr>
          <w:color w:val="222222"/>
        </w:rPr>
        <w:t xml:space="preserve"> nel settore automobilistico, garanten</w:t>
      </w:r>
      <w:r w:rsidR="00A92928">
        <w:rPr>
          <w:color w:val="222222"/>
        </w:rPr>
        <w:t xml:space="preserve">do la crescita </w:t>
      </w:r>
      <w:r w:rsidRPr="00931F44">
        <w:rPr>
          <w:color w:val="222222"/>
        </w:rPr>
        <w:t xml:space="preserve">di Mobile Drive.  </w:t>
      </w:r>
    </w:p>
    <w:p w14:paraId="62E353D9" w14:textId="77777777" w:rsidR="00931F44" w:rsidRPr="00931F44" w:rsidRDefault="00931F44" w:rsidP="00931F44">
      <w:pPr>
        <w:shd w:val="clear" w:color="auto" w:fill="FFFFFF"/>
        <w:spacing w:line="240" w:lineRule="auto"/>
        <w:jc w:val="both"/>
        <w:rPr>
          <w:rFonts w:eastAsia="Microsoft JhengHei Light"/>
          <w:color w:val="222222"/>
        </w:rPr>
      </w:pPr>
    </w:p>
    <w:p w14:paraId="5A9AB1C4" w14:textId="03DA3820" w:rsidR="004115A7" w:rsidRDefault="004115A7" w:rsidP="00931F44">
      <w:pPr>
        <w:shd w:val="clear" w:color="auto" w:fill="FFFFFF"/>
        <w:spacing w:line="240" w:lineRule="auto"/>
        <w:jc w:val="both"/>
        <w:rPr>
          <w:color w:val="222222"/>
        </w:rPr>
      </w:pPr>
      <w:r w:rsidRPr="00931F44">
        <w:rPr>
          <w:color w:val="222222"/>
        </w:rPr>
        <w:t>Mobile Drive si concentrerà sullo sviluppo di soluzioni di infotainment e telematica, nonché di una piattaforma di servizi cloud, che mirerà a fornire una soluzione completa di abitacolo intelligente. L</w:t>
      </w:r>
      <w:r w:rsidR="002B56D0" w:rsidRPr="00931F44">
        <w:rPr>
          <w:color w:val="222222"/>
        </w:rPr>
        <w:t>e i</w:t>
      </w:r>
      <w:r w:rsidRPr="00931F44">
        <w:rPr>
          <w:color w:val="222222"/>
        </w:rPr>
        <w:t>nnovazioni software includer</w:t>
      </w:r>
      <w:r w:rsidR="002B56D0" w:rsidRPr="00931F44">
        <w:rPr>
          <w:color w:val="222222"/>
        </w:rPr>
        <w:t>anno</w:t>
      </w:r>
      <w:r w:rsidRPr="00931F44">
        <w:rPr>
          <w:color w:val="222222"/>
        </w:rPr>
        <w:t xml:space="preserve"> anche applicazioni basate sull</w:t>
      </w:r>
      <w:r w:rsidR="00AE3E17">
        <w:rPr>
          <w:color w:val="222222"/>
        </w:rPr>
        <w:t>’</w:t>
      </w:r>
      <w:r w:rsidRPr="00931F44">
        <w:rPr>
          <w:color w:val="222222"/>
        </w:rPr>
        <w:t>intelligenza artificiale, la navigazione, l</w:t>
      </w:r>
      <w:r w:rsidR="00AE3E17">
        <w:rPr>
          <w:color w:val="222222"/>
        </w:rPr>
        <w:t>’</w:t>
      </w:r>
      <w:r w:rsidRPr="00931F44">
        <w:rPr>
          <w:color w:val="222222"/>
        </w:rPr>
        <w:t xml:space="preserve">assistenza vocale, le operazioni di </w:t>
      </w:r>
      <w:proofErr w:type="spellStart"/>
      <w:r w:rsidRPr="00931F44">
        <w:rPr>
          <w:color w:val="222222"/>
        </w:rPr>
        <w:t>store</w:t>
      </w:r>
      <w:proofErr w:type="spellEnd"/>
      <w:r w:rsidRPr="00931F44">
        <w:rPr>
          <w:color w:val="222222"/>
        </w:rPr>
        <w:t xml:space="preserve"> e-commerce e l</w:t>
      </w:r>
      <w:r w:rsidR="00AE3E17">
        <w:rPr>
          <w:color w:val="222222"/>
        </w:rPr>
        <w:t>’</w:t>
      </w:r>
      <w:r w:rsidRPr="00931F44">
        <w:rPr>
          <w:color w:val="222222"/>
        </w:rPr>
        <w:t xml:space="preserve">integrazione dei servizi di pagamento. Le </w:t>
      </w:r>
      <w:r w:rsidR="007634FD">
        <w:rPr>
          <w:color w:val="222222"/>
        </w:rPr>
        <w:t xml:space="preserve">innovazioni hardware </w:t>
      </w:r>
      <w:r w:rsidRPr="00931F44">
        <w:rPr>
          <w:color w:val="222222"/>
        </w:rPr>
        <w:t>saranno legate all</w:t>
      </w:r>
      <w:r w:rsidR="00AE3E17">
        <w:rPr>
          <w:color w:val="222222"/>
        </w:rPr>
        <w:t>’</w:t>
      </w:r>
      <w:r w:rsidRPr="00931F44">
        <w:rPr>
          <w:color w:val="222222"/>
        </w:rPr>
        <w:t xml:space="preserve">abitacolo intelligente e alla scatola telematica. </w:t>
      </w:r>
    </w:p>
    <w:p w14:paraId="1DA4B6C4" w14:textId="77777777" w:rsidR="00931F44" w:rsidRPr="00931F44" w:rsidRDefault="00931F44" w:rsidP="00931F44">
      <w:pPr>
        <w:shd w:val="clear" w:color="auto" w:fill="FFFFFF"/>
        <w:spacing w:line="240" w:lineRule="auto"/>
        <w:jc w:val="both"/>
        <w:rPr>
          <w:rFonts w:eastAsia="Microsoft JhengHei Light"/>
          <w:color w:val="222222"/>
        </w:rPr>
      </w:pPr>
    </w:p>
    <w:p w14:paraId="7BA295C6" w14:textId="49033EC8" w:rsidR="004115A7" w:rsidRPr="00931F44" w:rsidRDefault="004115A7" w:rsidP="00931F44">
      <w:pPr>
        <w:shd w:val="clear" w:color="auto" w:fill="FFFFFF"/>
        <w:spacing w:line="240" w:lineRule="auto"/>
        <w:jc w:val="both"/>
        <w:rPr>
          <w:rFonts w:eastAsia="Microsoft JhengHei Light"/>
          <w:color w:val="222222"/>
        </w:rPr>
      </w:pPr>
      <w:r w:rsidRPr="00931F44">
        <w:rPr>
          <w:color w:val="222222"/>
        </w:rPr>
        <w:t>Attraverso lo sc</w:t>
      </w:r>
      <w:r w:rsidR="004B5751">
        <w:rPr>
          <w:color w:val="222222"/>
        </w:rPr>
        <w:t>ambio di proprietà intellettuali</w:t>
      </w:r>
      <w:r w:rsidRPr="00931F44">
        <w:rPr>
          <w:color w:val="222222"/>
        </w:rPr>
        <w:t xml:space="preserve"> da parte delle sue entità fondatrici e l</w:t>
      </w:r>
      <w:r w:rsidR="00AE3E17">
        <w:rPr>
          <w:color w:val="222222"/>
        </w:rPr>
        <w:t>’</w:t>
      </w:r>
      <w:r w:rsidRPr="00931F44">
        <w:rPr>
          <w:color w:val="222222"/>
        </w:rPr>
        <w:t>integrazione verticale delle rispettive catene di fornitura, Mobile Drive sarà in grado di creare servizi digitali automobilistici leader del settore per ottenere un</w:t>
      </w:r>
      <w:r w:rsidR="00AE3E17">
        <w:rPr>
          <w:color w:val="222222"/>
        </w:rPr>
        <w:t>’</w:t>
      </w:r>
      <w:r w:rsidRPr="00931F44">
        <w:rPr>
          <w:color w:val="222222"/>
        </w:rPr>
        <w:t>esperienza uten</w:t>
      </w:r>
      <w:r w:rsidR="00A018B9">
        <w:rPr>
          <w:color w:val="222222"/>
        </w:rPr>
        <w:t>te senza interruzioni</w:t>
      </w:r>
      <w:r w:rsidRPr="00931F44">
        <w:rPr>
          <w:color w:val="222222"/>
        </w:rPr>
        <w:t xml:space="preserve"> dentro e fuori il veicolo. In futuro, la soluzione di abitacolo intelligente non solo sarà disponibile per tutti i veicoli Stellantis, ma anche per i produttori di veicoli di terze parti, espandendo la portata e l</w:t>
      </w:r>
      <w:r w:rsidR="00AE3E17">
        <w:rPr>
          <w:color w:val="222222"/>
        </w:rPr>
        <w:t>’</w:t>
      </w:r>
      <w:r w:rsidRPr="00931F44">
        <w:rPr>
          <w:color w:val="222222"/>
        </w:rPr>
        <w:t>impatto della</w:t>
      </w:r>
      <w:r w:rsidR="002B56D0" w:rsidRPr="00931F44">
        <w:rPr>
          <w:color w:val="222222"/>
        </w:rPr>
        <w:t xml:space="preserve"> joint</w:t>
      </w:r>
      <w:r w:rsidRPr="00931F44">
        <w:rPr>
          <w:color w:val="222222"/>
        </w:rPr>
        <w:t xml:space="preserve"> venture Mobile Drive, che mira ad essere un leader globale nelle soluzioni di abitacoli intelligenti e veicoli connessi.</w:t>
      </w:r>
    </w:p>
    <w:p w14:paraId="6AA23BAB" w14:textId="77777777" w:rsidR="008535DC" w:rsidRPr="00931F44" w:rsidRDefault="008535DC" w:rsidP="00931F44">
      <w:pPr>
        <w:shd w:val="clear" w:color="auto" w:fill="FFFFFF"/>
        <w:spacing w:line="240" w:lineRule="auto"/>
        <w:rPr>
          <w:rFonts w:eastAsia="Encode Sans"/>
          <w:b/>
          <w:color w:val="222222"/>
        </w:rPr>
      </w:pPr>
    </w:p>
    <w:p w14:paraId="3804727F" w14:textId="3A93E546" w:rsidR="008535DC" w:rsidRPr="00931F44" w:rsidRDefault="008535DC" w:rsidP="00931F44">
      <w:pPr>
        <w:shd w:val="clear" w:color="auto" w:fill="FFFFFF"/>
        <w:spacing w:line="240" w:lineRule="auto"/>
        <w:jc w:val="center"/>
        <w:rPr>
          <w:rFonts w:eastAsia="Encode Sans"/>
          <w:color w:val="222222"/>
        </w:rPr>
      </w:pPr>
      <w:r w:rsidRPr="00931F44">
        <w:rPr>
          <w:color w:val="222222"/>
        </w:rPr>
        <w:t># # #</w:t>
      </w:r>
    </w:p>
    <w:p w14:paraId="613DCD29" w14:textId="77777777" w:rsidR="008535DC" w:rsidRPr="009D3433" w:rsidRDefault="008535DC" w:rsidP="00D424F6">
      <w:pPr>
        <w:shd w:val="clear" w:color="auto" w:fill="FFFFFF"/>
        <w:spacing w:line="240" w:lineRule="auto"/>
        <w:rPr>
          <w:rFonts w:eastAsia="Encode Sans"/>
          <w:color w:val="222222"/>
        </w:rPr>
      </w:pPr>
    </w:p>
    <w:p w14:paraId="032503E0" w14:textId="77777777" w:rsidR="008535DC" w:rsidRDefault="008535DC" w:rsidP="00D424F6">
      <w:pPr>
        <w:shd w:val="clear" w:color="auto" w:fill="FFFFFF"/>
        <w:spacing w:line="240" w:lineRule="auto"/>
        <w:rPr>
          <w:rFonts w:eastAsia="Encode Sans"/>
          <w:b/>
          <w:color w:val="222222"/>
        </w:rPr>
      </w:pPr>
    </w:p>
    <w:p w14:paraId="7025EB32" w14:textId="6CD810AB" w:rsidR="00D424F6" w:rsidRPr="00716F99" w:rsidRDefault="00D424F6" w:rsidP="00D424F6">
      <w:pPr>
        <w:shd w:val="clear" w:color="auto" w:fill="FFFFFF"/>
        <w:spacing w:line="240" w:lineRule="auto"/>
        <w:rPr>
          <w:rFonts w:eastAsia="Encode Sans"/>
          <w:b/>
          <w:color w:val="222222"/>
        </w:rPr>
      </w:pPr>
      <w:r>
        <w:rPr>
          <w:b/>
          <w:color w:val="222222"/>
        </w:rPr>
        <w:t>Foxconn</w:t>
      </w:r>
    </w:p>
    <w:p w14:paraId="79BCD233" w14:textId="719C82CE" w:rsidR="00D424F6" w:rsidRPr="0060094D" w:rsidRDefault="00D424F6" w:rsidP="00D424F6">
      <w:pPr>
        <w:shd w:val="clear" w:color="auto" w:fill="FFFFFF"/>
        <w:spacing w:line="240" w:lineRule="auto"/>
        <w:rPr>
          <w:rFonts w:eastAsia="Encode Sans"/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t>Fondata a Taiwan nel 1974, Hon Hai Precision Industry Co., Ltd., (</w:t>
      </w:r>
      <w:r w:rsidR="00AE3E17">
        <w:rPr>
          <w:i/>
          <w:color w:val="222222"/>
          <w:sz w:val="18"/>
          <w:szCs w:val="18"/>
        </w:rPr>
        <w:t>“</w:t>
      </w:r>
      <w:proofErr w:type="spellStart"/>
      <w:r>
        <w:rPr>
          <w:i/>
          <w:color w:val="222222"/>
          <w:sz w:val="18"/>
          <w:szCs w:val="18"/>
        </w:rPr>
        <w:t>Foxconn</w:t>
      </w:r>
      <w:proofErr w:type="spellEnd"/>
      <w:r w:rsidR="00AE3E17">
        <w:rPr>
          <w:i/>
          <w:color w:val="222222"/>
          <w:sz w:val="18"/>
          <w:szCs w:val="18"/>
        </w:rPr>
        <w:t>”</w:t>
      </w:r>
      <w:r>
        <w:rPr>
          <w:i/>
          <w:color w:val="222222"/>
          <w:sz w:val="18"/>
          <w:szCs w:val="18"/>
        </w:rPr>
        <w:t>) (TPE: 2317) è il più grande produttore di componenti elettronici al mondo. Foxconn è anche il principale fornitore di soluzioni tecnologiche e sfrutta continuamente le sue competenze in termini di software e hardware al fine di integrare i suoi sistemi produttivi esclusivi con le tecnologie emergenti. Per maggiori informazioni, visita il sito</w:t>
      </w:r>
      <w:r>
        <w:t xml:space="preserve"> </w:t>
      </w:r>
      <w:hyperlink r:id="rId7" w:history="1">
        <w:r>
          <w:rPr>
            <w:rStyle w:val="Hyperlink"/>
            <w:i/>
            <w:sz w:val="18"/>
            <w:szCs w:val="18"/>
          </w:rPr>
          <w:t>www.honhai.com</w:t>
        </w:r>
      </w:hyperlink>
      <w:r>
        <w:rPr>
          <w:i/>
          <w:color w:val="222222"/>
          <w:sz w:val="18"/>
          <w:szCs w:val="18"/>
        </w:rPr>
        <w:t>.</w:t>
      </w:r>
    </w:p>
    <w:p w14:paraId="5BD8E43D" w14:textId="77777777" w:rsidR="00D424F6" w:rsidRDefault="00D424F6" w:rsidP="00D424F6">
      <w:pPr>
        <w:shd w:val="clear" w:color="auto" w:fill="FFFFFF"/>
        <w:spacing w:line="240" w:lineRule="auto"/>
        <w:rPr>
          <w:rFonts w:eastAsia="Encode Sans"/>
          <w:b/>
          <w:color w:val="222222"/>
        </w:rPr>
      </w:pPr>
    </w:p>
    <w:p w14:paraId="19D92A9C" w14:textId="77777777" w:rsidR="00AE3E17" w:rsidRDefault="00AE3E17" w:rsidP="00D424F6">
      <w:pPr>
        <w:shd w:val="clear" w:color="auto" w:fill="FFFFFF"/>
        <w:spacing w:line="240" w:lineRule="auto"/>
        <w:rPr>
          <w:b/>
          <w:color w:val="222222"/>
        </w:rPr>
      </w:pPr>
    </w:p>
    <w:p w14:paraId="4AAEFEB0" w14:textId="77777777" w:rsidR="00AE3E17" w:rsidRDefault="00AE3E17" w:rsidP="00D424F6">
      <w:pPr>
        <w:shd w:val="clear" w:color="auto" w:fill="FFFFFF"/>
        <w:spacing w:line="240" w:lineRule="auto"/>
        <w:rPr>
          <w:b/>
          <w:color w:val="222222"/>
        </w:rPr>
      </w:pPr>
    </w:p>
    <w:p w14:paraId="2AB8DFCA" w14:textId="3B446A4E" w:rsidR="00D424F6" w:rsidRPr="00F8481F" w:rsidRDefault="00D424F6" w:rsidP="00D424F6">
      <w:pPr>
        <w:shd w:val="clear" w:color="auto" w:fill="FFFFFF"/>
        <w:spacing w:line="240" w:lineRule="auto"/>
        <w:rPr>
          <w:rFonts w:eastAsia="Encode Sans"/>
          <w:b/>
          <w:color w:val="222222"/>
        </w:rPr>
      </w:pPr>
      <w:bookmarkStart w:id="0" w:name="_GoBack"/>
      <w:bookmarkEnd w:id="0"/>
      <w:r>
        <w:rPr>
          <w:b/>
          <w:color w:val="222222"/>
        </w:rPr>
        <w:t>FIH</w:t>
      </w:r>
    </w:p>
    <w:p w14:paraId="116E03E1" w14:textId="505C8419" w:rsidR="00D424F6" w:rsidRPr="0060094D" w:rsidRDefault="00D424F6" w:rsidP="00D424F6">
      <w:pPr>
        <w:shd w:val="clear" w:color="auto" w:fill="FFFFFF"/>
        <w:spacing w:line="240" w:lineRule="auto"/>
        <w:rPr>
          <w:rFonts w:eastAsia="Encode Sans"/>
          <w:i/>
          <w:color w:val="222222"/>
          <w:sz w:val="18"/>
          <w:szCs w:val="18"/>
        </w:rPr>
      </w:pPr>
      <w:r>
        <w:rPr>
          <w:i/>
          <w:color w:val="222222"/>
          <w:sz w:val="18"/>
          <w:szCs w:val="18"/>
        </w:rPr>
        <w:lastRenderedPageBreak/>
        <w:t>Sussidiaria di Hon Hai Precision Industry e leader nel settore mondiale dei dispositivi mobili, FIH offre servizi di progettazione, sviluppo e produzione end-to-end integrati verticalmente, compresi telefoni, dispositivi mobili e dispositivi di comunicazione wireless e prodotti di elettronica di consumo. Entrando nell</w:t>
      </w:r>
      <w:r w:rsidR="00AE3E17">
        <w:rPr>
          <w:i/>
          <w:color w:val="222222"/>
          <w:sz w:val="18"/>
          <w:szCs w:val="18"/>
        </w:rPr>
        <w:t>’</w:t>
      </w:r>
      <w:r>
        <w:rPr>
          <w:i/>
          <w:color w:val="222222"/>
          <w:sz w:val="18"/>
          <w:szCs w:val="18"/>
        </w:rPr>
        <w:t>era di internet, FIH ha sfruttato i suoi principali punti di forza nel campo hardware e software per accedere ai settori 5G, AI, IoT e IoV (Internet of Vehicle), costruendo un ecosistema internet e mobile completo.</w:t>
      </w:r>
    </w:p>
    <w:p w14:paraId="44978AC2" w14:textId="77777777" w:rsidR="00D424F6" w:rsidRPr="00D349A7" w:rsidRDefault="00D424F6" w:rsidP="00D424F6">
      <w:pPr>
        <w:shd w:val="clear" w:color="auto" w:fill="FFFFFF"/>
        <w:spacing w:line="240" w:lineRule="auto"/>
        <w:rPr>
          <w:rFonts w:eastAsia="Encode Sans"/>
          <w:b/>
          <w:i/>
          <w:color w:val="222222"/>
        </w:rPr>
      </w:pPr>
    </w:p>
    <w:p w14:paraId="04B2FAEA" w14:textId="77777777" w:rsidR="00D424F6" w:rsidRPr="008B6B44" w:rsidRDefault="00D424F6" w:rsidP="00D424F6">
      <w:pPr>
        <w:shd w:val="clear" w:color="auto" w:fill="FFFFFF"/>
        <w:spacing w:line="240" w:lineRule="auto"/>
        <w:rPr>
          <w:b/>
          <w:color w:val="222222"/>
        </w:rPr>
      </w:pPr>
      <w:r w:rsidRPr="008B6B44">
        <w:rPr>
          <w:b/>
          <w:color w:val="222222"/>
        </w:rPr>
        <w:t>Stellantis</w:t>
      </w:r>
    </w:p>
    <w:p w14:paraId="61508C97" w14:textId="2BC03AAD" w:rsidR="00D424F6" w:rsidRPr="008B6B44" w:rsidRDefault="002B56D0">
      <w:pPr>
        <w:shd w:val="clear" w:color="auto" w:fill="FFFFFF"/>
        <w:spacing w:line="240" w:lineRule="auto"/>
        <w:rPr>
          <w:i/>
          <w:color w:val="222222"/>
          <w:sz w:val="18"/>
          <w:szCs w:val="18"/>
        </w:rPr>
      </w:pPr>
      <w:r w:rsidRPr="008B6B44">
        <w:rPr>
          <w:i/>
          <w:color w:val="222222"/>
          <w:sz w:val="18"/>
          <w:szCs w:val="18"/>
        </w:rPr>
        <w:t>Stellantis è una delle principali case automobilistiche al mondo. Protagonista della nuova era della mobilità, è guidata da una visione chiara: offrire libertà di movimento con soluzioni di mobilità esclusive, convenienti e affidabili.  Oltre al ricco know-how e all</w:t>
      </w:r>
      <w:r w:rsidR="00AE3E17">
        <w:rPr>
          <w:i/>
          <w:color w:val="222222"/>
          <w:sz w:val="18"/>
          <w:szCs w:val="18"/>
        </w:rPr>
        <w:t>’</w:t>
      </w:r>
      <w:r w:rsidRPr="008B6B44">
        <w:rPr>
          <w:i/>
          <w:color w:val="222222"/>
          <w:sz w:val="18"/>
          <w:szCs w:val="18"/>
        </w:rPr>
        <w:t xml:space="preserve">ampia presenza geografica del Gruppo, i suoi maggiori punti di forza sono la performance sostenibile, la profonda esperienza e il grande talento dei suoi dipendenti che lavorano in tutto il mondo. Stellantis farà leva sul suo ampio e iconico portafoglio di marchi creato da visionari, che hanno trasmesso ai vari brand la passione che ispira dipendenti e clienti. </w:t>
      </w:r>
      <w:proofErr w:type="spellStart"/>
      <w:r w:rsidRPr="008B6B44">
        <w:rPr>
          <w:i/>
          <w:color w:val="222222"/>
          <w:sz w:val="18"/>
          <w:szCs w:val="18"/>
        </w:rPr>
        <w:t>Stellantis</w:t>
      </w:r>
      <w:proofErr w:type="spellEnd"/>
      <w:r w:rsidRPr="008B6B44">
        <w:rPr>
          <w:i/>
          <w:color w:val="222222"/>
          <w:sz w:val="18"/>
          <w:szCs w:val="18"/>
        </w:rPr>
        <w:t xml:space="preserve"> punta all</w:t>
      </w:r>
      <w:r w:rsidR="00AE3E17">
        <w:rPr>
          <w:i/>
          <w:color w:val="222222"/>
          <w:sz w:val="18"/>
          <w:szCs w:val="18"/>
        </w:rPr>
        <w:t>’</w:t>
      </w:r>
      <w:r w:rsidRPr="008B6B44">
        <w:rPr>
          <w:i/>
          <w:color w:val="222222"/>
          <w:sz w:val="18"/>
          <w:szCs w:val="18"/>
        </w:rPr>
        <w:t>eccellenza, non alla grandezza, e si pone l</w:t>
      </w:r>
      <w:r w:rsidR="00AE3E17">
        <w:rPr>
          <w:i/>
          <w:color w:val="222222"/>
          <w:sz w:val="18"/>
          <w:szCs w:val="18"/>
        </w:rPr>
        <w:t>’</w:t>
      </w:r>
      <w:r w:rsidRPr="008B6B44">
        <w:rPr>
          <w:i/>
          <w:color w:val="222222"/>
          <w:sz w:val="18"/>
          <w:szCs w:val="18"/>
        </w:rPr>
        <w:t>obiettivo di creare valore aggiunto per tutti gli stakeholder e le comunità in cui opera.</w:t>
      </w:r>
    </w:p>
    <w:p w14:paraId="715E197B" w14:textId="77777777" w:rsidR="002B56D0" w:rsidRPr="007C73D4" w:rsidRDefault="002B56D0">
      <w:pPr>
        <w:shd w:val="clear" w:color="auto" w:fill="FFFFFF"/>
        <w:spacing w:line="240" w:lineRule="auto"/>
        <w:rPr>
          <w:rFonts w:ascii="Encode Sans Light" w:eastAsia="Encode Sans" w:hAnsi="Encode Sans Light"/>
          <w:i/>
          <w:color w:val="222222"/>
          <w:sz w:val="18"/>
          <w:szCs w:val="18"/>
        </w:rPr>
      </w:pPr>
    </w:p>
    <w:tbl>
      <w:tblPr>
        <w:tblStyle w:val="Grilledutableau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424F6" w14:paraId="1307D628" w14:textId="77777777" w:rsidTr="000A6801"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6A2E75CA" w14:textId="77777777" w:rsidR="00D424F6" w:rsidRDefault="00D424F6" w:rsidP="000A6801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eastAsiaTheme="minorEastAsia" w:hAnsi="Encode Sans ExpandedLight" w:cs="Arial"/>
                <w:sz w:val="16"/>
                <w:szCs w:val="16"/>
                <w:lang w:eastAsia="zh-TW"/>
              </w:rPr>
              <w:object w:dxaOrig="450" w:dyaOrig="450" w14:anchorId="33478F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25pt;height:23.25pt" o:ole="">
                  <v:imagedata r:id="rId8" o:title=""/>
                </v:shape>
                <o:OLEObject Type="Embed" ProgID="PBrush" ShapeID="_x0000_i1025" DrawAspect="Content" ObjectID="_1691269024" r:id="rId9"/>
              </w:object>
            </w:r>
            <w:hyperlink r:id="rId10" w:history="1">
              <w:r>
                <w:rPr>
                  <w:rStyle w:val="Hyperlink"/>
                  <w:rFonts w:ascii="Encode Sans ExpandedLight" w:hAnsi="Encode Sans ExpandedLight"/>
                </w:rPr>
                <w:t>@</w:t>
              </w:r>
              <w:proofErr w:type="spellStart"/>
              <w:r>
                <w:rPr>
                  <w:rStyle w:val="Hyperlink"/>
                  <w:rFonts w:ascii="Encode Sans ExpandedLight" w:hAnsi="Encode Sans ExpandedLight"/>
                </w:rPr>
                <w:t>Stellantis</w:t>
              </w:r>
              <w:proofErr w:type="spellEnd"/>
            </w:hyperlink>
          </w:p>
        </w:tc>
        <w:tc>
          <w:tcPr>
            <w:tcW w:w="22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1369A6AB" w14:textId="77777777" w:rsidR="00D424F6" w:rsidRDefault="00D424F6" w:rsidP="000A6801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eastAsiaTheme="minorEastAsia" w:hAnsi="Encode Sans ExpandedLight" w:cs="Arial"/>
                <w:sz w:val="16"/>
                <w:szCs w:val="16"/>
                <w:lang w:eastAsia="zh-TW"/>
              </w:rPr>
              <w:object w:dxaOrig="435" w:dyaOrig="435" w14:anchorId="5B52368C">
                <v:shape id="_x0000_i1026" type="#_x0000_t75" style="width:21.75pt;height:21.75pt" o:ole="">
                  <v:imagedata r:id="rId11" o:title=""/>
                </v:shape>
                <o:OLEObject Type="Embed" ProgID="PBrush" ShapeID="_x0000_i1026" DrawAspect="Content" ObjectID="_1691269025" r:id="rId12"/>
              </w:object>
            </w:r>
            <w:hyperlink r:id="rId13" w:history="1">
              <w:proofErr w:type="spellStart"/>
              <w:r>
                <w:rPr>
                  <w:rStyle w:val="Hyperlink"/>
                  <w:rFonts w:ascii="Encode Sans ExpandedLight" w:hAnsi="Encode Sans ExpandedLight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572BB141" w14:textId="77777777" w:rsidR="00D424F6" w:rsidRDefault="00D424F6" w:rsidP="000A6801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eastAsiaTheme="minorEastAsia" w:hAnsi="Encode Sans ExpandedLight" w:cs="Arial"/>
                <w:sz w:val="16"/>
                <w:szCs w:val="16"/>
                <w:lang w:eastAsia="zh-TW"/>
              </w:rPr>
              <w:object w:dxaOrig="420" w:dyaOrig="420" w14:anchorId="7C037910">
                <v:shape id="_x0000_i1027" type="#_x0000_t75" style="width:21pt;height:21pt" o:ole="">
                  <v:imagedata r:id="rId14" o:title=""/>
                </v:shape>
                <o:OLEObject Type="Embed" ProgID="PBrush" ShapeID="_x0000_i1027" DrawAspect="Content" ObjectID="_1691269026" r:id="rId15"/>
              </w:object>
            </w:r>
            <w:hyperlink r:id="rId16" w:history="1">
              <w:proofErr w:type="spellStart"/>
              <w:r>
                <w:rPr>
                  <w:rStyle w:val="Hyperlink"/>
                  <w:rFonts w:ascii="Encode Sans ExpandedLight" w:hAnsi="Encode Sans ExpandedLight"/>
                </w:rPr>
                <w:t>Stellantis</w:t>
              </w:r>
              <w:proofErr w:type="spellEnd"/>
            </w:hyperlink>
          </w:p>
        </w:tc>
        <w:tc>
          <w:tcPr>
            <w:tcW w:w="22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  <w:hideMark/>
          </w:tcPr>
          <w:p w14:paraId="423C013A" w14:textId="77777777" w:rsidR="00D424F6" w:rsidRDefault="00D424F6" w:rsidP="000A6801">
            <w:pPr>
              <w:jc w:val="center"/>
              <w:rPr>
                <w:rFonts w:ascii="Encode Sans ExpandedLight" w:eastAsia="Calibri" w:hAnsi="Encode Sans ExpandedLight" w:cs="Times New Roman"/>
              </w:rPr>
            </w:pPr>
            <w:r>
              <w:rPr>
                <w:rFonts w:ascii="Encode Sans ExpandedLight" w:eastAsiaTheme="minorEastAsia" w:hAnsi="Encode Sans ExpandedLight" w:cs="Arial"/>
                <w:sz w:val="16"/>
                <w:szCs w:val="16"/>
                <w:lang w:eastAsia="zh-TW"/>
              </w:rPr>
              <w:object w:dxaOrig="465" w:dyaOrig="465" w14:anchorId="2C4863B5">
                <v:shape id="_x0000_i1028" type="#_x0000_t75" style="width:23.25pt;height:23.25pt" o:ole="">
                  <v:imagedata r:id="rId17" o:title=""/>
                </v:shape>
                <o:OLEObject Type="Embed" ProgID="PBrush" ShapeID="_x0000_i1028" DrawAspect="Content" ObjectID="_1691269027" r:id="rId18"/>
              </w:object>
            </w:r>
            <w:hyperlink r:id="rId19" w:history="1">
              <w:proofErr w:type="spellStart"/>
              <w:r>
                <w:rPr>
                  <w:rStyle w:val="Hyperlink"/>
                  <w:rFonts w:ascii="Encode Sans ExpandedLight" w:hAnsi="Encode Sans ExpandedLight"/>
                </w:rPr>
                <w:t>Stellantis</w:t>
              </w:r>
              <w:proofErr w:type="spellEnd"/>
            </w:hyperlink>
          </w:p>
        </w:tc>
      </w:tr>
    </w:tbl>
    <w:p w14:paraId="2EAF65F8" w14:textId="77777777" w:rsidR="00D424F6" w:rsidRPr="00F8481F" w:rsidRDefault="00D424F6" w:rsidP="00D424F6">
      <w:pPr>
        <w:shd w:val="clear" w:color="auto" w:fill="FFFFFF"/>
        <w:spacing w:line="240" w:lineRule="auto"/>
        <w:rPr>
          <w:rFonts w:eastAsia="Encode Sans"/>
          <w:color w:val="222222"/>
        </w:rPr>
      </w:pPr>
    </w:p>
    <w:p w14:paraId="19E79FBB" w14:textId="77777777" w:rsidR="00D424F6" w:rsidRPr="00E02675" w:rsidRDefault="00D424F6" w:rsidP="00D424F6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18"/>
          <w:szCs w:val="24"/>
        </w:rPr>
      </w:pPr>
    </w:p>
    <w:tbl>
      <w:tblPr>
        <w:tblStyle w:val="TableGrid"/>
        <w:tblW w:w="7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7905"/>
      </w:tblGrid>
      <w:tr w:rsidR="00D424F6" w:rsidRPr="00B43ECF" w14:paraId="3C972CD5" w14:textId="77777777" w:rsidTr="000A6801">
        <w:trPr>
          <w:trHeight w:val="879"/>
        </w:trPr>
        <w:tc>
          <w:tcPr>
            <w:tcW w:w="7905" w:type="dxa"/>
            <w:hideMark/>
          </w:tcPr>
          <w:p w14:paraId="65E78B18" w14:textId="77777777" w:rsidR="00D424F6" w:rsidRDefault="00D424F6" w:rsidP="000A6801">
            <w:pPr>
              <w:spacing w:after="360" w:line="288" w:lineRule="auto"/>
              <w:ind w:left="440"/>
              <w:rPr>
                <w:color w:val="1F497D" w:themeColor="text2"/>
                <w:sz w:val="20"/>
                <w:szCs w:val="2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E9FA978" wp14:editId="1E351C04">
                      <wp:extent cx="431800" cy="62230"/>
                      <wp:effectExtent l="0" t="0" r="6350" b="4445"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800" cy="62230"/>
                              </a:xfrm>
                              <a:custGeom>
                                <a:avLst/>
                                <a:gdLst>
                                  <a:gd name="T0" fmla="*/ 401492 w 354"/>
                                  <a:gd name="T1" fmla="*/ 61913 h 39"/>
                                  <a:gd name="T2" fmla="*/ 0 w 354"/>
                                  <a:gd name="T3" fmla="*/ 61913 h 39"/>
                                  <a:gd name="T4" fmla="*/ 32949 w 354"/>
                                  <a:gd name="T5" fmla="*/ 0 h 39"/>
                                  <a:gd name="T6" fmla="*/ 432000 w 354"/>
                                  <a:gd name="T7" fmla="*/ 0 h 39"/>
                                  <a:gd name="T8" fmla="*/ 401492 w 354"/>
                                  <a:gd name="T9" fmla="*/ 61913 h 3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7604D047" id="Freeform 3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" path="m329,39l,39,27,,354,,329,39xe" fillcolor="#4f81bd [3204]" stroked="f">
                      <v:path arrowok="t" o:connecttype="custom" o:connectlocs="489729507,98790923;0,98790923;40190334,0;526942373,0;489729507,98790923" o:connectangles="0,0,0,0,0"/>
                      <w10:anchorlock/>
                    </v:shape>
                  </w:pict>
                </mc:Fallback>
              </mc:AlternateContent>
            </w:r>
          </w:p>
          <w:p w14:paraId="7ED00077" w14:textId="77777777" w:rsidR="00D424F6" w:rsidRDefault="00D424F6" w:rsidP="000A6801">
            <w:pPr>
              <w:spacing w:after="120" w:line="288" w:lineRule="auto"/>
              <w:ind w:left="440"/>
              <w:rPr>
                <w:rFonts w:ascii="Arial" w:hAnsi="Arial" w:cs="Arial"/>
                <w:color w:val="1F497D" w:themeColor="text2"/>
                <w:sz w:val="22"/>
                <w:szCs w:val="22"/>
              </w:rPr>
            </w:pPr>
            <w:r>
              <w:rPr>
                <w:rFonts w:ascii="Arial" w:hAnsi="Arial"/>
                <w:color w:val="1F497D" w:themeColor="text2"/>
                <w:sz w:val="22"/>
                <w:szCs w:val="22"/>
              </w:rPr>
              <w:t>Per maggiori informazioni, contattare:</w:t>
            </w:r>
          </w:p>
          <w:p w14:paraId="61E5D0FE" w14:textId="4C50C575" w:rsidR="00931F44" w:rsidRPr="00E86646" w:rsidRDefault="00931F44" w:rsidP="00931F44">
            <w:pPr>
              <w:shd w:val="clear" w:color="auto" w:fill="FFFFFF"/>
              <w:ind w:left="440"/>
              <w:rPr>
                <w:rFonts w:ascii="Arial" w:eastAsia="Times New Roman" w:hAnsi="Arial" w:cs="Arial"/>
                <w:sz w:val="18"/>
                <w:szCs w:val="18"/>
              </w:rPr>
            </w:pPr>
            <w:r w:rsidRPr="00E86646">
              <w:rPr>
                <w:rFonts w:ascii="Arial" w:hAnsi="Arial" w:cs="Arial"/>
                <w:b/>
                <w:sz w:val="18"/>
                <w:szCs w:val="18"/>
              </w:rPr>
              <w:t xml:space="preserve">Molly </w:t>
            </w:r>
            <w:r w:rsidR="00E86646">
              <w:rPr>
                <w:rFonts w:ascii="Arial" w:hAnsi="Arial" w:cs="Arial"/>
                <w:b/>
                <w:sz w:val="18"/>
                <w:szCs w:val="18"/>
              </w:rPr>
              <w:t>SHIH</w:t>
            </w:r>
            <w:r w:rsidRPr="00E86646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E866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6646">
              <w:rPr>
                <w:rFonts w:ascii="Arial" w:eastAsia="Times New Roman" w:hAnsi="Arial" w:cs="Arial"/>
                <w:sz w:val="18"/>
                <w:szCs w:val="18"/>
              </w:rPr>
              <w:t>+886</w:t>
            </w:r>
            <w:r w:rsidR="002B38E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86646">
              <w:rPr>
                <w:rFonts w:ascii="Arial" w:eastAsia="Times New Roman" w:hAnsi="Arial" w:cs="Arial"/>
                <w:sz w:val="18"/>
                <w:szCs w:val="18"/>
              </w:rPr>
              <w:t xml:space="preserve">2 2268 5511 #64653 - </w:t>
            </w:r>
            <w:r w:rsidRPr="00E8664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pr@fih-foxconn.com</w:t>
            </w:r>
          </w:p>
          <w:p w14:paraId="29DD1978" w14:textId="77777777" w:rsidR="00D424F6" w:rsidRPr="002B38E9" w:rsidRDefault="00D424F6" w:rsidP="000A6801">
            <w:pPr>
              <w:shd w:val="clear" w:color="auto" w:fill="FFFFFF"/>
              <w:ind w:left="440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14:paraId="2226E39E" w14:textId="612AC67A" w:rsidR="00D424F6" w:rsidRPr="00E86646" w:rsidRDefault="00D424F6" w:rsidP="000A6801">
            <w:pPr>
              <w:shd w:val="clear" w:color="auto" w:fill="FFFFFF"/>
              <w:ind w:left="4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646">
              <w:rPr>
                <w:rFonts w:ascii="Arial" w:hAnsi="Arial" w:cs="Arial"/>
                <w:b/>
                <w:sz w:val="18"/>
                <w:szCs w:val="18"/>
                <w:lang w:val="en-US"/>
              </w:rPr>
              <w:t>Jimmy HUANG:</w:t>
            </w:r>
            <w:r w:rsidRPr="00E86646">
              <w:rPr>
                <w:rFonts w:ascii="Arial" w:hAnsi="Arial" w:cs="Arial"/>
                <w:sz w:val="18"/>
                <w:szCs w:val="18"/>
                <w:lang w:val="en-US"/>
              </w:rPr>
              <w:t xml:space="preserve"> +866</w:t>
            </w:r>
            <w:r w:rsidR="002B3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86646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="002B3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86646">
              <w:rPr>
                <w:rFonts w:ascii="Arial" w:hAnsi="Arial" w:cs="Arial"/>
                <w:sz w:val="18"/>
                <w:szCs w:val="18"/>
                <w:lang w:val="en-US"/>
              </w:rPr>
              <w:t>2268</w:t>
            </w:r>
            <w:r w:rsidR="002B38E9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E86646">
              <w:rPr>
                <w:rFonts w:ascii="Arial" w:hAnsi="Arial" w:cs="Arial"/>
                <w:sz w:val="18"/>
                <w:szCs w:val="18"/>
                <w:lang w:val="en-US"/>
              </w:rPr>
              <w:t xml:space="preserve">3466 - </w:t>
            </w:r>
            <w:r w:rsidRPr="00E86646">
              <w:rPr>
                <w:rFonts w:ascii="Arial" w:hAnsi="Arial" w:cs="Arial"/>
                <w:sz w:val="18"/>
                <w:szCs w:val="18"/>
                <w:shd w:val="clear" w:color="auto" w:fill="FFFFFF"/>
                <w:lang w:val="en-US"/>
              </w:rPr>
              <w:t>media@foxconn.com</w:t>
            </w:r>
          </w:p>
          <w:p w14:paraId="48F6E1C4" w14:textId="77777777" w:rsidR="00D424F6" w:rsidRPr="00E86646" w:rsidRDefault="00D424F6" w:rsidP="000A6801">
            <w:pPr>
              <w:shd w:val="clear" w:color="auto" w:fill="FFFFFF"/>
              <w:ind w:left="4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3C9FCDBE" w14:textId="77777777" w:rsidR="00D424F6" w:rsidRPr="00E86646" w:rsidRDefault="00D424F6" w:rsidP="000A6801">
            <w:pPr>
              <w:shd w:val="clear" w:color="auto" w:fill="FFFFFF"/>
              <w:ind w:left="4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8664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Pierre Olivier Salmon: </w:t>
            </w:r>
            <w:r w:rsidRPr="00E86646">
              <w:rPr>
                <w:rFonts w:ascii="Arial" w:hAnsi="Arial" w:cs="Arial"/>
                <w:sz w:val="18"/>
                <w:szCs w:val="18"/>
                <w:lang w:val="en-US"/>
              </w:rPr>
              <w:t xml:space="preserve">+33 6 76 86 45 48 - </w:t>
            </w:r>
            <w:r w:rsidRPr="00E86646">
              <w:rPr>
                <w:rFonts w:ascii="Arial" w:hAnsi="Arial" w:cs="Arial"/>
                <w:bCs/>
                <w:sz w:val="18"/>
                <w:szCs w:val="18"/>
                <w:shd w:val="clear" w:color="auto" w:fill="FFFFFF"/>
                <w:lang w:val="en-US"/>
              </w:rPr>
              <w:t>pierreolivier.salmon@stellantis.com</w:t>
            </w:r>
          </w:p>
          <w:p w14:paraId="59A4B947" w14:textId="77777777" w:rsidR="00D424F6" w:rsidRPr="00E86646" w:rsidRDefault="00D424F6" w:rsidP="000A6801">
            <w:pPr>
              <w:shd w:val="clear" w:color="auto" w:fill="FFFFFF"/>
              <w:ind w:left="4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  <w:p w14:paraId="1F64CF08" w14:textId="77777777" w:rsidR="00D424F6" w:rsidRPr="00F27F6C" w:rsidRDefault="00D424F6" w:rsidP="000A6801">
            <w:pPr>
              <w:shd w:val="clear" w:color="auto" w:fill="FFFFFF"/>
              <w:ind w:left="4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Valerie GILLOT: </w:t>
            </w:r>
            <w:r>
              <w:rPr>
                <w:rFonts w:ascii="Arial" w:hAnsi="Arial"/>
                <w:sz w:val="18"/>
                <w:szCs w:val="18"/>
              </w:rPr>
              <w:t>+33 6 83 92 92 96 - valerie.gillot@stellantis.com</w:t>
            </w:r>
          </w:p>
          <w:p w14:paraId="79673181" w14:textId="77777777" w:rsidR="00D424F6" w:rsidRPr="00F27F6C" w:rsidRDefault="00D424F6" w:rsidP="000A6801">
            <w:pPr>
              <w:shd w:val="clear" w:color="auto" w:fill="FFFFFF"/>
              <w:ind w:left="4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30F0EB" w14:textId="77777777" w:rsidR="00D424F6" w:rsidRDefault="00D424F6" w:rsidP="009D3433">
            <w:pPr>
              <w:shd w:val="clear" w:color="auto" w:fill="FFFFFF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D46C462" w14:textId="77777777" w:rsidR="009D3433" w:rsidRDefault="009D3433" w:rsidP="009D3433">
      <w:pPr>
        <w:spacing w:after="360" w:line="288" w:lineRule="auto"/>
        <w:rPr>
          <w:rFonts w:ascii="Encode Sans SemiBold" w:hAnsi="Encode Sans SemiBold" w:cs="Calibri"/>
          <w:i/>
          <w:color w:val="1F497D" w:themeColor="text2"/>
          <w:sz w:val="18"/>
        </w:rPr>
      </w:pPr>
      <w:r>
        <w:rPr>
          <w:rFonts w:ascii="Encode Sans SemiBold" w:hAnsi="Encode Sans SemiBold"/>
          <w:i/>
          <w:color w:val="1F497D" w:themeColor="text2"/>
          <w:sz w:val="18"/>
        </w:rPr>
        <w:t>DICHIARAZIONI PREVISIONALI</w:t>
      </w:r>
    </w:p>
    <w:p w14:paraId="4EE8C5FB" w14:textId="2E773D37" w:rsidR="009D3433" w:rsidRDefault="009D3433" w:rsidP="00332D76">
      <w:pPr>
        <w:jc w:val="both"/>
        <w:rPr>
          <w:i/>
          <w:sz w:val="16"/>
        </w:rPr>
      </w:pPr>
      <w:r>
        <w:rPr>
          <w:i/>
          <w:sz w:val="16"/>
        </w:rPr>
        <w:t>La presente comunicazione contiene dichiarazioni previsionali. In particolare, le dichiarazioni riguardanti le prestazioni finanziarie future e le aspettative dell</w:t>
      </w:r>
      <w:r w:rsidR="00AE3E17">
        <w:rPr>
          <w:i/>
          <w:sz w:val="16"/>
        </w:rPr>
        <w:t>’</w:t>
      </w:r>
      <w:r>
        <w:rPr>
          <w:i/>
          <w:sz w:val="16"/>
        </w:rPr>
        <w:t xml:space="preserve">azienda relative al raggiungimento di determinati obiettivi di grandezza, compresi ricavi, free cash flow industriali, vendite di veicoli, investimenti di capitale, costi di ricerca e sviluppo e altre spese, in qualsiasi data futura o periodo futuro sono dichiarazioni previsionali. Tali dichiarazioni possono comprendere termini quali </w:t>
      </w:r>
      <w:r w:rsidR="00AE3E17">
        <w:rPr>
          <w:i/>
          <w:sz w:val="16"/>
        </w:rPr>
        <w:t>“</w:t>
      </w:r>
      <w:r>
        <w:rPr>
          <w:i/>
          <w:sz w:val="16"/>
        </w:rPr>
        <w:t>può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sarà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ci si aspetta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potrebbe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dovrebbe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intende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stima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anticipa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crede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rimane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in linea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progetta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target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obiettivo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scopo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previsione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proiezione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aspettativa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prospettiva</w:t>
      </w:r>
      <w:r w:rsidR="00AE3E17">
        <w:rPr>
          <w:i/>
          <w:sz w:val="16"/>
        </w:rPr>
        <w:t>”</w:t>
      </w:r>
      <w:r>
        <w:rPr>
          <w:i/>
          <w:sz w:val="16"/>
        </w:rPr>
        <w:t xml:space="preserve">, </w:t>
      </w:r>
      <w:r w:rsidR="00AE3E17">
        <w:rPr>
          <w:i/>
          <w:sz w:val="16"/>
        </w:rPr>
        <w:t>“</w:t>
      </w:r>
      <w:r>
        <w:rPr>
          <w:i/>
          <w:sz w:val="16"/>
        </w:rPr>
        <w:t>piano</w:t>
      </w:r>
      <w:r w:rsidR="00AE3E17">
        <w:rPr>
          <w:i/>
          <w:sz w:val="16"/>
        </w:rPr>
        <w:t>”</w:t>
      </w:r>
      <w:r>
        <w:rPr>
          <w:i/>
          <w:sz w:val="16"/>
        </w:rPr>
        <w:t>, o termini simili. Le dichiarazioni previsionali non sono garanzia di performance future. Piuttosto, esse sono basate sull</w:t>
      </w:r>
      <w:r w:rsidR="00AE3E17">
        <w:rPr>
          <w:i/>
          <w:sz w:val="16"/>
        </w:rPr>
        <w:t>’</w:t>
      </w:r>
      <w:r>
        <w:rPr>
          <w:i/>
          <w:sz w:val="16"/>
        </w:rPr>
        <w:t xml:space="preserve">attuale stato di conoscenza del Gruppo, sulle aspettative e sulle proiezioni future riguardo eventi futuri e sono per loro natura soggette a rischi intrinseci e incertezze. Tali dichiarazioni riguardano eventi e dipendono da circostanze che potrebbero o non potrebbero verificarsi o esistere in futuro e, in quanto tali, non si dovrebbe fare indebito affidamento su di esse. </w:t>
      </w:r>
    </w:p>
    <w:p w14:paraId="261BA739" w14:textId="77777777" w:rsidR="009D3433" w:rsidRPr="001618F8" w:rsidRDefault="009D3433" w:rsidP="00332D76">
      <w:pPr>
        <w:jc w:val="both"/>
        <w:rPr>
          <w:i/>
          <w:sz w:val="16"/>
        </w:rPr>
      </w:pPr>
    </w:p>
    <w:p w14:paraId="53001B0E" w14:textId="12ED8791" w:rsidR="009D3433" w:rsidRDefault="009D3433" w:rsidP="00332D76">
      <w:pPr>
        <w:jc w:val="both"/>
        <w:rPr>
          <w:i/>
          <w:sz w:val="16"/>
        </w:rPr>
      </w:pPr>
      <w:r>
        <w:rPr>
          <w:i/>
          <w:sz w:val="16"/>
        </w:rPr>
        <w:t>I risultati effetti potrebbero differire materialmente da quelli espressi nelle dichiarazioni previsionali quale risultato di una molteplicità di fattori, inclusi: l</w:t>
      </w:r>
      <w:r w:rsidR="00AE3E17">
        <w:rPr>
          <w:i/>
          <w:sz w:val="16"/>
        </w:rPr>
        <w:t>’</w:t>
      </w:r>
      <w:r>
        <w:rPr>
          <w:i/>
          <w:sz w:val="16"/>
        </w:rPr>
        <w:t>impatto della pandemia da COVID-19, la capacità del Gruppo di lanciare nuovi prodotti con successo e di mantenere i volumi di consegna dei veicoli; i cambiamenti nei mercati finanziari globali, nel contesto economico generale e i cambiamenti nella domanda di prodotti automobilistici, soggetta a ciclicità; i cambiamenti delle condizioni economiche e politiche locali, i cambiamenti delle politiche commerciali e l</w:t>
      </w:r>
      <w:r w:rsidR="00AE3E17">
        <w:rPr>
          <w:i/>
          <w:sz w:val="16"/>
        </w:rPr>
        <w:t>’</w:t>
      </w:r>
      <w:r>
        <w:rPr>
          <w:i/>
          <w:sz w:val="16"/>
        </w:rPr>
        <w:t>imposizione di dazi a livello globale e regionale o dazi mirati all</w:t>
      </w:r>
      <w:r w:rsidR="00AE3E17">
        <w:rPr>
          <w:i/>
          <w:sz w:val="16"/>
        </w:rPr>
        <w:t>’</w:t>
      </w:r>
      <w:r>
        <w:rPr>
          <w:i/>
          <w:sz w:val="16"/>
        </w:rPr>
        <w:t>industria automobilistica, l</w:t>
      </w:r>
      <w:r w:rsidR="00AE3E17">
        <w:rPr>
          <w:i/>
          <w:sz w:val="16"/>
        </w:rPr>
        <w:t>’</w:t>
      </w:r>
      <w:r>
        <w:rPr>
          <w:i/>
          <w:sz w:val="16"/>
        </w:rPr>
        <w:t>attuazione di riforme fiscali o altre variazioni nelle normative e regolamentazioni fiscali; la capacità del Gruppo di espandere a livello globale alcuni dei suoi marchi; la sua capacità di offrire prodotti innovativi e attraenti; la sua capacità di sviluppare, produrre e vendere veicoli con caratteristiche avanzate tra cui elettrificazione potenziata, connettività e guida autonoma; diversi tipi di reclami, azioni legali, indagini governative e altre controversie legali, inclusi responsabilità del prodotto e reclami di garanzia del prodotto e reclami, indagini e azioni legali in materia ambientale; costi operativi in relazione alla conformità con le normative di tutela dell</w:t>
      </w:r>
      <w:r w:rsidR="00AE3E17">
        <w:rPr>
          <w:i/>
          <w:sz w:val="16"/>
        </w:rPr>
        <w:t>’</w:t>
      </w:r>
      <w:r>
        <w:rPr>
          <w:i/>
          <w:sz w:val="16"/>
        </w:rPr>
        <w:t>ambiente, della salute e della sicurezza; l</w:t>
      </w:r>
      <w:r w:rsidR="00AE3E17">
        <w:rPr>
          <w:i/>
          <w:sz w:val="16"/>
        </w:rPr>
        <w:t>’</w:t>
      </w:r>
      <w:r>
        <w:rPr>
          <w:i/>
          <w:sz w:val="16"/>
        </w:rPr>
        <w:t xml:space="preserve">elevato livello di concorrenza nel settore automobilistico, che potrebbe aumentare a causa di consolidamenti; la potenziale carenza nel finanziamento dei piani pensionistici del Gruppo; la capacità di fornire o organizzare accesso a finanziamenti adeguati per i concessionari e i clienti finali e i rischi associati alla costituzione e alle operazioni di società di servizi finanziari; la capacità di accedere a finanziamenti per realizzare i piani industriali del Gruppo e migliorare le attività, la situazione finanziaria e i risultati operativi; un significativo malfunzionamento, interruzione o violazione della sicurezza che possa compromettere i sistemi di information technology o i sistemi di controllo elettronico contenuti nei veicoli del Gruppo; la capacità del Gruppo di realizzare i benefici previsti dagli accordi di joint venture; interruzioni dovute a instabilità politica, sociale ed economica; i rischi associati alle relazioni con </w:t>
      </w:r>
      <w:r>
        <w:rPr>
          <w:i/>
          <w:sz w:val="16"/>
        </w:rPr>
        <w:lastRenderedPageBreak/>
        <w:t xml:space="preserve">dipendenti, concessionari e fornitori; aumenti dei costi, interruzioni di forniture o carenza di materie prime, parti, componenti e sistemi utilizzati nei veicoli del Gruppo; sviluppi in relazioni sindacali, industriali e nella normativa del lavoro; fluttuazioni dei tassi di cambio, variazioni dai tassi di interesse, rischio di credito e altri rischi di mercato; tensioni politiche e sociali; terremoti o altri disastri; il rischio che le attività di Peugeot S.A. e Fiat Chrysler Automobiles N.V. non siano integrate con successo e altri rischi e incertezze. </w:t>
      </w:r>
    </w:p>
    <w:p w14:paraId="09D22CCD" w14:textId="77777777" w:rsidR="009D3433" w:rsidRPr="001618F8" w:rsidRDefault="009D3433" w:rsidP="00332D76">
      <w:pPr>
        <w:jc w:val="both"/>
        <w:rPr>
          <w:i/>
          <w:sz w:val="16"/>
        </w:rPr>
      </w:pPr>
    </w:p>
    <w:p w14:paraId="461ABF01" w14:textId="77777777" w:rsidR="009D3433" w:rsidRPr="001618F8" w:rsidRDefault="009D3433" w:rsidP="00332D76">
      <w:pPr>
        <w:jc w:val="both"/>
        <w:rPr>
          <w:i/>
          <w:sz w:val="16"/>
        </w:rPr>
      </w:pPr>
      <w:r>
        <w:rPr>
          <w:i/>
          <w:sz w:val="16"/>
        </w:rPr>
        <w:t>Qualsiasi dichiarazione previsionale contenuta nella presente comunicazione sono da considerare valide alla data del presente documento e il Gruppo declina ogni obbligo di aggiornare o revisionare pubblicamente tali dichiarazioni. Ulteriori informazioni riguardanti il Gruppo e le sue attività, inclusi i fattori che potrebbero materialmente influenzare i risultati finanziari del Gruppo, sono contenute nei documenti depositati dal Gruppo presso la Securities and Exchange Commission statunitense, la AFM, la CONSOB e la AMF.</w:t>
      </w:r>
    </w:p>
    <w:p w14:paraId="20A252EB" w14:textId="77777777" w:rsidR="00D424F6" w:rsidRPr="004115A7" w:rsidRDefault="00D424F6" w:rsidP="006F6D98">
      <w:pPr>
        <w:shd w:val="clear" w:color="auto" w:fill="FFFFFF"/>
        <w:spacing w:before="120" w:line="400" w:lineRule="exact"/>
        <w:jc w:val="both"/>
        <w:rPr>
          <w:rFonts w:ascii="Microsoft JhengHei" w:eastAsia="Microsoft JhengHei" w:hAnsi="Microsoft JhengHei" w:cs="Microsoft JhengHei"/>
          <w:color w:val="222222"/>
          <w:sz w:val="24"/>
          <w:szCs w:val="24"/>
        </w:rPr>
      </w:pPr>
    </w:p>
    <w:sectPr w:rsidR="00D424F6" w:rsidRPr="004115A7" w:rsidSect="006F6D98">
      <w:headerReference w:type="default" r:id="rId20"/>
      <w:pgSz w:w="12240" w:h="15840"/>
      <w:pgMar w:top="1440" w:right="1440" w:bottom="801" w:left="1440" w:header="28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9FB61" w14:textId="77777777" w:rsidR="00682603" w:rsidRDefault="00682603">
      <w:pPr>
        <w:spacing w:line="240" w:lineRule="auto"/>
      </w:pPr>
      <w:r>
        <w:separator/>
      </w:r>
    </w:p>
  </w:endnote>
  <w:endnote w:type="continuationSeparator" w:id="0">
    <w:p w14:paraId="03BAB47E" w14:textId="77777777" w:rsidR="00682603" w:rsidRDefault="006826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F6C14" w14:textId="77777777" w:rsidR="00682603" w:rsidRDefault="00682603">
      <w:pPr>
        <w:spacing w:line="240" w:lineRule="auto"/>
      </w:pPr>
      <w:r>
        <w:separator/>
      </w:r>
    </w:p>
  </w:footnote>
  <w:footnote w:type="continuationSeparator" w:id="0">
    <w:p w14:paraId="7753E707" w14:textId="77777777" w:rsidR="00682603" w:rsidRDefault="006826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9FD44" w14:textId="77777777" w:rsidR="001B3D2B" w:rsidRDefault="004E09E1">
    <w:r>
      <w:rPr>
        <w:noProof/>
        <w:lang w:val="en-US" w:eastAsia="en-US"/>
      </w:rPr>
      <w:drawing>
        <wp:inline distT="0" distB="0" distL="0" distR="0" wp14:anchorId="4C89FD45" wp14:editId="4C89FD46">
          <wp:extent cx="1675202" cy="419516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5202" cy="419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val="en-US" w:eastAsia="en-US"/>
      </w:rPr>
      <w:drawing>
        <wp:inline distT="114300" distB="114300" distL="114300" distR="114300" wp14:anchorId="4C89FD47" wp14:editId="4C89FD48">
          <wp:extent cx="1984623" cy="52432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16919"/>
                  <a:stretch>
                    <a:fillRect/>
                  </a:stretch>
                </pic:blipFill>
                <pic:spPr>
                  <a:xfrm>
                    <a:off x="0" y="0"/>
                    <a:ext cx="1984623" cy="524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12391"/>
    <w:multiLevelType w:val="multilevel"/>
    <w:tmpl w:val="57BAF45A"/>
    <w:lvl w:ilvl="0">
      <w:start w:val="1"/>
      <w:numFmt w:val="bullet"/>
      <w:lvlText w:val="●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2B"/>
    <w:rsid w:val="00015535"/>
    <w:rsid w:val="000375F0"/>
    <w:rsid w:val="000458F8"/>
    <w:rsid w:val="00053053"/>
    <w:rsid w:val="0007276F"/>
    <w:rsid w:val="00086674"/>
    <w:rsid w:val="000F536F"/>
    <w:rsid w:val="001315D4"/>
    <w:rsid w:val="00150ECD"/>
    <w:rsid w:val="00156D89"/>
    <w:rsid w:val="00166738"/>
    <w:rsid w:val="00174254"/>
    <w:rsid w:val="001872BD"/>
    <w:rsid w:val="001B3D2B"/>
    <w:rsid w:val="001D3165"/>
    <w:rsid w:val="001D6CD0"/>
    <w:rsid w:val="001D7EA7"/>
    <w:rsid w:val="001E61D3"/>
    <w:rsid w:val="001E6821"/>
    <w:rsid w:val="001F2829"/>
    <w:rsid w:val="001F551B"/>
    <w:rsid w:val="001F6738"/>
    <w:rsid w:val="002304FC"/>
    <w:rsid w:val="002667A1"/>
    <w:rsid w:val="00292848"/>
    <w:rsid w:val="002A56A3"/>
    <w:rsid w:val="002B217A"/>
    <w:rsid w:val="002B38E9"/>
    <w:rsid w:val="002B56D0"/>
    <w:rsid w:val="002D5125"/>
    <w:rsid w:val="002F1662"/>
    <w:rsid w:val="002F4F87"/>
    <w:rsid w:val="00303A79"/>
    <w:rsid w:val="00311048"/>
    <w:rsid w:val="00332D76"/>
    <w:rsid w:val="003B6DC6"/>
    <w:rsid w:val="003C2424"/>
    <w:rsid w:val="003C7EF2"/>
    <w:rsid w:val="003E1E8A"/>
    <w:rsid w:val="004115A7"/>
    <w:rsid w:val="004170E8"/>
    <w:rsid w:val="0043179B"/>
    <w:rsid w:val="00433721"/>
    <w:rsid w:val="00433EAD"/>
    <w:rsid w:val="00436CF4"/>
    <w:rsid w:val="00443628"/>
    <w:rsid w:val="004B52EC"/>
    <w:rsid w:val="004B5751"/>
    <w:rsid w:val="004E09E1"/>
    <w:rsid w:val="00526862"/>
    <w:rsid w:val="005414FC"/>
    <w:rsid w:val="0056099B"/>
    <w:rsid w:val="005A1D1C"/>
    <w:rsid w:val="005C310C"/>
    <w:rsid w:val="005C52BB"/>
    <w:rsid w:val="005D05EA"/>
    <w:rsid w:val="005F66D2"/>
    <w:rsid w:val="0060154D"/>
    <w:rsid w:val="006153FB"/>
    <w:rsid w:val="00635ADB"/>
    <w:rsid w:val="006631AA"/>
    <w:rsid w:val="00674B61"/>
    <w:rsid w:val="00682603"/>
    <w:rsid w:val="00693D8F"/>
    <w:rsid w:val="006F527A"/>
    <w:rsid w:val="006F6D98"/>
    <w:rsid w:val="00706046"/>
    <w:rsid w:val="007443DE"/>
    <w:rsid w:val="007634FD"/>
    <w:rsid w:val="00780BA0"/>
    <w:rsid w:val="00780F77"/>
    <w:rsid w:val="00785DEC"/>
    <w:rsid w:val="007A456B"/>
    <w:rsid w:val="007E3434"/>
    <w:rsid w:val="007E7E7C"/>
    <w:rsid w:val="008535DC"/>
    <w:rsid w:val="008564EF"/>
    <w:rsid w:val="008609A5"/>
    <w:rsid w:val="00861E76"/>
    <w:rsid w:val="00875106"/>
    <w:rsid w:val="00890CE6"/>
    <w:rsid w:val="008A5BB0"/>
    <w:rsid w:val="008B3F43"/>
    <w:rsid w:val="008B6B44"/>
    <w:rsid w:val="008C1D67"/>
    <w:rsid w:val="008F1D1D"/>
    <w:rsid w:val="00931F44"/>
    <w:rsid w:val="00977D8B"/>
    <w:rsid w:val="009A6E7A"/>
    <w:rsid w:val="009D3433"/>
    <w:rsid w:val="009E242F"/>
    <w:rsid w:val="00A018B9"/>
    <w:rsid w:val="00A12F5D"/>
    <w:rsid w:val="00A205FD"/>
    <w:rsid w:val="00A33D0F"/>
    <w:rsid w:val="00A63A79"/>
    <w:rsid w:val="00A85AA3"/>
    <w:rsid w:val="00A92928"/>
    <w:rsid w:val="00AC4291"/>
    <w:rsid w:val="00AD2000"/>
    <w:rsid w:val="00AD4561"/>
    <w:rsid w:val="00AE3E17"/>
    <w:rsid w:val="00AF272D"/>
    <w:rsid w:val="00AF4124"/>
    <w:rsid w:val="00B13D6E"/>
    <w:rsid w:val="00B26775"/>
    <w:rsid w:val="00B43ECF"/>
    <w:rsid w:val="00B86A07"/>
    <w:rsid w:val="00B97CBD"/>
    <w:rsid w:val="00BB64CE"/>
    <w:rsid w:val="00BF7E6E"/>
    <w:rsid w:val="00C50E86"/>
    <w:rsid w:val="00CA085F"/>
    <w:rsid w:val="00CC03B7"/>
    <w:rsid w:val="00CC1858"/>
    <w:rsid w:val="00CF5AE7"/>
    <w:rsid w:val="00D03CBE"/>
    <w:rsid w:val="00D158A7"/>
    <w:rsid w:val="00D40E5A"/>
    <w:rsid w:val="00D424F6"/>
    <w:rsid w:val="00D47600"/>
    <w:rsid w:val="00D72BB6"/>
    <w:rsid w:val="00DC4ACD"/>
    <w:rsid w:val="00DE7749"/>
    <w:rsid w:val="00E266F3"/>
    <w:rsid w:val="00E85DE6"/>
    <w:rsid w:val="00E86646"/>
    <w:rsid w:val="00E91DAA"/>
    <w:rsid w:val="00ED6C5A"/>
    <w:rsid w:val="00F46CD8"/>
    <w:rsid w:val="00F83177"/>
    <w:rsid w:val="00F8355A"/>
    <w:rsid w:val="00F9402C"/>
    <w:rsid w:val="00FA3477"/>
    <w:rsid w:val="00FE0DF3"/>
    <w:rsid w:val="00FE11F6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89FD29"/>
  <w15:docId w15:val="{C17FD736-9F32-AD4E-B332-820A7AA3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it-IT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291"/>
    <w:pPr>
      <w:spacing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291"/>
    <w:rPr>
      <w:rFonts w:ascii="PMingLiU" w:eastAsia="PMingLiU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2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2BB6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2BB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B52EC"/>
    <w:pPr>
      <w:ind w:leftChars="200" w:left="480"/>
    </w:pPr>
  </w:style>
  <w:style w:type="character" w:styleId="Hyperlink">
    <w:name w:val="Hyperlink"/>
    <w:basedOn w:val="DefaultParagraphFont"/>
    <w:uiPriority w:val="99"/>
    <w:semiHidden/>
    <w:rsid w:val="00D424F6"/>
    <w:rPr>
      <w:color w:val="0000FF" w:themeColor="hyperlink"/>
      <w:u w:val="none"/>
    </w:rPr>
  </w:style>
  <w:style w:type="table" w:styleId="TableGrid">
    <w:name w:val="Table Grid"/>
    <w:basedOn w:val="TableNormal"/>
    <w:uiPriority w:val="59"/>
    <w:rsid w:val="00D424F6"/>
    <w:pPr>
      <w:spacing w:line="240" w:lineRule="auto"/>
    </w:pPr>
    <w:rPr>
      <w:rFonts w:asciiTheme="minorHAnsi" w:eastAsiaTheme="minorHAnsi" w:hAnsiTheme="minorHAnsi" w:cstheme="minorBidi"/>
      <w:sz w:val="16"/>
      <w:szCs w:val="1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ntact-Title">
    <w:name w:val="S_Contact - Title"/>
    <w:basedOn w:val="Normal"/>
    <w:next w:val="SContact-Sendersinfo"/>
    <w:qFormat/>
    <w:rsid w:val="00D424F6"/>
    <w:pPr>
      <w:spacing w:before="360" w:after="240" w:line="240" w:lineRule="auto"/>
      <w:jc w:val="both"/>
    </w:pPr>
    <w:rPr>
      <w:rFonts w:asciiTheme="majorHAnsi" w:eastAsiaTheme="minorHAnsi" w:hAnsiTheme="majorHAnsi" w:cstheme="minorBidi"/>
      <w:color w:val="1F497D" w:themeColor="text2"/>
      <w:sz w:val="24"/>
      <w:szCs w:val="16"/>
      <w:lang w:eastAsia="en-US"/>
    </w:rPr>
  </w:style>
  <w:style w:type="paragraph" w:customStyle="1" w:styleId="SContact-Sendersinfo">
    <w:name w:val="S_Contact - Sender's info"/>
    <w:basedOn w:val="Normal"/>
    <w:qFormat/>
    <w:rsid w:val="00D424F6"/>
    <w:pPr>
      <w:spacing w:before="240" w:after="240" w:line="360" w:lineRule="auto"/>
      <w:contextualSpacing/>
      <w:jc w:val="both"/>
    </w:pPr>
    <w:rPr>
      <w:rFonts w:asciiTheme="majorHAnsi" w:eastAsiaTheme="minorHAnsi" w:hAnsiTheme="majorHAnsi" w:cstheme="minorBidi"/>
      <w:color w:val="1F497D" w:themeColor="text2"/>
      <w:sz w:val="24"/>
      <w:szCs w:val="16"/>
      <w:lang w:eastAsia="en-US"/>
    </w:rPr>
  </w:style>
  <w:style w:type="table" w:customStyle="1" w:styleId="Grilledutableau2">
    <w:name w:val="Grille du tableau2"/>
    <w:basedOn w:val="TableNormal"/>
    <w:next w:val="TableGrid"/>
    <w:uiPriority w:val="39"/>
    <w:rsid w:val="00D424F6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Stellantis" TargetMode="External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onhai.com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Stellanti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hyperlink" Target="https://twitter.com/stellantis" TargetMode="External"/><Relationship Id="rId19" Type="http://schemas.openxmlformats.org/officeDocument/2006/relationships/hyperlink" Target="https://www.youtube.com/channel/UCKgSLvI1SYKOTpEToycAz7Q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1488</Words>
  <Characters>8518</Characters>
  <Application>Microsoft Office Word</Application>
  <DocSecurity>0</DocSecurity>
  <Lines>116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</dc:creator>
  <cp:lastModifiedBy>Paul Johnston</cp:lastModifiedBy>
  <cp:revision>7</cp:revision>
  <dcterms:created xsi:type="dcterms:W3CDTF">2021-08-23T07:48:00Z</dcterms:created>
  <dcterms:modified xsi:type="dcterms:W3CDTF">2021-08-23T22:09:00Z</dcterms:modified>
</cp:coreProperties>
</file>