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6A" w:rsidRPr="003A5A29" w:rsidRDefault="0086416D" w:rsidP="001E6C1E">
      <w:pPr>
        <w:pStyle w:val="SSubjectBlock"/>
        <w:rPr>
          <w:lang w:val="it-IT"/>
        </w:rPr>
      </w:pPr>
      <w:r w:rsidRPr="003A5A29">
        <w:rPr>
          <w:lang w:val="it-IT"/>
        </w:rPr>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7F2540" w:rsidRPr="003A5A29">
        <w:rPr>
          <w:lang w:val="it-IT"/>
        </w:rPr>
        <w:t>Stellantis punta a ~€20 miliardi di ricavi incrementali annuali entro il 2030, guidati dalla spinta dei veicoli abilitati con i software</w:t>
      </w:r>
    </w:p>
    <w:p w:rsidR="007F2540" w:rsidRPr="003A5A29" w:rsidRDefault="007F2540" w:rsidP="007F2540">
      <w:pPr>
        <w:pStyle w:val="SDatePlace"/>
        <w:numPr>
          <w:ilvl w:val="0"/>
          <w:numId w:val="12"/>
        </w:numPr>
        <w:rPr>
          <w:rFonts w:asciiTheme="majorHAnsi" w:hAnsiTheme="majorHAnsi"/>
          <w:bCs/>
          <w:szCs w:val="16"/>
          <w:lang w:val="it-IT"/>
        </w:rPr>
      </w:pPr>
      <w:r w:rsidRPr="003A5A29">
        <w:rPr>
          <w:rFonts w:asciiTheme="majorHAnsi" w:hAnsiTheme="majorHAnsi"/>
          <w:bCs/>
          <w:szCs w:val="16"/>
          <w:lang w:val="it-IT"/>
        </w:rPr>
        <w:t>Circa 4 miliardi di euro di fatturato annuo entro il 2026 e ~20 miliardi di euro entro il 2030 generati da offerte di prodotti abilitati per software e abbonamenti</w:t>
      </w:r>
    </w:p>
    <w:p w:rsidR="007F2540" w:rsidRPr="003A5A29" w:rsidRDefault="007F2540" w:rsidP="007F2540">
      <w:pPr>
        <w:pStyle w:val="SDatePlace"/>
        <w:numPr>
          <w:ilvl w:val="0"/>
          <w:numId w:val="12"/>
        </w:numPr>
        <w:rPr>
          <w:rFonts w:asciiTheme="majorHAnsi" w:hAnsiTheme="majorHAnsi"/>
          <w:bCs/>
          <w:szCs w:val="16"/>
          <w:lang w:val="it-IT"/>
        </w:rPr>
      </w:pPr>
      <w:r w:rsidRPr="003A5A29">
        <w:rPr>
          <w:rFonts w:asciiTheme="majorHAnsi" w:hAnsiTheme="majorHAnsi"/>
          <w:bCs/>
          <w:szCs w:val="16"/>
          <w:lang w:val="it-IT"/>
        </w:rPr>
        <w:t>Oltre 30 miliardi di euro di investimenti previsti entro il 2025 per attuare la trasformazione del software e dell</w:t>
      </w:r>
      <w:r w:rsidR="003A5A29">
        <w:rPr>
          <w:rFonts w:asciiTheme="majorHAnsi" w:hAnsiTheme="majorHAnsi"/>
          <w:bCs/>
          <w:szCs w:val="16"/>
          <w:lang w:val="it-IT"/>
        </w:rPr>
        <w:t>’</w:t>
      </w:r>
      <w:r w:rsidRPr="003A5A29">
        <w:rPr>
          <w:rFonts w:asciiTheme="majorHAnsi" w:hAnsiTheme="majorHAnsi"/>
          <w:bCs/>
          <w:szCs w:val="16"/>
          <w:lang w:val="it-IT"/>
        </w:rPr>
        <w:t>elettrificazione</w:t>
      </w:r>
    </w:p>
    <w:p w:rsidR="007F2540" w:rsidRPr="003A5A29" w:rsidRDefault="007F2540" w:rsidP="007F2540">
      <w:pPr>
        <w:pStyle w:val="SDatePlace"/>
        <w:numPr>
          <w:ilvl w:val="0"/>
          <w:numId w:val="12"/>
        </w:numPr>
        <w:rPr>
          <w:rFonts w:asciiTheme="majorHAnsi" w:hAnsiTheme="majorHAnsi"/>
          <w:bCs/>
          <w:szCs w:val="16"/>
          <w:lang w:val="it-IT"/>
        </w:rPr>
      </w:pPr>
      <w:r w:rsidRPr="003A5A29">
        <w:rPr>
          <w:rFonts w:asciiTheme="majorHAnsi" w:hAnsiTheme="majorHAnsi"/>
          <w:bCs/>
          <w:szCs w:val="16"/>
          <w:lang w:val="it-IT"/>
        </w:rPr>
        <w:t xml:space="preserve">34 milioni di auto </w:t>
      </w:r>
      <w:r w:rsidR="003A5A29">
        <w:rPr>
          <w:rFonts w:asciiTheme="majorHAnsi" w:hAnsiTheme="majorHAnsi"/>
          <w:bCs/>
          <w:szCs w:val="16"/>
          <w:lang w:val="it-IT"/>
        </w:rPr>
        <w:t>“</w:t>
      </w:r>
      <w:r w:rsidRPr="003A5A29">
        <w:rPr>
          <w:rFonts w:asciiTheme="majorHAnsi" w:hAnsiTheme="majorHAnsi"/>
          <w:bCs/>
          <w:szCs w:val="16"/>
          <w:lang w:val="it-IT"/>
        </w:rPr>
        <w:t>monetizzabili</w:t>
      </w:r>
      <w:r w:rsidR="003A5A29">
        <w:rPr>
          <w:rFonts w:asciiTheme="majorHAnsi" w:hAnsiTheme="majorHAnsi"/>
          <w:bCs/>
          <w:szCs w:val="16"/>
          <w:lang w:val="it-IT"/>
        </w:rPr>
        <w:t>”</w:t>
      </w:r>
      <w:r w:rsidRPr="003A5A29">
        <w:rPr>
          <w:rFonts w:asciiTheme="majorHAnsi" w:hAnsiTheme="majorHAnsi"/>
          <w:bCs/>
          <w:szCs w:val="16"/>
          <w:lang w:val="it-IT"/>
        </w:rPr>
        <w:t xml:space="preserve"> connesse previste entro il 2030, con una maggioranza di nuovi veicoli completamente aggiornabili via etere entro il 2024</w:t>
      </w:r>
    </w:p>
    <w:p w:rsidR="007F2540" w:rsidRPr="003A5A29" w:rsidRDefault="007F2540" w:rsidP="007F2540">
      <w:pPr>
        <w:pStyle w:val="SDatePlace"/>
        <w:numPr>
          <w:ilvl w:val="0"/>
          <w:numId w:val="12"/>
        </w:numPr>
        <w:rPr>
          <w:rFonts w:asciiTheme="majorHAnsi" w:hAnsiTheme="majorHAnsi"/>
          <w:bCs/>
          <w:szCs w:val="16"/>
          <w:lang w:val="it-IT"/>
        </w:rPr>
      </w:pPr>
      <w:r w:rsidRPr="003A5A29">
        <w:rPr>
          <w:rFonts w:asciiTheme="majorHAnsi" w:hAnsiTheme="majorHAnsi"/>
          <w:bCs/>
          <w:szCs w:val="16"/>
          <w:lang w:val="it-IT"/>
        </w:rPr>
        <w:t>Tre nuove piattaforme tecnologiche basate sull</w:t>
      </w:r>
      <w:r w:rsidR="003A5A29">
        <w:rPr>
          <w:rFonts w:asciiTheme="majorHAnsi" w:hAnsiTheme="majorHAnsi"/>
          <w:bCs/>
          <w:szCs w:val="16"/>
          <w:lang w:val="it-IT"/>
        </w:rPr>
        <w:t>’</w:t>
      </w:r>
      <w:r w:rsidRPr="003A5A29">
        <w:rPr>
          <w:rFonts w:asciiTheme="majorHAnsi" w:hAnsiTheme="majorHAnsi"/>
          <w:bCs/>
          <w:szCs w:val="16"/>
          <w:lang w:val="it-IT"/>
        </w:rPr>
        <w:t>intelligenza artificiale (IA) da implementare su scala, a partire dal 2024: STLA Brain, STLA SmartCockpit e STLA AutoDrive.</w:t>
      </w:r>
    </w:p>
    <w:p w:rsidR="007F2540" w:rsidRPr="003A5A29" w:rsidRDefault="007F2540" w:rsidP="007F2540">
      <w:pPr>
        <w:pStyle w:val="SDatePlace"/>
        <w:numPr>
          <w:ilvl w:val="0"/>
          <w:numId w:val="12"/>
        </w:numPr>
        <w:rPr>
          <w:rFonts w:asciiTheme="majorHAnsi" w:hAnsiTheme="majorHAnsi"/>
          <w:bCs/>
          <w:szCs w:val="16"/>
          <w:lang w:val="it-IT"/>
        </w:rPr>
      </w:pPr>
      <w:r w:rsidRPr="003A5A29">
        <w:rPr>
          <w:rFonts w:asciiTheme="majorHAnsi" w:hAnsiTheme="majorHAnsi"/>
          <w:bCs/>
          <w:szCs w:val="16"/>
          <w:lang w:val="it-IT"/>
        </w:rPr>
        <w:t>Le partnership strategiche con i leader tecnologici come BMW, Foxconn e Waymo continuano a guidare innovazione, efficienza e know-how condiviso con gli esperti Stellantis</w:t>
      </w:r>
    </w:p>
    <w:p w:rsidR="007F2540" w:rsidRPr="003A5A29" w:rsidRDefault="007F2540" w:rsidP="007F2540">
      <w:pPr>
        <w:pStyle w:val="SDatePlace"/>
        <w:numPr>
          <w:ilvl w:val="0"/>
          <w:numId w:val="12"/>
        </w:numPr>
        <w:rPr>
          <w:rFonts w:asciiTheme="majorHAnsi" w:hAnsiTheme="majorHAnsi"/>
          <w:bCs/>
          <w:szCs w:val="16"/>
          <w:lang w:val="it-IT"/>
        </w:rPr>
      </w:pPr>
      <w:r w:rsidRPr="003A5A29">
        <w:rPr>
          <w:rFonts w:asciiTheme="majorHAnsi" w:hAnsiTheme="majorHAnsi"/>
          <w:bCs/>
          <w:szCs w:val="16"/>
          <w:lang w:val="it-IT"/>
        </w:rPr>
        <w:t>4.500 ingegneri del software entro il 2024, escluse le partnership, supportati da una Software Academy dedicata</w:t>
      </w:r>
    </w:p>
    <w:p w:rsidR="007F2540" w:rsidRPr="003A5A29" w:rsidRDefault="000F2FE8" w:rsidP="007F2540">
      <w:pPr>
        <w:pStyle w:val="SDatePlace"/>
        <w:rPr>
          <w:lang w:val="it-IT"/>
        </w:rPr>
      </w:pPr>
      <w:r w:rsidRPr="003A5A29">
        <w:rPr>
          <w:lang w:val="it-IT"/>
        </w:rPr>
        <w:t>AMSTERDAM</w:t>
      </w:r>
      <w:r w:rsidR="001E6C1E" w:rsidRPr="003A5A29">
        <w:rPr>
          <w:lang w:val="it-IT"/>
        </w:rPr>
        <w:t xml:space="preserve">, </w:t>
      </w:r>
      <w:r w:rsidR="001F0885" w:rsidRPr="003A5A29">
        <w:rPr>
          <w:lang w:val="it-IT"/>
        </w:rPr>
        <w:t xml:space="preserve">7 dicembre 2021 </w:t>
      </w:r>
      <w:r w:rsidR="001E6C1E" w:rsidRPr="003A5A29">
        <w:rPr>
          <w:lang w:val="it-IT"/>
        </w:rPr>
        <w:t xml:space="preserve">- </w:t>
      </w:r>
      <w:hyperlink r:id="rId7" w:history="1">
        <w:r w:rsidR="007F2540" w:rsidRPr="003A5A29">
          <w:rPr>
            <w:rStyle w:val="Hyperlink"/>
            <w:lang w:val="it-IT"/>
          </w:rPr>
          <w:t>Stellantis N.V.</w:t>
        </w:r>
      </w:hyperlink>
      <w:r w:rsidR="007F2540" w:rsidRPr="003A5A29">
        <w:rPr>
          <w:lang w:val="it-IT"/>
        </w:rPr>
        <w:t xml:space="preserve"> (NYSE / MTA / Euronext Paris: STLA) ha definito quest</w:t>
      </w:r>
      <w:r w:rsidR="003A5A29">
        <w:rPr>
          <w:lang w:val="it-IT"/>
        </w:rPr>
        <w:t>’</w:t>
      </w:r>
      <w:r w:rsidR="007F2540" w:rsidRPr="003A5A29">
        <w:rPr>
          <w:lang w:val="it-IT"/>
        </w:rPr>
        <w:t>oggi la sua strategia software per l</w:t>
      </w:r>
      <w:r w:rsidR="003A5A29">
        <w:rPr>
          <w:lang w:val="it-IT"/>
        </w:rPr>
        <w:t>’</w:t>
      </w:r>
      <w:r w:rsidR="007F2540" w:rsidRPr="003A5A29">
        <w:rPr>
          <w:lang w:val="it-IT"/>
        </w:rPr>
        <w:t>uso di piattaforme tecnologiche di nuova generazione, partendo dalle funzionalità già esistenti dei veicoli connessi per trasformare il modo in cui i clienti andranno ad interagire con quest</w:t>
      </w:r>
      <w:r w:rsidR="003A5A29">
        <w:rPr>
          <w:lang w:val="it-IT"/>
        </w:rPr>
        <w:t>’</w:t>
      </w:r>
      <w:r w:rsidR="007F2540" w:rsidRPr="003A5A29">
        <w:rPr>
          <w:lang w:val="it-IT"/>
        </w:rPr>
        <w:t>ultimi, generando approssimativamente 20 miliardi di euro di ricavi incrementali entro il 2030</w:t>
      </w:r>
    </w:p>
    <w:p w:rsidR="007F2540" w:rsidRPr="003A5A29" w:rsidRDefault="007F2540" w:rsidP="007F2540">
      <w:pPr>
        <w:pStyle w:val="SDatePlace"/>
        <w:rPr>
          <w:lang w:val="it-IT"/>
        </w:rPr>
      </w:pPr>
      <w:r w:rsidRPr="003A5A29">
        <w:rPr>
          <w:lang w:val="it-IT"/>
        </w:rPr>
        <w:lastRenderedPageBreak/>
        <w:t>Questa trasformazione porterà i veicoli Stellantis dalle attuali strutture elettroniche dedicate, a una piattaforma software aperta che si integra perfettamente con le vite digitali dei clienti. Il risultato è un considerevole ampliamento delle opzioni a disposizione dei clienti per aggiungere funzionalità e servizi innovativi, tramite aggiornamenti over-the-air (OTA), mantenendo i veicoli attuali stimolanti e aggiornati, anche a distanza di anni dalla loro costruzione.</w:t>
      </w:r>
    </w:p>
    <w:p w:rsidR="007F2540" w:rsidRPr="003A5A29" w:rsidRDefault="003A5A29" w:rsidP="007F2540">
      <w:pPr>
        <w:pStyle w:val="SDatePlace"/>
        <w:rPr>
          <w:lang w:val="it-IT"/>
        </w:rPr>
      </w:pPr>
      <w:r>
        <w:rPr>
          <w:lang w:val="it-IT"/>
        </w:rPr>
        <w:t>“</w:t>
      </w:r>
      <w:r w:rsidR="007F2540" w:rsidRPr="003A5A29">
        <w:rPr>
          <w:lang w:val="it-IT"/>
        </w:rPr>
        <w:t xml:space="preserve">Le nostre </w:t>
      </w:r>
      <w:hyperlink r:id="rId8" w:history="1">
        <w:r w:rsidR="007F2540" w:rsidRPr="003A5A29">
          <w:rPr>
            <w:rStyle w:val="Hyperlink"/>
            <w:lang w:val="it-IT"/>
          </w:rPr>
          <w:t>strategie di elettrificazione e software</w:t>
        </w:r>
      </w:hyperlink>
      <w:bookmarkStart w:id="0" w:name="_GoBack"/>
      <w:bookmarkEnd w:id="0"/>
      <w:r w:rsidR="007F2540" w:rsidRPr="003A5A29">
        <w:rPr>
          <w:lang w:val="it-IT"/>
        </w:rPr>
        <w:t xml:space="preserve"> supporteranno la trasformazione per diventare un</w:t>
      </w:r>
      <w:r>
        <w:rPr>
          <w:lang w:val="it-IT"/>
        </w:rPr>
        <w:t>’</w:t>
      </w:r>
      <w:r w:rsidR="007F2540" w:rsidRPr="003A5A29">
        <w:rPr>
          <w:lang w:val="it-IT"/>
        </w:rPr>
        <w:t>azienda tecnologica di mobilità sostenibile, sfruttando la crescita aziendale associata con funzionalità e servizi over-the-air e offrendo la migliore esperienza ai nostri clienti</w:t>
      </w:r>
      <w:r>
        <w:rPr>
          <w:lang w:val="it-IT"/>
        </w:rPr>
        <w:t>”</w:t>
      </w:r>
      <w:r w:rsidR="007F2540" w:rsidRPr="003A5A29">
        <w:rPr>
          <w:lang w:val="it-IT"/>
        </w:rPr>
        <w:t xml:space="preserve">, ha affermato Carlos Tavares, CEO di Stellantis. </w:t>
      </w:r>
      <w:r>
        <w:rPr>
          <w:lang w:val="it-IT"/>
        </w:rPr>
        <w:t>“</w:t>
      </w:r>
      <w:r w:rsidR="007F2540" w:rsidRPr="003A5A29">
        <w:rPr>
          <w:lang w:val="it-IT"/>
        </w:rPr>
        <w:t>Con le tre nuovissime piattaforme tecnologiche basate sull</w:t>
      </w:r>
      <w:r>
        <w:rPr>
          <w:lang w:val="it-IT"/>
        </w:rPr>
        <w:t>’</w:t>
      </w:r>
      <w:r w:rsidR="007F2540" w:rsidRPr="003A5A29">
        <w:rPr>
          <w:lang w:val="it-IT"/>
        </w:rPr>
        <w:t>intelligenza artificiale in arrivo nel 2024, implementate sulle quattro piattaforme di veicoli STLA, sfrutteremo la velocità e l</w:t>
      </w:r>
      <w:r>
        <w:rPr>
          <w:lang w:val="it-IT"/>
        </w:rPr>
        <w:t>’</w:t>
      </w:r>
      <w:r w:rsidR="007F2540" w:rsidRPr="003A5A29">
        <w:rPr>
          <w:lang w:val="it-IT"/>
        </w:rPr>
        <w:t>agilità associate al disaccoppiamento dei cicli hardware e software</w:t>
      </w:r>
      <w:r>
        <w:rPr>
          <w:lang w:val="it-IT"/>
        </w:rPr>
        <w:t>”</w:t>
      </w:r>
      <w:r w:rsidR="007F2540" w:rsidRPr="003A5A29">
        <w:rPr>
          <w:lang w:val="it-IT"/>
        </w:rPr>
        <w:t>.</w:t>
      </w:r>
    </w:p>
    <w:p w:rsidR="007F2540" w:rsidRPr="003A5A29" w:rsidRDefault="007F2540" w:rsidP="007F2540">
      <w:pPr>
        <w:pStyle w:val="SDatePlace"/>
        <w:rPr>
          <w:lang w:val="it-IT"/>
        </w:rPr>
      </w:pPr>
      <w:r w:rsidRPr="003A5A29">
        <w:rPr>
          <w:lang w:val="it-IT"/>
        </w:rPr>
        <w:t>Stellantis programma di investire oltre 30 miliardi di euro entro il 2025 per effettuare la sua trasformazione nell</w:t>
      </w:r>
      <w:r w:rsidR="003A5A29">
        <w:rPr>
          <w:lang w:val="it-IT"/>
        </w:rPr>
        <w:t>’</w:t>
      </w:r>
      <w:r w:rsidRPr="003A5A29">
        <w:rPr>
          <w:lang w:val="it-IT"/>
        </w:rPr>
        <w:t>ambito del software e dell</w:t>
      </w:r>
      <w:r w:rsidR="003A5A29">
        <w:rPr>
          <w:lang w:val="it-IT"/>
        </w:rPr>
        <w:t>’</w:t>
      </w:r>
      <w:r w:rsidRPr="003A5A29">
        <w:rPr>
          <w:lang w:val="it-IT"/>
        </w:rPr>
        <w:t xml:space="preserve">elettrificazione. </w:t>
      </w:r>
    </w:p>
    <w:p w:rsidR="007F2540" w:rsidRPr="003A5A29" w:rsidRDefault="007F2540" w:rsidP="007F2540">
      <w:pPr>
        <w:pStyle w:val="SDatePlace"/>
        <w:rPr>
          <w:lang w:val="it-IT"/>
        </w:rPr>
      </w:pPr>
      <w:r w:rsidRPr="003A5A29">
        <w:rPr>
          <w:lang w:val="it-IT"/>
        </w:rPr>
        <w:t>La strategia software Stellantis va di pari passo con i programmi di elettrificazione dei veicoli del Gruppo, presentati in dettaglio all</w:t>
      </w:r>
      <w:r w:rsidR="003A5A29">
        <w:rPr>
          <w:lang w:val="it-IT"/>
        </w:rPr>
        <w:t>’</w:t>
      </w:r>
      <w:hyperlink r:id="rId9" w:history="1">
        <w:r w:rsidRPr="003A5A29">
          <w:rPr>
            <w:rStyle w:val="Hyperlink"/>
            <w:lang w:val="it-IT"/>
          </w:rPr>
          <w:t>EV Day</w:t>
        </w:r>
      </w:hyperlink>
      <w:r w:rsidRPr="003A5A29">
        <w:rPr>
          <w:lang w:val="it-IT"/>
        </w:rPr>
        <w:t xml:space="preserve"> di luglio 2021, con l</w:t>
      </w:r>
      <w:r w:rsidR="003A5A29">
        <w:rPr>
          <w:lang w:val="it-IT"/>
        </w:rPr>
        <w:t>’</w:t>
      </w:r>
      <w:r w:rsidRPr="003A5A29">
        <w:rPr>
          <w:lang w:val="it-IT"/>
        </w:rPr>
        <w:t>intento di raggiungere oltre il 70% di vendite in Europa e oltre il 40% di vendite negli Stati Uniti costituite da veicoli a basse emissioni (LEV) entro il 2030. Ognuno dei 14 brand del Gruppo offrirà soluzioni completamente elettrificate ai vertici della propria categoria.</w:t>
      </w:r>
    </w:p>
    <w:p w:rsidR="007F2540" w:rsidRPr="003A5A29" w:rsidRDefault="007F2540" w:rsidP="007F2540">
      <w:pPr>
        <w:pStyle w:val="SDatePlace"/>
        <w:rPr>
          <w:b/>
          <w:lang w:val="it-IT"/>
        </w:rPr>
      </w:pPr>
      <w:r w:rsidRPr="003A5A29">
        <w:rPr>
          <w:b/>
          <w:lang w:val="it-IT"/>
        </w:rPr>
        <w:t>Creazione di nuove partnership strategiche</w:t>
      </w:r>
    </w:p>
    <w:p w:rsidR="007F2540" w:rsidRPr="003A5A29" w:rsidRDefault="007F2540" w:rsidP="007F2540">
      <w:pPr>
        <w:pStyle w:val="SDatePlace"/>
        <w:rPr>
          <w:i/>
          <w:lang w:val="it-IT"/>
        </w:rPr>
      </w:pPr>
      <w:r w:rsidRPr="003A5A29">
        <w:rPr>
          <w:i/>
          <w:lang w:val="it-IT"/>
        </w:rPr>
        <w:t>Foxconn</w:t>
      </w:r>
    </w:p>
    <w:p w:rsidR="007F2540" w:rsidRPr="003A5A29" w:rsidRDefault="007F2540" w:rsidP="007F2540">
      <w:pPr>
        <w:pStyle w:val="SDatePlace"/>
        <w:rPr>
          <w:lang w:val="it-IT"/>
        </w:rPr>
      </w:pPr>
      <w:r w:rsidRPr="003A5A29">
        <w:rPr>
          <w:lang w:val="it-IT"/>
        </w:rPr>
        <w:t>Oltre alla chiusura di Mobile Drive prevista per il 31 dicembre 2021, il nuovo memorandum d</w:t>
      </w:r>
      <w:r w:rsidR="003A5A29">
        <w:rPr>
          <w:lang w:val="it-IT"/>
        </w:rPr>
        <w:t>’</w:t>
      </w:r>
      <w:r w:rsidRPr="003A5A29">
        <w:rPr>
          <w:lang w:val="it-IT"/>
        </w:rPr>
        <w:t>intesa non vincolante firmato con Foxconn mira a progettare una famiglia di microcontrollori appositamente progettati per supportare Stellantis e i clienti di terze parti. La partnership ha lo scopo di sviluppare quattro famiglie di chip che copriranno oltre l</w:t>
      </w:r>
      <w:r w:rsidR="003A5A29">
        <w:rPr>
          <w:lang w:val="it-IT"/>
        </w:rPr>
        <w:t>’</w:t>
      </w:r>
      <w:r w:rsidRPr="003A5A29">
        <w:rPr>
          <w:lang w:val="it-IT"/>
        </w:rPr>
        <w:t>80% delle esigenze dei microcontrollori dell</w:t>
      </w:r>
      <w:r w:rsidR="003A5A29">
        <w:rPr>
          <w:lang w:val="it-IT"/>
        </w:rPr>
        <w:t>’</w:t>
      </w:r>
      <w:r w:rsidRPr="003A5A29">
        <w:rPr>
          <w:lang w:val="it-IT"/>
        </w:rPr>
        <w:t>azienda, contribuendo a semplificare notevolmente la catena di approvvigionamento. L</w:t>
      </w:r>
      <w:r w:rsidR="003A5A29">
        <w:rPr>
          <w:lang w:val="it-IT"/>
        </w:rPr>
        <w:t>’</w:t>
      </w:r>
      <w:r w:rsidRPr="003A5A29">
        <w:rPr>
          <w:lang w:val="it-IT"/>
        </w:rPr>
        <w:t>adozione e l</w:t>
      </w:r>
      <w:r w:rsidR="003A5A29">
        <w:rPr>
          <w:lang w:val="it-IT"/>
        </w:rPr>
        <w:t>’</w:t>
      </w:r>
      <w:r w:rsidRPr="003A5A29">
        <w:rPr>
          <w:lang w:val="it-IT"/>
        </w:rPr>
        <w:t>installazione di prodotti nei veicoli Stellantis è prevista entro il 2024.</w:t>
      </w:r>
    </w:p>
    <w:p w:rsidR="007F2540" w:rsidRPr="003A5A29" w:rsidRDefault="007F2540" w:rsidP="007F2540">
      <w:pPr>
        <w:pStyle w:val="SDatePlace"/>
        <w:rPr>
          <w:i/>
          <w:lang w:val="it-IT"/>
        </w:rPr>
      </w:pPr>
      <w:r w:rsidRPr="003A5A29">
        <w:rPr>
          <w:i/>
          <w:lang w:val="it-IT"/>
        </w:rPr>
        <w:t>Waymo</w:t>
      </w:r>
    </w:p>
    <w:p w:rsidR="007F2540" w:rsidRPr="003A5A29" w:rsidRDefault="007F2540" w:rsidP="007F2540">
      <w:pPr>
        <w:pStyle w:val="SDatePlace"/>
        <w:rPr>
          <w:lang w:val="it-IT"/>
        </w:rPr>
      </w:pPr>
      <w:r w:rsidRPr="003A5A29">
        <w:rPr>
          <w:lang w:val="it-IT"/>
        </w:rPr>
        <w:t>Stellantis continua anche i suoi progetti dedicati con Waymo. Poiché le Chrysler Pacifica Hybrid equipaggiate con Waymo Driver forniscono migliaia di corse completamente autonome a Phoenix, in Arizona (USA), Stellantis e Waymo hanno ora ampliato la loro partnership ai servizi di consegna locali. Basandosi sulla leadership di Stellantis nei veicoli commerciali leggeri e sugli investimenti nell</w:t>
      </w:r>
      <w:r w:rsidR="003A5A29">
        <w:rPr>
          <w:lang w:val="it-IT"/>
        </w:rPr>
        <w:t>’</w:t>
      </w:r>
      <w:r w:rsidRPr="003A5A29">
        <w:rPr>
          <w:lang w:val="it-IT"/>
        </w:rPr>
        <w:t>elettrificazione, i partner stanno collaborando a gruppi di lavoro incentrati sullo sviluppo commerciale. I team di ingegneri metteranno le mani sui prototipi Stellantis nel 2022.</w:t>
      </w:r>
    </w:p>
    <w:p w:rsidR="007F2540" w:rsidRPr="003A5A29" w:rsidRDefault="007F2540" w:rsidP="007F2540">
      <w:pPr>
        <w:pStyle w:val="SDatePlace"/>
        <w:rPr>
          <w:b/>
          <w:lang w:val="it-IT"/>
        </w:rPr>
      </w:pPr>
      <w:r w:rsidRPr="003A5A29">
        <w:rPr>
          <w:b/>
          <w:lang w:val="it-IT"/>
        </w:rPr>
        <w:t>Attività in rapida crescita e software abilitato</w:t>
      </w:r>
    </w:p>
    <w:p w:rsidR="007F2540" w:rsidRPr="003A5A29" w:rsidRDefault="007F2540" w:rsidP="007F2540">
      <w:pPr>
        <w:pStyle w:val="SDatePlace"/>
        <w:rPr>
          <w:lang w:val="it-IT"/>
        </w:rPr>
      </w:pPr>
      <w:r w:rsidRPr="003A5A29">
        <w:rPr>
          <w:lang w:val="it-IT"/>
        </w:rPr>
        <w:t xml:space="preserve">Stellantis farà crescere la sua attività di software e servizi connessi tramite cinque pilastri chiave: </w:t>
      </w:r>
    </w:p>
    <w:p w:rsidR="007F2540" w:rsidRPr="003A5A29" w:rsidRDefault="007F2540" w:rsidP="007F2540">
      <w:pPr>
        <w:pStyle w:val="SDatePlace"/>
        <w:spacing w:after="0"/>
        <w:rPr>
          <w:lang w:val="it-IT"/>
        </w:rPr>
      </w:pPr>
      <w:r w:rsidRPr="003A5A29">
        <w:rPr>
          <w:lang w:val="it-IT"/>
        </w:rPr>
        <w:t>•</w:t>
      </w:r>
      <w:r w:rsidRPr="003A5A29">
        <w:rPr>
          <w:lang w:val="it-IT"/>
        </w:rPr>
        <w:tab/>
        <w:t xml:space="preserve">Servizi e abbonamenti </w:t>
      </w:r>
    </w:p>
    <w:p w:rsidR="007F2540" w:rsidRPr="003A5A29" w:rsidRDefault="007F2540" w:rsidP="007F2540">
      <w:pPr>
        <w:pStyle w:val="SDatePlace"/>
        <w:spacing w:after="0"/>
        <w:rPr>
          <w:lang w:val="it-IT"/>
        </w:rPr>
      </w:pPr>
      <w:r w:rsidRPr="003A5A29">
        <w:rPr>
          <w:lang w:val="it-IT"/>
        </w:rPr>
        <w:t>•</w:t>
      </w:r>
      <w:r w:rsidRPr="003A5A29">
        <w:rPr>
          <w:lang w:val="it-IT"/>
        </w:rPr>
        <w:tab/>
        <w:t xml:space="preserve">Funzionalità On-Demand </w:t>
      </w:r>
    </w:p>
    <w:p w:rsidR="007F2540" w:rsidRPr="003A5A29" w:rsidRDefault="007F2540" w:rsidP="007F2540">
      <w:pPr>
        <w:pStyle w:val="SDatePlace"/>
        <w:spacing w:after="0"/>
        <w:rPr>
          <w:lang w:val="it-IT"/>
        </w:rPr>
      </w:pPr>
      <w:r w:rsidRPr="003A5A29">
        <w:rPr>
          <w:lang w:val="it-IT"/>
        </w:rPr>
        <w:t>•</w:t>
      </w:r>
      <w:r w:rsidRPr="003A5A29">
        <w:rPr>
          <w:lang w:val="it-IT"/>
        </w:rPr>
        <w:tab/>
        <w:t xml:space="preserve">Servizio dati e servizi dedicati alle flotte </w:t>
      </w:r>
    </w:p>
    <w:p w:rsidR="007F2540" w:rsidRPr="003A5A29" w:rsidRDefault="007F2540" w:rsidP="007F2540">
      <w:pPr>
        <w:pStyle w:val="SDatePlace"/>
        <w:spacing w:after="0"/>
        <w:rPr>
          <w:lang w:val="it-IT"/>
        </w:rPr>
      </w:pPr>
      <w:r w:rsidRPr="003A5A29">
        <w:rPr>
          <w:lang w:val="it-IT"/>
        </w:rPr>
        <w:t>•</w:t>
      </w:r>
      <w:r w:rsidRPr="003A5A29">
        <w:rPr>
          <w:lang w:val="it-IT"/>
        </w:rPr>
        <w:tab/>
        <w:t>Politica dei prezzi e valore di rivendita</w:t>
      </w:r>
    </w:p>
    <w:p w:rsidR="007F2540" w:rsidRPr="003A5A29" w:rsidRDefault="007F2540" w:rsidP="007F2540">
      <w:pPr>
        <w:pStyle w:val="SDatePlace"/>
        <w:spacing w:after="0"/>
        <w:ind w:left="708" w:hanging="708"/>
        <w:rPr>
          <w:lang w:val="it-IT"/>
        </w:rPr>
      </w:pPr>
      <w:r w:rsidRPr="003A5A29">
        <w:rPr>
          <w:lang w:val="it-IT"/>
        </w:rPr>
        <w:t>•</w:t>
      </w:r>
      <w:r w:rsidRPr="003A5A29">
        <w:rPr>
          <w:lang w:val="it-IT"/>
        </w:rPr>
        <w:tab/>
        <w:t>Conquista del cliente, fidelizzazione nell</w:t>
      </w:r>
      <w:r w:rsidR="003A5A29">
        <w:rPr>
          <w:lang w:val="it-IT"/>
        </w:rPr>
        <w:t>’</w:t>
      </w:r>
      <w:r w:rsidRPr="003A5A29">
        <w:rPr>
          <w:lang w:val="it-IT"/>
        </w:rPr>
        <w:t>assistenza e vendita incrociata</w:t>
      </w:r>
    </w:p>
    <w:p w:rsidR="007F2540" w:rsidRPr="003A5A29" w:rsidRDefault="007F2540" w:rsidP="007F2540">
      <w:pPr>
        <w:pStyle w:val="SDatePlace"/>
        <w:spacing w:after="0"/>
        <w:rPr>
          <w:lang w:val="it-IT"/>
        </w:rPr>
      </w:pPr>
    </w:p>
    <w:p w:rsidR="007F2540" w:rsidRPr="003A5A29" w:rsidRDefault="007F2540" w:rsidP="007F2540">
      <w:pPr>
        <w:pStyle w:val="SDatePlace"/>
        <w:rPr>
          <w:lang w:val="it-IT"/>
        </w:rPr>
      </w:pPr>
      <w:r w:rsidRPr="003A5A29">
        <w:rPr>
          <w:lang w:val="it-IT"/>
        </w:rPr>
        <w:t xml:space="preserve">Oggi, Stellantis vanta 12 milioni di auto connesse </w:t>
      </w:r>
      <w:r w:rsidR="003A5A29">
        <w:rPr>
          <w:lang w:val="it-IT"/>
        </w:rPr>
        <w:t>“</w:t>
      </w:r>
      <w:r w:rsidRPr="003A5A29">
        <w:rPr>
          <w:lang w:val="it-IT"/>
        </w:rPr>
        <w:t>monetizzabili</w:t>
      </w:r>
      <w:r w:rsidR="003A5A29">
        <w:rPr>
          <w:lang w:val="it-IT"/>
        </w:rPr>
        <w:t>”</w:t>
      </w:r>
      <w:r w:rsidRPr="003A5A29">
        <w:rPr>
          <w:lang w:val="it-IT"/>
        </w:rPr>
        <w:t xml:space="preserve"> a livello globale. Entro il 2026, si prevede una crescita fino a 26 milioni di veicoli e circa 4 miliardi di euro di ricavi. Entro il 2030, si raggiungeranno 34 milioni di veicoli e circa 20 miliardi di euro di ricavi annuali. Con </w:t>
      </w:r>
      <w:r w:rsidR="003A5A29">
        <w:rPr>
          <w:lang w:val="it-IT"/>
        </w:rPr>
        <w:t>“</w:t>
      </w:r>
      <w:r w:rsidRPr="003A5A29">
        <w:rPr>
          <w:lang w:val="it-IT"/>
        </w:rPr>
        <w:t>monetizzabile</w:t>
      </w:r>
      <w:r w:rsidR="003A5A29">
        <w:rPr>
          <w:lang w:val="it-IT"/>
        </w:rPr>
        <w:t>”</w:t>
      </w:r>
      <w:r w:rsidRPr="003A5A29">
        <w:rPr>
          <w:lang w:val="it-IT"/>
        </w:rPr>
        <w:t xml:space="preserve"> si intende il veicolo nei suoi primi cinque anni di vita.</w:t>
      </w:r>
    </w:p>
    <w:p w:rsidR="007F2540" w:rsidRPr="003A5A29" w:rsidRDefault="007F2540" w:rsidP="007F2540">
      <w:pPr>
        <w:pStyle w:val="SDatePlace"/>
        <w:rPr>
          <w:lang w:val="it-IT"/>
        </w:rPr>
      </w:pPr>
      <w:r w:rsidRPr="003A5A29">
        <w:rPr>
          <w:lang w:val="it-IT"/>
        </w:rPr>
        <w:t>Sfruttando le proprie capacità di raccolta dati, Stellantis lancerà nel 2022 un programma assicurativo basato sull</w:t>
      </w:r>
      <w:r w:rsidR="003A5A29">
        <w:rPr>
          <w:lang w:val="it-IT"/>
        </w:rPr>
        <w:t>’</w:t>
      </w:r>
      <w:r w:rsidRPr="003A5A29">
        <w:rPr>
          <w:lang w:val="it-IT"/>
        </w:rPr>
        <w:t>uso, offerto attraverso le proprie divisioni finanziarie captive in Europa e in Nord America, con l</w:t>
      </w:r>
      <w:r w:rsidR="003A5A29">
        <w:rPr>
          <w:lang w:val="it-IT"/>
        </w:rPr>
        <w:t>’</w:t>
      </w:r>
      <w:r w:rsidRPr="003A5A29">
        <w:rPr>
          <w:lang w:val="it-IT"/>
        </w:rPr>
        <w:t>intenzione di espanderlo poi a livello globale.</w:t>
      </w:r>
    </w:p>
    <w:p w:rsidR="007F2540" w:rsidRPr="003A5A29" w:rsidRDefault="007F2540" w:rsidP="007F2540">
      <w:pPr>
        <w:pStyle w:val="SDatePlace"/>
        <w:rPr>
          <w:b/>
          <w:lang w:val="it-IT"/>
        </w:rPr>
      </w:pPr>
      <w:r w:rsidRPr="003A5A29">
        <w:rPr>
          <w:b/>
          <w:lang w:val="it-IT"/>
        </w:rPr>
        <w:t>Tre nuove piattaforme tecnologiche in arrivo nel 2024</w:t>
      </w:r>
    </w:p>
    <w:p w:rsidR="007F2540" w:rsidRPr="003A5A29" w:rsidRDefault="007F2540" w:rsidP="007F2540">
      <w:pPr>
        <w:pStyle w:val="SDatePlace"/>
        <w:rPr>
          <w:lang w:val="it-IT"/>
        </w:rPr>
      </w:pPr>
      <w:r w:rsidRPr="003A5A29">
        <w:rPr>
          <w:lang w:val="it-IT"/>
        </w:rPr>
        <w:t>Con un lancio previsto nel 2024, le tre nuove piattaforme saranno distribuite, su scala, sulle quattro piattaforme di veicoli di Stellantis nei due anni successivi.</w:t>
      </w:r>
    </w:p>
    <w:p w:rsidR="007F2540" w:rsidRPr="003A5A29" w:rsidRDefault="007F2540" w:rsidP="007F2540">
      <w:pPr>
        <w:pStyle w:val="SDatePlace"/>
        <w:rPr>
          <w:lang w:val="it-IT"/>
        </w:rPr>
      </w:pPr>
      <w:r w:rsidRPr="003A5A29">
        <w:rPr>
          <w:lang w:val="it-IT"/>
        </w:rPr>
        <w:t xml:space="preserve">Il cuore della trasformazione in servizi </w:t>
      </w:r>
      <w:r w:rsidR="003A5A29">
        <w:rPr>
          <w:lang w:val="it-IT"/>
        </w:rPr>
        <w:t>“</w:t>
      </w:r>
      <w:r w:rsidRPr="003A5A29">
        <w:rPr>
          <w:lang w:val="it-IT"/>
        </w:rPr>
        <w:t>customer-centric</w:t>
      </w:r>
      <w:r w:rsidR="003A5A29">
        <w:rPr>
          <w:lang w:val="it-IT"/>
        </w:rPr>
        <w:t>”</w:t>
      </w:r>
      <w:r w:rsidRPr="003A5A29">
        <w:rPr>
          <w:lang w:val="it-IT"/>
        </w:rPr>
        <w:t xml:space="preserve"> è la nuova architettura </w:t>
      </w:r>
      <w:r w:rsidR="00ED04E6" w:rsidRPr="003A5A29">
        <w:rPr>
          <w:lang w:val="it-IT"/>
        </w:rPr>
        <w:t>elettrica/elettronica (E/E) e software</w:t>
      </w:r>
      <w:r w:rsidRPr="003A5A29">
        <w:rPr>
          <w:lang w:val="it-IT"/>
        </w:rPr>
        <w:t xml:space="preserve">, </w:t>
      </w:r>
      <w:r w:rsidRPr="003A5A29">
        <w:rPr>
          <w:i/>
          <w:lang w:val="it-IT"/>
        </w:rPr>
        <w:t>STLA Brain</w:t>
      </w:r>
      <w:r w:rsidRPr="003A5A29">
        <w:rPr>
          <w:lang w:val="it-IT"/>
        </w:rPr>
        <w:t>.</w:t>
      </w:r>
    </w:p>
    <w:p w:rsidR="007F2540" w:rsidRPr="003A5A29" w:rsidRDefault="007F2540" w:rsidP="007F2540">
      <w:pPr>
        <w:pStyle w:val="SDatePlace"/>
        <w:rPr>
          <w:lang w:val="it-IT"/>
        </w:rPr>
      </w:pPr>
      <w:r w:rsidRPr="003A5A29">
        <w:rPr>
          <w:lang w:val="it-IT"/>
        </w:rPr>
        <w:t xml:space="preserve">STLA Brain ha una capacità completamente </w:t>
      </w:r>
      <w:r w:rsidR="003A5A29">
        <w:rPr>
          <w:lang w:val="it-IT"/>
        </w:rPr>
        <w:t>“</w:t>
      </w:r>
      <w:r w:rsidRPr="003A5A29">
        <w:rPr>
          <w:lang w:val="it-IT"/>
        </w:rPr>
        <w:t>over the air</w:t>
      </w:r>
      <w:r w:rsidR="003A5A29">
        <w:rPr>
          <w:lang w:val="it-IT"/>
        </w:rPr>
        <w:t>”</w:t>
      </w:r>
      <w:r w:rsidRPr="003A5A29">
        <w:rPr>
          <w:lang w:val="it-IT"/>
        </w:rPr>
        <w:t xml:space="preserve"> con 30 moduli indirizzati ed è molto più flessibile rispetto ai 10 moduli attuali. È una strtuttura orientata ai servizi completamente integrata con il cloud, che collega le centraline di controllo elettroniche all</w:t>
      </w:r>
      <w:r w:rsidR="003A5A29">
        <w:rPr>
          <w:lang w:val="it-IT"/>
        </w:rPr>
        <w:t>’</w:t>
      </w:r>
      <w:r w:rsidRPr="003A5A29">
        <w:rPr>
          <w:lang w:val="it-IT"/>
        </w:rPr>
        <w:t>interno del veicolo con il computer centrale ad alte prestazioni (HPC) dell</w:t>
      </w:r>
      <w:r w:rsidR="003A5A29">
        <w:rPr>
          <w:lang w:val="it-IT"/>
        </w:rPr>
        <w:t>’</w:t>
      </w:r>
      <w:r w:rsidRPr="003A5A29">
        <w:rPr>
          <w:lang w:val="it-IT"/>
        </w:rPr>
        <w:t>auto tramite dati ad alta velocità. Interrompe il legame odierno tra le generazioni di hardware e software, consentendo agli sviluppatori software di creare e aggiornare rapidamente funzioni e servizi senza attendere il lancio di un nuovo hardware. Questi aggiornamenti OTA riducono drasticamente i costi per i clienti e per Stellantis, semplificano la manutenzione per l</w:t>
      </w:r>
      <w:r w:rsidR="003A5A29">
        <w:rPr>
          <w:lang w:val="it-IT"/>
        </w:rPr>
        <w:t>’</w:t>
      </w:r>
      <w:r w:rsidRPr="003A5A29">
        <w:rPr>
          <w:lang w:val="it-IT"/>
        </w:rPr>
        <w:t>utente e mantengono i valori residui del veicolo.</w:t>
      </w:r>
    </w:p>
    <w:p w:rsidR="007F2540" w:rsidRPr="003A5A29" w:rsidRDefault="007F2540" w:rsidP="007F2540">
      <w:pPr>
        <w:pStyle w:val="SDatePlace"/>
        <w:rPr>
          <w:lang w:val="it-IT"/>
        </w:rPr>
      </w:pPr>
      <w:r w:rsidRPr="003A5A29">
        <w:rPr>
          <w:i/>
          <w:lang w:val="it-IT"/>
        </w:rPr>
        <w:t>STLA SmartCockpit,</w:t>
      </w:r>
      <w:r w:rsidRPr="003A5A29">
        <w:rPr>
          <w:lang w:val="it-IT"/>
        </w:rPr>
        <w:t xml:space="preserve"> creato su STLA Brain,si integrerà perfettamente con le vite digitali degli occupanti del veicolo per creare un </w:t>
      </w:r>
      <w:r w:rsidR="003A5A29">
        <w:rPr>
          <w:lang w:val="it-IT"/>
        </w:rPr>
        <w:t>“</w:t>
      </w:r>
      <w:r w:rsidRPr="003A5A29">
        <w:rPr>
          <w:lang w:val="it-IT"/>
        </w:rPr>
        <w:t>terzo spazio</w:t>
      </w:r>
      <w:r w:rsidR="003A5A29">
        <w:rPr>
          <w:lang w:val="it-IT"/>
        </w:rPr>
        <w:t>”</w:t>
      </w:r>
      <w:r w:rsidRPr="003A5A29">
        <w:rPr>
          <w:lang w:val="it-IT"/>
        </w:rPr>
        <w:t xml:space="preserve"> personalizzabile. Gli studi dimostrano che i clienti trascorrono in media nei loro veicoli quattro anni di vita</w:t>
      </w:r>
      <w:r w:rsidR="00ED04E6" w:rsidRPr="003A5A29">
        <w:rPr>
          <w:lang w:val="it-IT"/>
        </w:rPr>
        <w:t xml:space="preserve"> </w:t>
      </w:r>
      <w:r w:rsidRPr="003A5A29">
        <w:rPr>
          <w:lang w:val="it-IT"/>
        </w:rPr>
        <w:t>e questo dato continua a crescere. Stellantis SmartCockpit, alimentato dalla joint venture Mobile Drive tra Stellantis e Foxconn, offre applicazioni basate sull</w:t>
      </w:r>
      <w:r w:rsidR="003A5A29">
        <w:rPr>
          <w:lang w:val="it-IT"/>
        </w:rPr>
        <w:t>’</w:t>
      </w:r>
      <w:r w:rsidRPr="003A5A29">
        <w:rPr>
          <w:lang w:val="it-IT"/>
        </w:rPr>
        <w:t>Intelligenza Artificiale (IA) quali la navigazione, l</w:t>
      </w:r>
      <w:r w:rsidR="003A5A29">
        <w:rPr>
          <w:lang w:val="it-IT"/>
        </w:rPr>
        <w:t>’</w:t>
      </w:r>
      <w:r w:rsidRPr="003A5A29">
        <w:rPr>
          <w:lang w:val="it-IT"/>
        </w:rPr>
        <w:t>assistenza vocale, il mercato dell</w:t>
      </w:r>
      <w:r w:rsidR="003A5A29">
        <w:rPr>
          <w:lang w:val="it-IT"/>
        </w:rPr>
        <w:t>’</w:t>
      </w:r>
      <w:r w:rsidRPr="003A5A29">
        <w:rPr>
          <w:lang w:val="it-IT"/>
        </w:rPr>
        <w:t xml:space="preserve">e-commerce e i servizi di pagamento. </w:t>
      </w:r>
    </w:p>
    <w:p w:rsidR="007F2540" w:rsidRPr="003A5A29" w:rsidRDefault="007F2540" w:rsidP="007F2540">
      <w:pPr>
        <w:pStyle w:val="SDatePlace"/>
        <w:rPr>
          <w:lang w:val="it-IT"/>
        </w:rPr>
      </w:pPr>
      <w:r w:rsidRPr="003A5A29">
        <w:rPr>
          <w:i/>
          <w:lang w:val="it-IT"/>
        </w:rPr>
        <w:t>STLA AutoDrive</w:t>
      </w:r>
      <w:r w:rsidRPr="003A5A29">
        <w:rPr>
          <w:lang w:val="it-IT"/>
        </w:rPr>
        <w:t xml:space="preserve"> sviluppato in collaborazione con BMW, offrirà capacità di guida autonoma di livello 2, livello 2+ e livello 3 e sarà continuamente aggiornato OTA. </w:t>
      </w:r>
    </w:p>
    <w:p w:rsidR="007F2540" w:rsidRPr="003A5A29" w:rsidRDefault="007F2540" w:rsidP="007F2540">
      <w:pPr>
        <w:pStyle w:val="SDatePlace"/>
        <w:rPr>
          <w:b/>
          <w:lang w:val="it-IT"/>
        </w:rPr>
      </w:pPr>
      <w:r w:rsidRPr="003A5A29">
        <w:rPr>
          <w:b/>
          <w:lang w:val="it-IT"/>
        </w:rPr>
        <w:t>Miglioramento dell</w:t>
      </w:r>
      <w:r w:rsidR="003A5A29">
        <w:rPr>
          <w:b/>
          <w:lang w:val="it-IT"/>
        </w:rPr>
        <w:t>’</w:t>
      </w:r>
      <w:r w:rsidRPr="003A5A29">
        <w:rPr>
          <w:b/>
          <w:lang w:val="it-IT"/>
        </w:rPr>
        <w:t>esperienza dei clienti di 14 Brand</w:t>
      </w:r>
    </w:p>
    <w:p w:rsidR="007F2540" w:rsidRPr="003A5A29" w:rsidRDefault="007F2540" w:rsidP="007F2540">
      <w:pPr>
        <w:pStyle w:val="SDatePlace"/>
        <w:rPr>
          <w:lang w:val="it-IT"/>
        </w:rPr>
      </w:pPr>
      <w:r w:rsidRPr="003A5A29">
        <w:rPr>
          <w:lang w:val="it-IT"/>
        </w:rPr>
        <w:t xml:space="preserve">Attraverso il software e le funzioni on-demand, Stellantis fornisce ai clienti la possibilità di personalizzare i veicoli in base alle esigenze e ai desideri individuali attraverso gli aggiornamenti OTA, aumentando ulteriormente le qualità esclusive dei vari brand Stellantis e rafforzando il legame tra il veicolo e il conducente. </w:t>
      </w:r>
    </w:p>
    <w:p w:rsidR="007F2540" w:rsidRPr="003A5A29" w:rsidRDefault="007F2540" w:rsidP="007F2540">
      <w:pPr>
        <w:pStyle w:val="SDatePlace"/>
        <w:rPr>
          <w:lang w:val="it-IT"/>
        </w:rPr>
      </w:pPr>
      <w:r w:rsidRPr="003A5A29">
        <w:rPr>
          <w:lang w:val="it-IT"/>
        </w:rPr>
        <w:t>Ad oggi, Stellantis ha fornito più di 6 milioni di aggiornamenti over-the-air ai suoi veicoli, e intende offrire almeno nuove versioni trimestrali entro il 2026.</w:t>
      </w:r>
    </w:p>
    <w:p w:rsidR="007F2540" w:rsidRPr="003A5A29" w:rsidRDefault="007F2540" w:rsidP="007F2540">
      <w:pPr>
        <w:pStyle w:val="SDatePlace"/>
        <w:rPr>
          <w:lang w:val="it-IT"/>
        </w:rPr>
      </w:pPr>
      <w:r w:rsidRPr="003A5A29">
        <w:rPr>
          <w:lang w:val="it-IT"/>
        </w:rPr>
        <w:t>Al momento, i veicoli connessi Stellantis forniscono più di tre trilioni di data point, generando informazioni che possono essere gestite in modo tempestivo ed utilizzabili. Gli ingegneri di Stellantis si basano su questa conoscenza per abbreviare il ciclo di miglioramento continuo del veicolo, aumentando la soddisfazione del cliente, con l</w:t>
      </w:r>
      <w:r w:rsidR="003A5A29">
        <w:rPr>
          <w:lang w:val="it-IT"/>
        </w:rPr>
        <w:t>’</w:t>
      </w:r>
      <w:r w:rsidRPr="003A5A29">
        <w:rPr>
          <w:lang w:val="it-IT"/>
        </w:rPr>
        <w:t>obiettivo di generare 1,1 miliardi di euro in efficienze entro il 2030.</w:t>
      </w:r>
    </w:p>
    <w:p w:rsidR="007F2540" w:rsidRPr="003A5A29" w:rsidRDefault="007F2540" w:rsidP="007F2540">
      <w:pPr>
        <w:pStyle w:val="SDatePlace"/>
        <w:rPr>
          <w:lang w:val="it-IT"/>
        </w:rPr>
      </w:pPr>
      <w:r w:rsidRPr="003A5A29">
        <w:rPr>
          <w:lang w:val="it-IT"/>
        </w:rPr>
        <w:t>Ogni brand Stellantis è incentrato sull</w:t>
      </w:r>
      <w:r w:rsidR="003A5A29">
        <w:rPr>
          <w:lang w:val="it-IT"/>
        </w:rPr>
        <w:t>’</w:t>
      </w:r>
      <w:r w:rsidRPr="003A5A29">
        <w:rPr>
          <w:lang w:val="it-IT"/>
        </w:rPr>
        <w:t xml:space="preserve">utilizzo del software finalizzato al massimo beneficio per i propri clienti, che si traduce nei singoli impegni dei brand. </w:t>
      </w:r>
    </w:p>
    <w:p w:rsidR="007F2540" w:rsidRPr="003A5A29" w:rsidRDefault="007F2540" w:rsidP="007F2540">
      <w:pPr>
        <w:pStyle w:val="SDatePlace"/>
        <w:rPr>
          <w:b/>
          <w:lang w:val="it-IT"/>
        </w:rPr>
      </w:pPr>
      <w:r w:rsidRPr="003A5A29">
        <w:rPr>
          <w:b/>
          <w:lang w:val="it-IT"/>
        </w:rPr>
        <w:t>Talento ed efficienza fanno la differenza</w:t>
      </w:r>
    </w:p>
    <w:p w:rsidR="007F2540" w:rsidRPr="003A5A29" w:rsidRDefault="007F2540" w:rsidP="007F2540">
      <w:pPr>
        <w:pStyle w:val="SDatePlace"/>
        <w:rPr>
          <w:lang w:val="it-IT"/>
        </w:rPr>
      </w:pPr>
      <w:r w:rsidRPr="003A5A29">
        <w:rPr>
          <w:lang w:val="it-IT"/>
        </w:rPr>
        <w:t>Per sostenere questa trasformazione, Stellantis sta creando una Software &amp; Data Academy per ricollocare oltre 1.000 ingegneri interni in diversi ruoli, dando vita a</w:t>
      </w:r>
      <w:r w:rsidR="00ED04E6" w:rsidRPr="003A5A29">
        <w:rPr>
          <w:lang w:val="it-IT"/>
        </w:rPr>
        <w:t xml:space="preserve"> una nuova software</w:t>
      </w:r>
      <w:r w:rsidRPr="003A5A29">
        <w:rPr>
          <w:lang w:val="it-IT"/>
        </w:rPr>
        <w:t xml:space="preserve"> community.</w:t>
      </w:r>
    </w:p>
    <w:p w:rsidR="007F2540" w:rsidRPr="003A5A29" w:rsidRDefault="007F2540" w:rsidP="007F2540">
      <w:pPr>
        <w:pStyle w:val="SDatePlace"/>
        <w:rPr>
          <w:lang w:val="it-IT"/>
        </w:rPr>
      </w:pPr>
      <w:r w:rsidRPr="003A5A29">
        <w:rPr>
          <w:lang w:val="it-IT"/>
        </w:rPr>
        <w:t>L</w:t>
      </w:r>
      <w:r w:rsidR="003A5A29">
        <w:rPr>
          <w:lang w:val="it-IT"/>
        </w:rPr>
        <w:t>’</w:t>
      </w:r>
      <w:r w:rsidRPr="003A5A29">
        <w:rPr>
          <w:lang w:val="it-IT"/>
        </w:rPr>
        <w:t>azienda sta inoltre</w:t>
      </w:r>
      <w:r w:rsidR="00ED04E6" w:rsidRPr="003A5A29">
        <w:rPr>
          <w:lang w:val="it-IT"/>
        </w:rPr>
        <w:t xml:space="preserve"> assumendo i migliori talenti software</w:t>
      </w:r>
      <w:r w:rsidRPr="003A5A29">
        <w:rPr>
          <w:lang w:val="it-IT"/>
        </w:rPr>
        <w:t xml:space="preserve"> e IA dall</w:t>
      </w:r>
      <w:r w:rsidR="003A5A29">
        <w:rPr>
          <w:lang w:val="it-IT"/>
        </w:rPr>
        <w:t>’</w:t>
      </w:r>
      <w:r w:rsidRPr="003A5A29">
        <w:rPr>
          <w:lang w:val="it-IT"/>
        </w:rPr>
        <w:t xml:space="preserve">industria della tecnologia e da altri settori a livello globale. </w:t>
      </w:r>
    </w:p>
    <w:p w:rsidR="007F2540" w:rsidRPr="003A5A29" w:rsidRDefault="007F2540" w:rsidP="007F2540">
      <w:pPr>
        <w:pStyle w:val="SDatePlace"/>
        <w:rPr>
          <w:lang w:val="it-IT"/>
        </w:rPr>
      </w:pPr>
      <w:r w:rsidRPr="003A5A29">
        <w:rPr>
          <w:lang w:val="it-IT"/>
        </w:rPr>
        <w:t>Entro il 2024, Stellantis p</w:t>
      </w:r>
      <w:r w:rsidR="00ED04E6" w:rsidRPr="003A5A29">
        <w:rPr>
          <w:lang w:val="it-IT"/>
        </w:rPr>
        <w:t>unta ad avere 4.500 ingegneri software</w:t>
      </w:r>
      <w:r w:rsidRPr="003A5A29">
        <w:rPr>
          <w:lang w:val="it-IT"/>
        </w:rPr>
        <w:t xml:space="preserve"> orientati all</w:t>
      </w:r>
      <w:r w:rsidR="003A5A29">
        <w:rPr>
          <w:lang w:val="it-IT"/>
        </w:rPr>
        <w:t>’</w:t>
      </w:r>
      <w:r w:rsidRPr="003A5A29">
        <w:rPr>
          <w:lang w:val="it-IT"/>
        </w:rPr>
        <w:t>efficienza, creando hub di talenti in tutto il mondo. Questi ingegneri garantiranno la perfetta esecuzione delle ambizioni software di Stellantis e opereranno all</w:t>
      </w:r>
      <w:r w:rsidR="003A5A29">
        <w:rPr>
          <w:lang w:val="it-IT"/>
        </w:rPr>
        <w:t>’</w:t>
      </w:r>
      <w:r w:rsidRPr="003A5A29">
        <w:rPr>
          <w:lang w:val="it-IT"/>
        </w:rPr>
        <w:t>interno dell</w:t>
      </w:r>
      <w:r w:rsidR="003A5A29">
        <w:rPr>
          <w:lang w:val="it-IT"/>
        </w:rPr>
        <w:t>’</w:t>
      </w:r>
      <w:r w:rsidRPr="003A5A29">
        <w:rPr>
          <w:lang w:val="it-IT"/>
        </w:rPr>
        <w:t>ecosistema creato dalle partnership di Stellantis.</w:t>
      </w:r>
    </w:p>
    <w:p w:rsidR="007F2540" w:rsidRPr="003A5A29" w:rsidRDefault="007F2540" w:rsidP="007F2540">
      <w:pPr>
        <w:pStyle w:val="SDatePlace"/>
        <w:rPr>
          <w:lang w:val="it-IT"/>
        </w:rPr>
      </w:pPr>
    </w:p>
    <w:p w:rsidR="00B96799" w:rsidRPr="003A5A29" w:rsidRDefault="00B96799" w:rsidP="007F2540">
      <w:pPr>
        <w:pStyle w:val="SDatePlace"/>
        <w:rPr>
          <w:b/>
          <w:color w:val="243782" w:themeColor="accent1"/>
          <w:lang w:val="it-IT"/>
        </w:rPr>
      </w:pPr>
      <w:r w:rsidRPr="003A5A29">
        <w:rPr>
          <w:b/>
          <w:color w:val="243782" w:themeColor="accent1"/>
          <w:lang w:val="it-IT"/>
        </w:rPr>
        <w:t>Stellantis</w:t>
      </w:r>
    </w:p>
    <w:p w:rsidR="000F2FE8" w:rsidRPr="003A5A29" w:rsidRDefault="00003D7C" w:rsidP="000F2FE8">
      <w:pPr>
        <w:shd w:val="clear" w:color="auto" w:fill="FFFFFF"/>
        <w:rPr>
          <w:rFonts w:eastAsia="Encode Sans"/>
          <w:i/>
          <w:lang w:val="it-IT"/>
        </w:rPr>
      </w:pPr>
      <w:r w:rsidRPr="003A5A29">
        <w:rPr>
          <w:i/>
          <w:lang w:val="it-IT"/>
        </w:rPr>
        <w:t>Stellantis è leader a livello mondiale nella produzione di veicoli e fornitore di mobilità, guidata da una chiara visione: offrire libertà di movimento con soluzioni originali, economicamente accessibili e affidabili. Oltre al suo ricco patrimonio culturale e a una diffusa presenza geografica, i suoi principali punti di forza risiedono nelle sue prestazioni in termini di sostenibilità, nella sua vasta esperienza e nei talenti multidisciplinari dei suoi dipendenti in tutto il mondo. Stellantis farà leva sul suo ampio portfolio di marchi iconici, sviluppato da visionari che hanno infuso in essi la passione e lo spirito competitivo che contraddistinguono tanto i suoi dipendenti quanto i clienti. Stellantis aspira a diventare non la realtà più grande, ma quella più significativa, creando valore aggiunto per tutti gli stakeholder e le comunità in cui opera.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3A5A29" w:rsidTr="0023542B">
        <w:trPr>
          <w:trHeight w:val="729"/>
        </w:trPr>
        <w:tc>
          <w:tcPr>
            <w:tcW w:w="579" w:type="dxa"/>
            <w:vAlign w:val="center"/>
          </w:tcPr>
          <w:p w:rsidR="001E6C1E" w:rsidRPr="003A5A29" w:rsidRDefault="001E6C1E" w:rsidP="00F903F7">
            <w:pPr>
              <w:spacing w:after="0"/>
              <w:jc w:val="left"/>
              <w:rPr>
                <w:color w:val="243782" w:themeColor="text2"/>
                <w:sz w:val="22"/>
                <w:szCs w:val="22"/>
                <w:lang w:val="it-IT"/>
              </w:rPr>
            </w:pPr>
            <w:r w:rsidRPr="003A5A29">
              <w:rPr>
                <w:noProof/>
                <w:color w:val="243782" w:themeColor="text2"/>
                <w:sz w:val="22"/>
                <w:szCs w:val="22"/>
                <w:lang w:val="it-IT"/>
              </w:rPr>
              <w:drawing>
                <wp:anchor distT="0" distB="0" distL="114300" distR="114300" simplePos="0" relativeHeight="251663360" behindDoc="0" locked="0" layoutInCell="1" allowOverlap="1" wp14:anchorId="050B57C8" wp14:editId="1F334EC7">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1E6C1E" w:rsidRPr="003A5A29" w:rsidRDefault="001E6C1E" w:rsidP="00F903F7">
            <w:pPr>
              <w:spacing w:before="120" w:after="0"/>
              <w:jc w:val="left"/>
              <w:rPr>
                <w:color w:val="243782" w:themeColor="text2"/>
                <w:sz w:val="22"/>
                <w:szCs w:val="22"/>
                <w:lang w:val="it-IT"/>
              </w:rPr>
            </w:pPr>
            <w:r w:rsidRPr="003A5A29">
              <w:rPr>
                <w:color w:val="243782" w:themeColor="text2"/>
                <w:sz w:val="22"/>
                <w:szCs w:val="22"/>
                <w:lang w:val="it-IT"/>
              </w:rPr>
              <w:t>@Stellantis</w:t>
            </w:r>
          </w:p>
        </w:tc>
        <w:tc>
          <w:tcPr>
            <w:tcW w:w="570" w:type="dxa"/>
            <w:vAlign w:val="center"/>
          </w:tcPr>
          <w:p w:rsidR="001E6C1E" w:rsidRPr="003A5A29" w:rsidRDefault="001E6C1E" w:rsidP="00F903F7">
            <w:pPr>
              <w:spacing w:after="0"/>
              <w:jc w:val="left"/>
              <w:rPr>
                <w:color w:val="243782" w:themeColor="text2"/>
                <w:sz w:val="22"/>
                <w:szCs w:val="22"/>
                <w:lang w:val="it-IT"/>
              </w:rPr>
            </w:pPr>
            <w:r w:rsidRPr="003A5A29">
              <w:rPr>
                <w:noProof/>
                <w:color w:val="243782" w:themeColor="text2"/>
                <w:sz w:val="22"/>
                <w:szCs w:val="22"/>
                <w:lang w:val="it-IT"/>
              </w:rPr>
              <w:drawing>
                <wp:anchor distT="0" distB="0" distL="114300" distR="114300" simplePos="0" relativeHeight="251660288" behindDoc="1" locked="0" layoutInCell="1" allowOverlap="1" wp14:anchorId="0E61E7D6" wp14:editId="5D07B16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1E6C1E" w:rsidRPr="003A5A29" w:rsidRDefault="001E6C1E" w:rsidP="00F903F7">
            <w:pPr>
              <w:spacing w:before="120" w:after="0"/>
              <w:jc w:val="left"/>
              <w:rPr>
                <w:color w:val="243782" w:themeColor="text2"/>
                <w:sz w:val="22"/>
                <w:szCs w:val="22"/>
                <w:lang w:val="it-IT"/>
              </w:rPr>
            </w:pPr>
            <w:r w:rsidRPr="003A5A29">
              <w:rPr>
                <w:color w:val="243782" w:themeColor="text2"/>
                <w:sz w:val="22"/>
                <w:szCs w:val="22"/>
                <w:lang w:val="it-IT"/>
              </w:rPr>
              <w:t>Stellantis</w:t>
            </w:r>
          </w:p>
        </w:tc>
        <w:tc>
          <w:tcPr>
            <w:tcW w:w="556" w:type="dxa"/>
            <w:vAlign w:val="center"/>
          </w:tcPr>
          <w:p w:rsidR="001E6C1E" w:rsidRPr="003A5A29" w:rsidRDefault="001E6C1E" w:rsidP="00F903F7">
            <w:pPr>
              <w:spacing w:after="0"/>
              <w:jc w:val="left"/>
              <w:rPr>
                <w:color w:val="243782" w:themeColor="text2"/>
                <w:sz w:val="22"/>
                <w:szCs w:val="22"/>
                <w:lang w:val="it-IT"/>
              </w:rPr>
            </w:pPr>
            <w:r w:rsidRPr="003A5A29">
              <w:rPr>
                <w:noProof/>
                <w:color w:val="243782" w:themeColor="text2"/>
                <w:sz w:val="22"/>
                <w:szCs w:val="22"/>
                <w:lang w:val="it-IT"/>
              </w:rPr>
              <w:drawing>
                <wp:anchor distT="0" distB="0" distL="114300" distR="114300" simplePos="0" relativeHeight="251661312" behindDoc="1" locked="0" layoutInCell="1" allowOverlap="1" wp14:anchorId="0B2E23F3" wp14:editId="0425DF19">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1E6C1E" w:rsidRPr="003A5A29" w:rsidRDefault="001E6C1E" w:rsidP="00F903F7">
            <w:pPr>
              <w:spacing w:before="120" w:after="0"/>
              <w:jc w:val="left"/>
              <w:rPr>
                <w:color w:val="243782" w:themeColor="text2"/>
                <w:sz w:val="22"/>
                <w:szCs w:val="22"/>
                <w:lang w:val="it-IT"/>
              </w:rPr>
            </w:pPr>
            <w:r w:rsidRPr="003A5A29">
              <w:rPr>
                <w:color w:val="243782" w:themeColor="text2"/>
                <w:sz w:val="22"/>
                <w:szCs w:val="22"/>
                <w:lang w:val="it-IT"/>
              </w:rPr>
              <w:t>Stellantis</w:t>
            </w:r>
          </w:p>
        </w:tc>
        <w:tc>
          <w:tcPr>
            <w:tcW w:w="568" w:type="dxa"/>
            <w:vAlign w:val="center"/>
          </w:tcPr>
          <w:p w:rsidR="001E6C1E" w:rsidRPr="003A5A29" w:rsidRDefault="001E6C1E" w:rsidP="00F903F7">
            <w:pPr>
              <w:spacing w:after="0"/>
              <w:jc w:val="left"/>
              <w:rPr>
                <w:color w:val="243782" w:themeColor="text2"/>
                <w:sz w:val="22"/>
                <w:szCs w:val="22"/>
                <w:lang w:val="it-IT"/>
              </w:rPr>
            </w:pPr>
            <w:r w:rsidRPr="003A5A29">
              <w:rPr>
                <w:noProof/>
                <w:color w:val="243782" w:themeColor="text2"/>
                <w:sz w:val="22"/>
                <w:szCs w:val="22"/>
                <w:lang w:val="it-IT"/>
              </w:rPr>
              <w:drawing>
                <wp:anchor distT="0" distB="0" distL="114300" distR="114300" simplePos="0" relativeHeight="251662336" behindDoc="1" locked="0" layoutInCell="1" allowOverlap="1" wp14:anchorId="3BEC6FF0" wp14:editId="788F2A5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rsidR="001E6C1E" w:rsidRPr="003A5A29" w:rsidRDefault="001E6C1E" w:rsidP="00F903F7">
            <w:pPr>
              <w:spacing w:before="120" w:after="0"/>
              <w:jc w:val="left"/>
              <w:rPr>
                <w:color w:val="243782" w:themeColor="text2"/>
                <w:sz w:val="22"/>
                <w:szCs w:val="22"/>
                <w:lang w:val="it-IT"/>
              </w:rPr>
            </w:pPr>
            <w:r w:rsidRPr="003A5A29">
              <w:rPr>
                <w:color w:val="243782" w:themeColor="text2"/>
                <w:sz w:val="22"/>
                <w:szCs w:val="22"/>
                <w:lang w:val="it-IT"/>
              </w:rPr>
              <w:t>Stellantis</w:t>
            </w:r>
          </w:p>
        </w:tc>
      </w:tr>
      <w:tr w:rsidR="001E6C1E" w:rsidRPr="003A5A29" w:rsidTr="0023542B">
        <w:tblPrEx>
          <w:tblCellMar>
            <w:right w:w="57" w:type="dxa"/>
          </w:tblCellMar>
        </w:tblPrEx>
        <w:trPr>
          <w:gridAfter w:val="1"/>
          <w:wAfter w:w="22" w:type="dxa"/>
          <w:trHeight w:val="2043"/>
        </w:trPr>
        <w:tc>
          <w:tcPr>
            <w:tcW w:w="8364" w:type="dxa"/>
            <w:gridSpan w:val="8"/>
          </w:tcPr>
          <w:p w:rsidR="001E6C1E" w:rsidRPr="003A5A29" w:rsidRDefault="001E6C1E" w:rsidP="00F903F7">
            <w:pPr>
              <w:rPr>
                <w:lang w:val="it-IT"/>
              </w:rPr>
            </w:pPr>
            <w:r w:rsidRPr="003A5A29">
              <w:rPr>
                <w:noProof/>
                <w:lang w:val="it-IT"/>
              </w:rPr>
              <mc:AlternateContent>
                <mc:Choice Requires="wps">
                  <w:drawing>
                    <wp:inline distT="0" distB="0" distL="0" distR="0" wp14:anchorId="2757675A" wp14:editId="5F24C055">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1E6C1E" w:rsidRPr="003A5A29" w:rsidRDefault="001E6C1E" w:rsidP="00F903F7">
            <w:pPr>
              <w:pStyle w:val="SContact-Title"/>
              <w:rPr>
                <w:lang w:val="it-IT"/>
              </w:rPr>
            </w:pPr>
            <w:bookmarkStart w:id="1" w:name="_Hlk61784883"/>
            <w:r w:rsidRPr="003A5A29">
              <w:rPr>
                <w:lang w:val="it-IT"/>
              </w:rPr>
              <w:t>For more information, contact:</w:t>
            </w:r>
          </w:p>
          <w:p w:rsidR="001E6C1E" w:rsidRPr="003A5A29" w:rsidRDefault="003A5A29" w:rsidP="00F903F7">
            <w:pPr>
              <w:pStyle w:val="SContact-Sendersinfo"/>
              <w:rPr>
                <w:lang w:val="it-IT"/>
              </w:rPr>
            </w:pPr>
            <w:sdt>
              <w:sdtPr>
                <w:rPr>
                  <w:lang w:val="it-IT"/>
                </w:rPr>
                <w:id w:val="-1719962335"/>
                <w:placeholder>
                  <w:docPart w:val="2A429F85EC8A4E9BADB09C737B90DB74"/>
                </w:placeholder>
                <w15:appearance w15:val="hidden"/>
              </w:sdtPr>
              <w:sdtEndPr/>
              <w:sdtContent>
                <w:r w:rsidR="000F2FE8" w:rsidRPr="003A5A29">
                  <w:rPr>
                    <w:lang w:val="it-IT"/>
                  </w:rPr>
                  <w:t>Bertrand BLAISE</w:t>
                </w:r>
              </w:sdtContent>
            </w:sdt>
            <w:r w:rsidR="001E6C1E" w:rsidRPr="003A5A29">
              <w:rPr>
                <w:lang w:val="it-IT"/>
              </w:rPr>
              <w:t xml:space="preserve">  </w:t>
            </w:r>
            <w:sdt>
              <w:sdtPr>
                <w:rPr>
                  <w:lang w:val="it-IT"/>
                </w:rPr>
                <w:id w:val="-1037958382"/>
                <w:placeholder>
                  <w:docPart w:val="F27F6FAA0F284F29BED58E8035F39670"/>
                </w:placeholder>
                <w15:appearance w15:val="hidden"/>
              </w:sdtPr>
              <w:sdtEndPr/>
              <w:sdtContent>
                <w:sdt>
                  <w:sdtPr>
                    <w:rPr>
                      <w:rFonts w:asciiTheme="minorHAnsi" w:hAnsiTheme="minorHAnsi"/>
                      <w:lang w:val="it-IT"/>
                    </w:rPr>
                    <w:id w:val="-1142112242"/>
                    <w:placeholder>
                      <w:docPart w:val="75D95CBAD34A426F9D77DF2B98E6172C"/>
                    </w:placeholder>
                    <w15:appearance w15:val="hidden"/>
                  </w:sdtPr>
                  <w:sdtEndPr/>
                  <w:sdtContent>
                    <w:r w:rsidR="00CD5455" w:rsidRPr="003A5A29">
                      <w:rPr>
                        <w:rFonts w:asciiTheme="minorHAnsi" w:hAnsiTheme="minorHAnsi"/>
                        <w:lang w:val="it-IT"/>
                      </w:rPr>
                      <w:t>+ 33 6 33 72 61 86</w:t>
                    </w:r>
                  </w:sdtContent>
                </w:sdt>
              </w:sdtContent>
            </w:sdt>
          </w:p>
          <w:p w:rsidR="000F2FE8" w:rsidRPr="003A5A29" w:rsidRDefault="003A5A29" w:rsidP="00F903F7">
            <w:pPr>
              <w:pStyle w:val="SContact-Sendersinfo"/>
              <w:rPr>
                <w:rFonts w:ascii="Encode Sans ExpandedLight" w:hAnsi="Encode Sans ExpandedLight"/>
                <w:lang w:val="it-IT"/>
              </w:rPr>
            </w:pPr>
            <w:sdt>
              <w:sdtPr>
                <w:rPr>
                  <w:lang w:val="it-IT"/>
                </w:rPr>
                <w:id w:val="143632974"/>
                <w:placeholder>
                  <w:docPart w:val="226403A414984292A98B46A43595D792"/>
                </w:placeholder>
                <w15:appearance w15:val="hidden"/>
              </w:sdtPr>
              <w:sdtEndPr/>
              <w:sdtContent>
                <w:sdt>
                  <w:sdtPr>
                    <w:rPr>
                      <w:lang w:val="it-IT"/>
                    </w:rPr>
                    <w:id w:val="1106316626"/>
                    <w:placeholder>
                      <w:docPart w:val="FFC727CD0C894B009907ED82D9990A73"/>
                    </w:placeholder>
                    <w15:appearance w15:val="hidden"/>
                  </w:sdtPr>
                  <w:sdtEndPr/>
                  <w:sdtContent>
                    <w:r w:rsidR="000F2FE8" w:rsidRPr="003A5A29">
                      <w:rPr>
                        <w:lang w:val="it-IT"/>
                      </w:rPr>
                      <w:t>Pierre-Olivier SALMON</w:t>
                    </w:r>
                  </w:sdtContent>
                </w:sdt>
                <w:r w:rsidR="000F2FE8" w:rsidRPr="003A5A29">
                  <w:rPr>
                    <w:lang w:val="it-IT"/>
                  </w:rPr>
                  <w:t xml:space="preserve">  </w:t>
                </w:r>
                <w:sdt>
                  <w:sdtPr>
                    <w:rPr>
                      <w:rFonts w:ascii="Encode Sans ExpandedLight" w:hAnsi="Encode Sans ExpandedLight"/>
                      <w:lang w:val="it-IT"/>
                    </w:rPr>
                    <w:id w:val="1079024615"/>
                    <w:placeholder>
                      <w:docPart w:val="C7FD2A97530E4377AB265B534B50A675"/>
                    </w:placeholder>
                    <w15:appearance w15:val="hidden"/>
                  </w:sdtPr>
                  <w:sdtEndPr/>
                  <w:sdtContent>
                    <w:sdt>
                      <w:sdtPr>
                        <w:rPr>
                          <w:rFonts w:ascii="Encode Sans ExpandedLight" w:hAnsi="Encode Sans ExpandedLight"/>
                          <w:lang w:val="it-IT"/>
                        </w:rPr>
                        <w:id w:val="-1692606222"/>
                        <w:placeholder>
                          <w:docPart w:val="F2C94E6ADBBD4C908CCC3BC254EC2699"/>
                        </w:placeholder>
                        <w15:appearance w15:val="hidden"/>
                      </w:sdtPr>
                      <w:sdtEndPr/>
                      <w:sdtContent>
                        <w:r w:rsidR="00CD5455" w:rsidRPr="003A5A29">
                          <w:rPr>
                            <w:rFonts w:ascii="Encode Sans ExpandedLight" w:hAnsi="Encode Sans ExpandedLight"/>
                            <w:lang w:val="it-IT"/>
                          </w:rPr>
                          <w:t>+33 6 76 86 45 48</w:t>
                        </w:r>
                      </w:sdtContent>
                    </w:sdt>
                  </w:sdtContent>
                </w:sdt>
              </w:sdtContent>
            </w:sdt>
          </w:p>
          <w:p w:rsidR="001E6C1E" w:rsidRPr="003A5A29" w:rsidRDefault="003A5A29" w:rsidP="00F903F7">
            <w:pPr>
              <w:pStyle w:val="SContact-Sendersinfo"/>
              <w:rPr>
                <w:lang w:val="it-IT"/>
              </w:rPr>
            </w:pPr>
            <w:sdt>
              <w:sdtPr>
                <w:rPr>
                  <w:lang w:val="it-IT"/>
                </w:rPr>
                <w:id w:val="941722021"/>
                <w:placeholder>
                  <w:docPart w:val="FA9073C3328E4D5597C9ABCEE06E99E8"/>
                </w:placeholder>
                <w15:appearance w15:val="hidden"/>
              </w:sdtPr>
              <w:sdtEndPr/>
              <w:sdtContent>
                <w:r w:rsidR="000F2FE8" w:rsidRPr="003A5A29">
                  <w:rPr>
                    <w:lang w:val="it-IT"/>
                  </w:rPr>
                  <w:t>Valerie GILLOT</w:t>
                </w:r>
              </w:sdtContent>
            </w:sdt>
            <w:r w:rsidR="001E6C1E" w:rsidRPr="003A5A29">
              <w:rPr>
                <w:lang w:val="it-IT"/>
              </w:rPr>
              <w:t xml:space="preserve">  </w:t>
            </w:r>
            <w:sdt>
              <w:sdtPr>
                <w:rPr>
                  <w:lang w:val="it-IT"/>
                </w:rPr>
                <w:id w:val="-292211685"/>
                <w:placeholder>
                  <w:docPart w:val="74C5EC75B8364E48904A47738329B591"/>
                </w:placeholder>
                <w15:appearance w15:val="hidden"/>
              </w:sdtPr>
              <w:sdtEndPr/>
              <w:sdtContent>
                <w:sdt>
                  <w:sdtPr>
                    <w:rPr>
                      <w:lang w:val="it-IT"/>
                    </w:rPr>
                    <w:id w:val="-1786950922"/>
                    <w:placeholder>
                      <w:docPart w:val="A529B18D3DF948CE91571B225F0DA944"/>
                    </w:placeholder>
                    <w15:appearance w15:val="hidden"/>
                  </w:sdtPr>
                  <w:sdtEndPr/>
                  <w:sdtContent>
                    <w:sdt>
                      <w:sdtPr>
                        <w:rPr>
                          <w:lang w:val="it-IT"/>
                        </w:rPr>
                        <w:id w:val="148794174"/>
                        <w:placeholder>
                          <w:docPart w:val="CED4A8C7FB3A4BBE8BEAD49BBC60B83F"/>
                        </w:placeholder>
                        <w15:appearance w15:val="hidden"/>
                      </w:sdtPr>
                      <w:sdtEndPr/>
                      <w:sdtContent>
                        <w:sdt>
                          <w:sdtPr>
                            <w:rPr>
                              <w:lang w:val="it-IT"/>
                            </w:rPr>
                            <w:id w:val="752857891"/>
                            <w:placeholder>
                              <w:docPart w:val="8BC828754F3146BFBAC1FFAEA22D1B74"/>
                            </w:placeholder>
                            <w15:appearance w15:val="hidden"/>
                          </w:sdtPr>
                          <w:sdtEndPr/>
                          <w:sdtContent>
                            <w:r w:rsidR="00CD5455" w:rsidRPr="003A5A29">
                              <w:rPr>
                                <w:rFonts w:asciiTheme="minorHAnsi" w:hAnsiTheme="minorHAnsi"/>
                                <w:lang w:val="it-IT"/>
                              </w:rPr>
                              <w:t>+ 33 6 83 92 92 96</w:t>
                            </w:r>
                          </w:sdtContent>
                        </w:sdt>
                      </w:sdtContent>
                    </w:sdt>
                  </w:sdtContent>
                </w:sdt>
              </w:sdtContent>
            </w:sdt>
          </w:p>
          <w:p w:rsidR="001E6C1E" w:rsidRPr="003A5A29" w:rsidRDefault="003A5A29" w:rsidP="000F2FE8">
            <w:pPr>
              <w:pStyle w:val="SFooter-Emailwebsite"/>
              <w:rPr>
                <w:lang w:val="it-IT"/>
              </w:rPr>
            </w:pPr>
            <w:hyperlink r:id="rId14" w:history="1">
              <w:r w:rsidR="000F2FE8" w:rsidRPr="003A5A29">
                <w:rPr>
                  <w:rStyle w:val="Hyperlink"/>
                  <w:lang w:val="it-IT"/>
                </w:rPr>
                <w:t>communications@stellantis.com</w:t>
              </w:r>
            </w:hyperlink>
            <w:r w:rsidR="001E6C1E" w:rsidRPr="003A5A29">
              <w:rPr>
                <w:lang w:val="it-IT"/>
              </w:rPr>
              <w:br/>
              <w:t>www.stellantis.com</w:t>
            </w:r>
            <w:bookmarkEnd w:id="1"/>
          </w:p>
        </w:tc>
      </w:tr>
    </w:tbl>
    <w:p w:rsidR="00D814DF" w:rsidRPr="003A5A29" w:rsidRDefault="00D814DF">
      <w:pPr>
        <w:spacing w:after="0"/>
        <w:jc w:val="left"/>
        <w:rPr>
          <w:lang w:val="it-IT"/>
        </w:rPr>
      </w:pPr>
      <w:r w:rsidRPr="003A5A29">
        <w:rPr>
          <w:lang w:val="it-IT"/>
        </w:rPr>
        <w:br w:type="page"/>
      </w:r>
    </w:p>
    <w:p w:rsidR="00D814DF" w:rsidRPr="003A5A29" w:rsidRDefault="00003D7C" w:rsidP="00D814DF">
      <w:pPr>
        <w:pStyle w:val="STITLE"/>
        <w:rPr>
          <w:lang w:val="it-IT"/>
        </w:rPr>
      </w:pPr>
      <w:r w:rsidRPr="003A5A29">
        <w:rPr>
          <w:lang w:val="it-IT"/>
        </w:rPr>
        <w:t>DICHIARAZIONI PREVISIONALI</w:t>
      </w:r>
    </w:p>
    <w:p w:rsidR="00003D7C" w:rsidRPr="003A5A29" w:rsidRDefault="00003D7C" w:rsidP="00003D7C">
      <w:pPr>
        <w:spacing w:before="240"/>
        <w:rPr>
          <w:rFonts w:eastAsia="Encode Sans"/>
          <w:i/>
          <w:sz w:val="18"/>
          <w:szCs w:val="18"/>
          <w:lang w:val="it-IT"/>
        </w:rPr>
      </w:pPr>
      <w:r w:rsidRPr="003A5A29">
        <w:rPr>
          <w:rFonts w:eastAsia="Encode Sans"/>
          <w:i/>
          <w:sz w:val="18"/>
          <w:szCs w:val="18"/>
          <w:lang w:val="it-IT"/>
        </w:rPr>
        <w:t xml:space="preserve">La presente comunicazione contiene dichiarazioni previsionali. Tali dichiarazioni possono comprendere termini quali </w:t>
      </w:r>
      <w:r w:rsidR="003A5A29">
        <w:rPr>
          <w:rFonts w:eastAsia="Encode Sans"/>
          <w:i/>
          <w:sz w:val="18"/>
          <w:szCs w:val="18"/>
          <w:lang w:val="it-IT"/>
        </w:rPr>
        <w:t>“</w:t>
      </w:r>
      <w:r w:rsidRPr="003A5A29">
        <w:rPr>
          <w:rFonts w:eastAsia="Encode Sans"/>
          <w:i/>
          <w:sz w:val="18"/>
          <w:szCs w:val="18"/>
          <w:lang w:val="it-IT"/>
        </w:rPr>
        <w:t>può</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sarà</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ci si aspetta</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potrebbe</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dovrebbe</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intende</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stima</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anticipa</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crede</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rimane</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in linea</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progetta</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target</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obiettivo</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scopo</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previsione</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proiezione</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aspettativa</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prospettiva</w:t>
      </w:r>
      <w:r w:rsidR="003A5A29">
        <w:rPr>
          <w:rFonts w:eastAsia="Encode Sans"/>
          <w:i/>
          <w:sz w:val="18"/>
          <w:szCs w:val="18"/>
          <w:lang w:val="it-IT"/>
        </w:rPr>
        <w:t>”</w:t>
      </w:r>
      <w:r w:rsidRPr="003A5A29">
        <w:rPr>
          <w:rFonts w:eastAsia="Encode Sans"/>
          <w:i/>
          <w:sz w:val="18"/>
          <w:szCs w:val="18"/>
          <w:lang w:val="it-IT"/>
        </w:rPr>
        <w:t xml:space="preserve">, </w:t>
      </w:r>
      <w:r w:rsidR="003A5A29">
        <w:rPr>
          <w:rFonts w:eastAsia="Encode Sans"/>
          <w:i/>
          <w:sz w:val="18"/>
          <w:szCs w:val="18"/>
          <w:lang w:val="it-IT"/>
        </w:rPr>
        <w:t>“</w:t>
      </w:r>
      <w:r w:rsidRPr="003A5A29">
        <w:rPr>
          <w:rFonts w:eastAsia="Encode Sans"/>
          <w:i/>
          <w:sz w:val="18"/>
          <w:szCs w:val="18"/>
          <w:lang w:val="it-IT"/>
        </w:rPr>
        <w:t>piano</w:t>
      </w:r>
      <w:r w:rsidR="003A5A29">
        <w:rPr>
          <w:rFonts w:eastAsia="Encode Sans"/>
          <w:i/>
          <w:sz w:val="18"/>
          <w:szCs w:val="18"/>
          <w:lang w:val="it-IT"/>
        </w:rPr>
        <w:t>”</w:t>
      </w:r>
      <w:r w:rsidRPr="003A5A29">
        <w:rPr>
          <w:rFonts w:eastAsia="Encode Sans"/>
          <w:i/>
          <w:sz w:val="18"/>
          <w:szCs w:val="18"/>
          <w:lang w:val="it-IT"/>
        </w:rPr>
        <w:t>, o termini simili. Le dichiarazioni previsionali non sono garanzia di performance future. Piuttosto, esse sono basate sull</w:t>
      </w:r>
      <w:r w:rsidR="003A5A29">
        <w:rPr>
          <w:rFonts w:eastAsia="Encode Sans"/>
          <w:i/>
          <w:sz w:val="18"/>
          <w:szCs w:val="18"/>
          <w:lang w:val="it-IT"/>
        </w:rPr>
        <w:t>’</w:t>
      </w:r>
      <w:r w:rsidRPr="003A5A29">
        <w:rPr>
          <w:rFonts w:eastAsia="Encode Sans"/>
          <w:i/>
          <w:sz w:val="18"/>
          <w:szCs w:val="18"/>
          <w:lang w:val="it-IT"/>
        </w:rPr>
        <w:t>attuale stato di conoscenza del Gruppo, sulle aspettative e sulle proiezioni future riguardo eventi futuri e sono per loro natura soggette a rischi intrinseci e incertezze. Tali dichiarazioni riguardano eventi e dipendono da circostanze che potrebbero o non potrebbero verificarsi o esistere in futuro e, in quanto tali, non si dovrebbe fare indebito affidamento su di esse.</w:t>
      </w:r>
    </w:p>
    <w:p w:rsidR="00003D7C" w:rsidRPr="003A5A29" w:rsidRDefault="00003D7C" w:rsidP="00003D7C">
      <w:pPr>
        <w:spacing w:before="240"/>
        <w:rPr>
          <w:rFonts w:eastAsia="Encode Sans"/>
          <w:i/>
          <w:sz w:val="18"/>
          <w:szCs w:val="18"/>
          <w:lang w:val="it-IT"/>
        </w:rPr>
      </w:pPr>
      <w:r w:rsidRPr="003A5A29">
        <w:rPr>
          <w:rFonts w:eastAsia="Encode Sans"/>
          <w:i/>
          <w:sz w:val="18"/>
          <w:szCs w:val="18"/>
          <w:lang w:val="it-IT"/>
        </w:rPr>
        <w:t>I risultati effettivi potrebbero differire materialmente da quelli espressi nelle dichiarazioni previsionali quale risultato di una molteplicità di fattori, inclusi: l</w:t>
      </w:r>
      <w:r w:rsidR="003A5A29">
        <w:rPr>
          <w:rFonts w:eastAsia="Encode Sans"/>
          <w:i/>
          <w:sz w:val="18"/>
          <w:szCs w:val="18"/>
          <w:lang w:val="it-IT"/>
        </w:rPr>
        <w:t>’</w:t>
      </w:r>
      <w:r w:rsidRPr="003A5A29">
        <w:rPr>
          <w:rFonts w:eastAsia="Encode Sans"/>
          <w:i/>
          <w:sz w:val="18"/>
          <w:szCs w:val="18"/>
          <w:lang w:val="it-IT"/>
        </w:rPr>
        <w:t>impatto della pandemia da COVID-19, la capacità del Gruppo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w:t>
      </w:r>
      <w:r w:rsidR="003A5A29">
        <w:rPr>
          <w:rFonts w:eastAsia="Encode Sans"/>
          <w:i/>
          <w:sz w:val="18"/>
          <w:szCs w:val="18"/>
          <w:lang w:val="it-IT"/>
        </w:rPr>
        <w:t>’</w:t>
      </w:r>
      <w:r w:rsidRPr="003A5A29">
        <w:rPr>
          <w:rFonts w:eastAsia="Encode Sans"/>
          <w:i/>
          <w:sz w:val="18"/>
          <w:szCs w:val="18"/>
          <w:lang w:val="it-IT"/>
        </w:rPr>
        <w:t>imposizione di dazi a livello globale e regionale o dazi mirati all</w:t>
      </w:r>
      <w:r w:rsidR="003A5A29">
        <w:rPr>
          <w:rFonts w:eastAsia="Encode Sans"/>
          <w:i/>
          <w:sz w:val="18"/>
          <w:szCs w:val="18"/>
          <w:lang w:val="it-IT"/>
        </w:rPr>
        <w:t>’</w:t>
      </w:r>
      <w:r w:rsidRPr="003A5A29">
        <w:rPr>
          <w:rFonts w:eastAsia="Encode Sans"/>
          <w:i/>
          <w:sz w:val="18"/>
          <w:szCs w:val="18"/>
          <w:lang w:val="it-IT"/>
        </w:rPr>
        <w:t>industria automobilistica, l</w:t>
      </w:r>
      <w:r w:rsidR="003A5A29">
        <w:rPr>
          <w:rFonts w:eastAsia="Encode Sans"/>
          <w:i/>
          <w:sz w:val="18"/>
          <w:szCs w:val="18"/>
          <w:lang w:val="it-IT"/>
        </w:rPr>
        <w:t>’</w:t>
      </w:r>
      <w:r w:rsidRPr="003A5A29">
        <w:rPr>
          <w:rFonts w:eastAsia="Encode Sans"/>
          <w:i/>
          <w:sz w:val="18"/>
          <w:szCs w:val="18"/>
          <w:lang w:val="it-IT"/>
        </w:rPr>
        <w:t>attuazione di riforme fiscali o altre variazioni nelle normative e regolamentazioni fiscali; la capacità del Gruppo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w:t>
      </w:r>
      <w:r w:rsidR="003A5A29">
        <w:rPr>
          <w:rFonts w:eastAsia="Encode Sans"/>
          <w:i/>
          <w:sz w:val="18"/>
          <w:szCs w:val="18"/>
          <w:lang w:val="it-IT"/>
        </w:rPr>
        <w:t>’</w:t>
      </w:r>
      <w:r w:rsidRPr="003A5A29">
        <w:rPr>
          <w:rFonts w:eastAsia="Encode Sans"/>
          <w:i/>
          <w:sz w:val="18"/>
          <w:szCs w:val="18"/>
          <w:lang w:val="it-IT"/>
        </w:rPr>
        <w:t>ambiente, della salute e della sicurezza; l</w:t>
      </w:r>
      <w:r w:rsidR="003A5A29">
        <w:rPr>
          <w:rFonts w:eastAsia="Encode Sans"/>
          <w:i/>
          <w:sz w:val="18"/>
          <w:szCs w:val="18"/>
          <w:lang w:val="it-IT"/>
        </w:rPr>
        <w:t>’</w:t>
      </w:r>
      <w:r w:rsidRPr="003A5A29">
        <w:rPr>
          <w:rFonts w:eastAsia="Encode Sans"/>
          <w:i/>
          <w:sz w:val="18"/>
          <w:szCs w:val="18"/>
          <w:lang w:val="it-IT"/>
        </w:rPr>
        <w:t>elevato livello di concorrenza nel settore automobilistico, che potrebbe aumentare a causa di consolidamenti; la potenziale carenza nel finanziamento dei piani pensionistici del Gruppo; la capacità di fornire o organizzare accesso a finanziamenti adeguati per i concessionari e i clienti finali e i rischi associati alla costituzione e alle operazioni di società di servizi finanziari; la capacità di accedere a finanziamenti per realizzare i piani industriali del Gruppo e migliorare le attività, la situazione finanziaria e i risultati operativi; un significativo malfunzionamento, interruzione o violazione della sicurezza che possa compromettere i sistemi di information technology o i sistemi di controllo elettronico contenuti nei veicoli del Gruppo; la capacità del Gruppo di realizzare i benefici previsti dagli accordi di joint venture; interruzioni dovute a instabilità politica, sociale ed economica; i rischi associati alle relazioni con dipendenti, concessionari e fornitori; aumenti dei costi, interruzioni di forniture o carenza di materie prime; sviluppi in relazioni sindacali, industriali e nella normativa del lavoro; fluttuazioni dei tassi di cambio, variazioni dai tassi di interesse, rischio di credito e altri rischi di mercato; tensioni politiche e sociali; terremoti o altri disastri; il rischio che le attività di Groupe PSA e FCA non siano integrate con successo e altri rischi e incertezze.</w:t>
      </w:r>
    </w:p>
    <w:p w:rsidR="000F2FE8" w:rsidRPr="003A5A29" w:rsidRDefault="00003D7C" w:rsidP="00003D7C">
      <w:pPr>
        <w:spacing w:before="240"/>
        <w:rPr>
          <w:rFonts w:eastAsia="Encode Sans"/>
          <w:i/>
          <w:sz w:val="18"/>
          <w:szCs w:val="18"/>
          <w:lang w:val="it-IT"/>
        </w:rPr>
      </w:pPr>
      <w:r w:rsidRPr="003A5A29">
        <w:rPr>
          <w:rFonts w:eastAsia="Encode Sans"/>
          <w:i/>
          <w:sz w:val="18"/>
          <w:szCs w:val="18"/>
          <w:lang w:val="it-IT"/>
        </w:rPr>
        <w:t>Qualsiasi dichiarazione previsionale contenuta nella presente comunicazione sono da considerare valide alla data del presente documento e il Gruppo declina ogni obbligo di aggiornare o revisionare pubblicamente tali dichiarazioni. Tutte le dichiarazioni previsionali contenute nella presente comunicazione si riferiscono esclusivamente alla data del presente documento e il Gruppo declina qualsiasi obbligo di aggiornare o rivedere pubblicamente le dichiarazioni previsionali. Ulteriori informazioni riguardanti il Gruppo e le sue attività, inclusi i fattori che potrebbero materialmente influenzare i risultati finanziari del Gruppo, sono incluse nelle relazioni e nei fascicoli del Gruppo depositati presso la U.S. Securities and Exchange Commission e AFM.</w:t>
      </w:r>
    </w:p>
    <w:sectPr w:rsidR="000F2FE8" w:rsidRPr="003A5A29"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C4" w:rsidRDefault="00BF40C4" w:rsidP="008D3E4C">
      <w:r>
        <w:separator/>
      </w:r>
    </w:p>
  </w:endnote>
  <w:endnote w:type="continuationSeparator" w:id="0">
    <w:p w:rsidR="00BF40C4" w:rsidRDefault="00BF40C4"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EB77DB5B-4192-4C05-9C3E-CA002467AE31}"/>
    <w:embedBold r:id="rId2" w:fontKey="{1A32C4A7-B54C-4E79-945E-7ABE6F7192D1}"/>
    <w:embedItalic r:id="rId3" w:fontKey="{CDFFAA2E-D1AC-46E2-A245-38E2448F4AAD}"/>
  </w:font>
  <w:font w:name="Encode Sans ExpandedSemiBold">
    <w:panose1 w:val="00000000000000000000"/>
    <w:charset w:val="00"/>
    <w:family w:val="auto"/>
    <w:pitch w:val="variable"/>
    <w:sig w:usb0="A00000FF" w:usb1="4000207B" w:usb2="00000000" w:usb3="00000000" w:csb0="00000193" w:csb1="00000000"/>
    <w:embedRegular r:id="rId4" w:fontKey="{D8EA1711-72BC-4448-8814-134AD81BEAB5}"/>
    <w:embedItalic r:id="rId5" w:fontKey="{C1722B97-BAE3-4E97-AC71-A1F9F1EB1CE4}"/>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A5A29">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C4" w:rsidRDefault="00BF40C4" w:rsidP="008D3E4C">
      <w:r>
        <w:separator/>
      </w:r>
    </w:p>
  </w:footnote>
  <w:footnote w:type="continuationSeparator" w:id="0">
    <w:p w:rsidR="00BF40C4" w:rsidRDefault="00BF40C4"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80F9041" wp14:editId="10B28EED">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150AD4" w:rsidRDefault="007F2540"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0F9041"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rsidR="00A33E8D" w:rsidRPr="00150AD4" w:rsidRDefault="007F2540" w:rsidP="008D3E4C">
                      <w:pPr>
                        <w:pStyle w:val="SPRESSRELEASESTRIP"/>
                      </w:pPr>
                      <w:r>
                        <w:t>COMUNICATO STAMPA</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13208"/>
    <w:multiLevelType w:val="hybridMultilevel"/>
    <w:tmpl w:val="203C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03D7C"/>
    <w:rsid w:val="00086445"/>
    <w:rsid w:val="00087566"/>
    <w:rsid w:val="000F2FE8"/>
    <w:rsid w:val="00126E5A"/>
    <w:rsid w:val="00150AD4"/>
    <w:rsid w:val="001B591C"/>
    <w:rsid w:val="001D168B"/>
    <w:rsid w:val="001E6C1E"/>
    <w:rsid w:val="001F0885"/>
    <w:rsid w:val="001F4703"/>
    <w:rsid w:val="00214443"/>
    <w:rsid w:val="0022588D"/>
    <w:rsid w:val="0023542B"/>
    <w:rsid w:val="00242220"/>
    <w:rsid w:val="002836DD"/>
    <w:rsid w:val="00293E0C"/>
    <w:rsid w:val="002C508D"/>
    <w:rsid w:val="0036683D"/>
    <w:rsid w:val="003864AD"/>
    <w:rsid w:val="003A5A29"/>
    <w:rsid w:val="003E68CC"/>
    <w:rsid w:val="003E727D"/>
    <w:rsid w:val="004022B4"/>
    <w:rsid w:val="00425677"/>
    <w:rsid w:val="00427ABE"/>
    <w:rsid w:val="00433EDD"/>
    <w:rsid w:val="0044219E"/>
    <w:rsid w:val="0045216F"/>
    <w:rsid w:val="004532D9"/>
    <w:rsid w:val="00464B4C"/>
    <w:rsid w:val="004D61EA"/>
    <w:rsid w:val="00501A19"/>
    <w:rsid w:val="00544345"/>
    <w:rsid w:val="0055479C"/>
    <w:rsid w:val="00562D3D"/>
    <w:rsid w:val="0059213B"/>
    <w:rsid w:val="005B024F"/>
    <w:rsid w:val="005C775F"/>
    <w:rsid w:val="005D2EA9"/>
    <w:rsid w:val="005F2120"/>
    <w:rsid w:val="0061682B"/>
    <w:rsid w:val="00646166"/>
    <w:rsid w:val="00655A10"/>
    <w:rsid w:val="00682310"/>
    <w:rsid w:val="006B5C7E"/>
    <w:rsid w:val="006E27BF"/>
    <w:rsid w:val="007A46E2"/>
    <w:rsid w:val="007E317D"/>
    <w:rsid w:val="007F2540"/>
    <w:rsid w:val="0080313B"/>
    <w:rsid w:val="00805FAA"/>
    <w:rsid w:val="008124BD"/>
    <w:rsid w:val="00815B14"/>
    <w:rsid w:val="00844956"/>
    <w:rsid w:val="0086416D"/>
    <w:rsid w:val="00877117"/>
    <w:rsid w:val="008B4CD5"/>
    <w:rsid w:val="008B718E"/>
    <w:rsid w:val="008C6D42"/>
    <w:rsid w:val="008D3E4C"/>
    <w:rsid w:val="008F0F07"/>
    <w:rsid w:val="008F2A13"/>
    <w:rsid w:val="00931DEE"/>
    <w:rsid w:val="00992BE1"/>
    <w:rsid w:val="009968C5"/>
    <w:rsid w:val="009A12F3"/>
    <w:rsid w:val="009A23AB"/>
    <w:rsid w:val="009C149C"/>
    <w:rsid w:val="009C33F1"/>
    <w:rsid w:val="009D180E"/>
    <w:rsid w:val="009D5F52"/>
    <w:rsid w:val="009D79F4"/>
    <w:rsid w:val="00A0245A"/>
    <w:rsid w:val="00A33E8D"/>
    <w:rsid w:val="00A748DE"/>
    <w:rsid w:val="00A87390"/>
    <w:rsid w:val="00B32F4C"/>
    <w:rsid w:val="00B64F18"/>
    <w:rsid w:val="00B92FB1"/>
    <w:rsid w:val="00B96799"/>
    <w:rsid w:val="00BF40C4"/>
    <w:rsid w:val="00C0321D"/>
    <w:rsid w:val="00C10E75"/>
    <w:rsid w:val="00C21B90"/>
    <w:rsid w:val="00C31F14"/>
    <w:rsid w:val="00C363C0"/>
    <w:rsid w:val="00C60A64"/>
    <w:rsid w:val="00C814CD"/>
    <w:rsid w:val="00C97693"/>
    <w:rsid w:val="00CD5455"/>
    <w:rsid w:val="00D01C11"/>
    <w:rsid w:val="00D0485C"/>
    <w:rsid w:val="00D239E7"/>
    <w:rsid w:val="00D265D9"/>
    <w:rsid w:val="00D43A60"/>
    <w:rsid w:val="00D5456A"/>
    <w:rsid w:val="00D54C2A"/>
    <w:rsid w:val="00D814DF"/>
    <w:rsid w:val="00DA27E1"/>
    <w:rsid w:val="00DE72B9"/>
    <w:rsid w:val="00DF5711"/>
    <w:rsid w:val="00E014CA"/>
    <w:rsid w:val="00E45FDD"/>
    <w:rsid w:val="00E8163B"/>
    <w:rsid w:val="00E82EAD"/>
    <w:rsid w:val="00E90B5F"/>
    <w:rsid w:val="00E93724"/>
    <w:rsid w:val="00ED04E6"/>
    <w:rsid w:val="00F5284E"/>
    <w:rsid w:val="00F90CCA"/>
    <w:rsid w:val="00F92EB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20D3C4"/>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it/il-gruppo/technology" TargetMode="External"/><Relationship Id="rId13" Type="http://schemas.openxmlformats.org/officeDocument/2006/relationships/image" Target="media/image4.e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stellantis.com/it"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ellantis.com/it/investors/eventi/ev-day-2021" TargetMode="External"/><Relationship Id="rId14" Type="http://schemas.openxmlformats.org/officeDocument/2006/relationships/hyperlink" Target="mailto:communications@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429F85EC8A4E9BADB09C737B90DB74"/>
        <w:category>
          <w:name w:val="General"/>
          <w:gallery w:val="placeholder"/>
        </w:category>
        <w:types>
          <w:type w:val="bbPlcHdr"/>
        </w:types>
        <w:behaviors>
          <w:behavior w:val="content"/>
        </w:behaviors>
        <w:guid w:val="{1A17395F-7083-460C-978B-78E68CF61A66}"/>
      </w:docPartPr>
      <w:docPartBody>
        <w:p w:rsidR="00E20551" w:rsidRDefault="00896646">
          <w:pPr>
            <w:pStyle w:val="2A429F85EC8A4E9BADB09C737B90DB74"/>
          </w:pPr>
          <w:r w:rsidRPr="0086416D">
            <w:rPr>
              <w:rStyle w:val="PlaceholderText"/>
              <w:b/>
              <w:color w:val="44546A" w:themeColor="text2"/>
            </w:rPr>
            <w:t>First name LAST NAME</w:t>
          </w:r>
        </w:p>
      </w:docPartBody>
    </w:docPart>
    <w:docPart>
      <w:docPartPr>
        <w:name w:val="F27F6FAA0F284F29BED58E8035F39670"/>
        <w:category>
          <w:name w:val="General"/>
          <w:gallery w:val="placeholder"/>
        </w:category>
        <w:types>
          <w:type w:val="bbPlcHdr"/>
        </w:types>
        <w:behaviors>
          <w:behavior w:val="content"/>
        </w:behaviors>
        <w:guid w:val="{329FA7E7-F5F6-4E5D-86A6-DE3C6C7AD465}"/>
      </w:docPartPr>
      <w:docPartBody>
        <w:p w:rsidR="00E20551" w:rsidRDefault="00896646">
          <w:pPr>
            <w:pStyle w:val="F27F6FAA0F284F29BED58E8035F3967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226403A414984292A98B46A43595D792"/>
        <w:category>
          <w:name w:val="General"/>
          <w:gallery w:val="placeholder"/>
        </w:category>
        <w:types>
          <w:type w:val="bbPlcHdr"/>
        </w:types>
        <w:behaviors>
          <w:behavior w:val="content"/>
        </w:behaviors>
        <w:guid w:val="{D374DB8B-1D68-4646-A327-EEFD056919E8}"/>
      </w:docPartPr>
      <w:docPartBody>
        <w:p w:rsidR="00E20551" w:rsidRDefault="00896646">
          <w:pPr>
            <w:pStyle w:val="226403A414984292A98B46A43595D792"/>
          </w:pPr>
          <w:r w:rsidRPr="0086416D">
            <w:rPr>
              <w:rStyle w:val="PlaceholderText"/>
              <w:b/>
              <w:color w:val="44546A" w:themeColor="text2"/>
            </w:rPr>
            <w:t>First name LAST NAME</w:t>
          </w:r>
        </w:p>
      </w:docPartBody>
    </w:docPart>
    <w:docPart>
      <w:docPartPr>
        <w:name w:val="FA9073C3328E4D5597C9ABCEE06E99E8"/>
        <w:category>
          <w:name w:val="General"/>
          <w:gallery w:val="placeholder"/>
        </w:category>
        <w:types>
          <w:type w:val="bbPlcHdr"/>
        </w:types>
        <w:behaviors>
          <w:behavior w:val="content"/>
        </w:behaviors>
        <w:guid w:val="{BF673CF8-2727-4B00-9BF3-9DDCA7CBC52D}"/>
      </w:docPartPr>
      <w:docPartBody>
        <w:p w:rsidR="00E20551" w:rsidRDefault="00896646">
          <w:pPr>
            <w:pStyle w:val="FA9073C3328E4D5597C9ABCEE06E99E8"/>
          </w:pPr>
          <w:r w:rsidRPr="0086416D">
            <w:rPr>
              <w:rStyle w:val="PlaceholderText"/>
              <w:b/>
              <w:color w:val="44546A" w:themeColor="text2"/>
            </w:rPr>
            <w:t>First name LAST NAME</w:t>
          </w:r>
        </w:p>
      </w:docPartBody>
    </w:docPart>
    <w:docPart>
      <w:docPartPr>
        <w:name w:val="74C5EC75B8364E48904A47738329B591"/>
        <w:category>
          <w:name w:val="General"/>
          <w:gallery w:val="placeholder"/>
        </w:category>
        <w:types>
          <w:type w:val="bbPlcHdr"/>
        </w:types>
        <w:behaviors>
          <w:behavior w:val="content"/>
        </w:behaviors>
        <w:guid w:val="{6DFCE5A0-67C0-4835-98EB-6CF7218B5497}"/>
      </w:docPartPr>
      <w:docPartBody>
        <w:p w:rsidR="00E20551" w:rsidRDefault="00896646">
          <w:pPr>
            <w:pStyle w:val="74C5EC75B8364E48904A47738329B59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FFC727CD0C894B009907ED82D9990A73"/>
        <w:category>
          <w:name w:val="General"/>
          <w:gallery w:val="placeholder"/>
        </w:category>
        <w:types>
          <w:type w:val="bbPlcHdr"/>
        </w:types>
        <w:behaviors>
          <w:behavior w:val="content"/>
        </w:behaviors>
        <w:guid w:val="{BBFBD6FD-26FE-4B81-8F08-08A2AFC0C1E4}"/>
      </w:docPartPr>
      <w:docPartBody>
        <w:p w:rsidR="00312839" w:rsidRDefault="00E20551" w:rsidP="00E20551">
          <w:pPr>
            <w:pStyle w:val="FFC727CD0C894B009907ED82D9990A73"/>
          </w:pPr>
          <w:r w:rsidRPr="0086416D">
            <w:rPr>
              <w:rStyle w:val="PlaceholderText"/>
              <w:b/>
              <w:color w:val="44546A" w:themeColor="text2"/>
            </w:rPr>
            <w:t>First name LAST NAME</w:t>
          </w:r>
        </w:p>
      </w:docPartBody>
    </w:docPart>
    <w:docPart>
      <w:docPartPr>
        <w:name w:val="C7FD2A97530E4377AB265B534B50A675"/>
        <w:category>
          <w:name w:val="General"/>
          <w:gallery w:val="placeholder"/>
        </w:category>
        <w:types>
          <w:type w:val="bbPlcHdr"/>
        </w:types>
        <w:behaviors>
          <w:behavior w:val="content"/>
        </w:behaviors>
        <w:guid w:val="{F2BCA617-E004-4FBC-B5AA-BEBE1563DC28}"/>
      </w:docPartPr>
      <w:docPartBody>
        <w:p w:rsidR="00312839" w:rsidRDefault="00E20551" w:rsidP="00E20551">
          <w:pPr>
            <w:pStyle w:val="C7FD2A97530E4377AB265B534B50A67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75D95CBAD34A426F9D77DF2B98E6172C"/>
        <w:category>
          <w:name w:val="General"/>
          <w:gallery w:val="placeholder"/>
        </w:category>
        <w:types>
          <w:type w:val="bbPlcHdr"/>
        </w:types>
        <w:behaviors>
          <w:behavior w:val="content"/>
        </w:behaviors>
        <w:guid w:val="{C94A479A-A40A-4CA7-BCA7-38AD9B8EC6AD}"/>
      </w:docPartPr>
      <w:docPartBody>
        <w:p w:rsidR="00EB4AD3" w:rsidRDefault="00143DAE" w:rsidP="00143DAE">
          <w:pPr>
            <w:pStyle w:val="75D95CBAD34A426F9D77DF2B98E6172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F2C94E6ADBBD4C908CCC3BC254EC2699"/>
        <w:category>
          <w:name w:val="General"/>
          <w:gallery w:val="placeholder"/>
        </w:category>
        <w:types>
          <w:type w:val="bbPlcHdr"/>
        </w:types>
        <w:behaviors>
          <w:behavior w:val="content"/>
        </w:behaviors>
        <w:guid w:val="{75572188-6DA3-45FC-9D3E-44CF411EDBF2}"/>
      </w:docPartPr>
      <w:docPartBody>
        <w:p w:rsidR="00EB4AD3" w:rsidRDefault="00143DAE" w:rsidP="00143DAE">
          <w:pPr>
            <w:pStyle w:val="F2C94E6ADBBD4C908CCC3BC254EC269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A529B18D3DF948CE91571B225F0DA944"/>
        <w:category>
          <w:name w:val="General"/>
          <w:gallery w:val="placeholder"/>
        </w:category>
        <w:types>
          <w:type w:val="bbPlcHdr"/>
        </w:types>
        <w:behaviors>
          <w:behavior w:val="content"/>
        </w:behaviors>
        <w:guid w:val="{9D6D0735-0A2F-4F07-9463-3D1C29226CF6}"/>
      </w:docPartPr>
      <w:docPartBody>
        <w:p w:rsidR="00EB4AD3" w:rsidRDefault="00143DAE" w:rsidP="00143DAE">
          <w:pPr>
            <w:pStyle w:val="A529B18D3DF948CE91571B225F0DA94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CED4A8C7FB3A4BBE8BEAD49BBC60B83F"/>
        <w:category>
          <w:name w:val="General"/>
          <w:gallery w:val="placeholder"/>
        </w:category>
        <w:types>
          <w:type w:val="bbPlcHdr"/>
        </w:types>
        <w:behaviors>
          <w:behavior w:val="content"/>
        </w:behaviors>
        <w:guid w:val="{37F25566-C430-48D7-BECF-CC5F145B5637}"/>
      </w:docPartPr>
      <w:docPartBody>
        <w:p w:rsidR="00EB4AD3" w:rsidRDefault="00143DAE" w:rsidP="00143DAE">
          <w:pPr>
            <w:pStyle w:val="CED4A8C7FB3A4BBE8BEAD49BBC60B83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8BC828754F3146BFBAC1FFAEA22D1B74"/>
        <w:category>
          <w:name w:val="General"/>
          <w:gallery w:val="placeholder"/>
        </w:category>
        <w:types>
          <w:type w:val="bbPlcHdr"/>
        </w:types>
        <w:behaviors>
          <w:behavior w:val="content"/>
        </w:behaviors>
        <w:guid w:val="{68499A50-26A6-4B71-A678-CED246281282}"/>
      </w:docPartPr>
      <w:docPartBody>
        <w:p w:rsidR="00EB4AD3" w:rsidRDefault="00143DAE" w:rsidP="00143DAE">
          <w:pPr>
            <w:pStyle w:val="8BC828754F3146BFBAC1FFAEA22D1B7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143DAE"/>
    <w:rsid w:val="00312839"/>
    <w:rsid w:val="00896646"/>
    <w:rsid w:val="00AC707A"/>
    <w:rsid w:val="00C95E2E"/>
    <w:rsid w:val="00CF7107"/>
    <w:rsid w:val="00D772A7"/>
    <w:rsid w:val="00E20551"/>
    <w:rsid w:val="00EB4AD3"/>
    <w:rsid w:val="00F3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DAE"/>
    <w:rPr>
      <w:color w:val="808080"/>
    </w:rPr>
  </w:style>
  <w:style w:type="paragraph" w:customStyle="1" w:styleId="D446731CBF9945D78E9CC6F050930D89">
    <w:name w:val="D446731CBF9945D78E9CC6F050930D89"/>
  </w:style>
  <w:style w:type="paragraph" w:customStyle="1" w:styleId="2A429F85EC8A4E9BADB09C737B90DB74">
    <w:name w:val="2A429F85EC8A4E9BADB09C737B90DB74"/>
  </w:style>
  <w:style w:type="paragraph" w:customStyle="1" w:styleId="F27F6FAA0F284F29BED58E8035F39670">
    <w:name w:val="F27F6FAA0F284F29BED58E8035F39670"/>
  </w:style>
  <w:style w:type="paragraph" w:customStyle="1" w:styleId="226403A414984292A98B46A43595D792">
    <w:name w:val="226403A414984292A98B46A43595D792"/>
  </w:style>
  <w:style w:type="paragraph" w:customStyle="1" w:styleId="2806AA5986C94132B69E2EDD9A054FA4">
    <w:name w:val="2806AA5986C94132B69E2EDD9A054FA4"/>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027CFBC1475B4048BC775DE1AB5A7248">
    <w:name w:val="027CFBC1475B4048BC775DE1AB5A7248"/>
  </w:style>
  <w:style w:type="paragraph" w:customStyle="1" w:styleId="07F7F135E6E64D29BE7066C95C6E25F3">
    <w:name w:val="07F7F135E6E64D29BE7066C95C6E25F3"/>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 w:type="paragraph" w:customStyle="1" w:styleId="75D95CBAD34A426F9D77DF2B98E6172C">
    <w:name w:val="75D95CBAD34A426F9D77DF2B98E6172C"/>
    <w:rsid w:val="00143DAE"/>
  </w:style>
  <w:style w:type="paragraph" w:customStyle="1" w:styleId="F2C94E6ADBBD4C908CCC3BC254EC2699">
    <w:name w:val="F2C94E6ADBBD4C908CCC3BC254EC2699"/>
    <w:rsid w:val="00143DAE"/>
  </w:style>
  <w:style w:type="paragraph" w:customStyle="1" w:styleId="A529B18D3DF948CE91571B225F0DA944">
    <w:name w:val="A529B18D3DF948CE91571B225F0DA944"/>
    <w:rsid w:val="00143DAE"/>
  </w:style>
  <w:style w:type="paragraph" w:customStyle="1" w:styleId="CED4A8C7FB3A4BBE8BEAD49BBC60B83F">
    <w:name w:val="CED4A8C7FB3A4BBE8BEAD49BBC60B83F"/>
    <w:rsid w:val="00143DAE"/>
  </w:style>
  <w:style w:type="paragraph" w:customStyle="1" w:styleId="8BC828754F3146BFBAC1FFAEA22D1B74">
    <w:name w:val="8BC828754F3146BFBAC1FFAEA22D1B74"/>
    <w:rsid w:val="00143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7</TotalTime>
  <Pages>6</Pages>
  <Words>2214</Words>
  <Characters>12622</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5</cp:revision>
  <cp:lastPrinted>2021-01-20T13:01:00Z</cp:lastPrinted>
  <dcterms:created xsi:type="dcterms:W3CDTF">2021-12-06T10:27:00Z</dcterms:created>
  <dcterms:modified xsi:type="dcterms:W3CDTF">2021-12-07T04:49:00Z</dcterms:modified>
</cp:coreProperties>
</file>