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Default="0086416D" w:rsidP="0002070C"/>
    <w:p w:rsidR="000C3559" w:rsidRDefault="000C3559" w:rsidP="0002070C"/>
    <w:p w:rsidR="000C3559" w:rsidRDefault="000C3559" w:rsidP="0002070C"/>
    <w:p w:rsidR="000C3559" w:rsidRDefault="000C3559" w:rsidP="0002070C"/>
    <w:p w:rsidR="000C3559" w:rsidRDefault="000C3559" w:rsidP="0002070C"/>
    <w:p w:rsidR="000C3559" w:rsidRPr="0082786D" w:rsidRDefault="000C3559" w:rsidP="0002070C"/>
    <w:p w:rsidR="005F2120" w:rsidRPr="000C3559" w:rsidRDefault="00FB4171" w:rsidP="000C3559">
      <w:pPr>
        <w:pStyle w:val="SSubject"/>
        <w:spacing w:before="0" w:after="0"/>
        <w:contextualSpacing w:val="0"/>
        <w:rPr>
          <w:sz w:val="24"/>
          <w:lang w:eastAsia="it-IT"/>
        </w:rPr>
      </w:pPr>
      <w:r w:rsidRPr="009C3063">
        <w:rPr>
          <w:sz w:val="24"/>
          <w:lang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1A74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sdt>
        <w:sdtPr>
          <w:rPr>
            <w:sz w:val="24"/>
            <w:lang w:eastAsia="it-IT"/>
          </w:rPr>
          <w:id w:val="-1124843631"/>
          <w:placeholder>
            <w:docPart w:val="C1560355552A44AA9415A0192F930735"/>
          </w:placeholder>
          <w15:appearance w15:val="hidden"/>
        </w:sdtPr>
        <w:sdtEndPr/>
        <w:sdtContent>
          <w:r w:rsidR="000C3559" w:rsidRPr="000C3559">
            <w:rPr>
              <w:sz w:val="24"/>
              <w:lang w:eastAsia="it-IT"/>
            </w:rPr>
            <w:t xml:space="preserve">Stellantis </w:t>
          </w:r>
          <w:r w:rsidR="00921D23">
            <w:rPr>
              <w:sz w:val="24"/>
              <w:lang w:eastAsia="it-IT"/>
            </w:rPr>
            <w:t>récompense</w:t>
          </w:r>
          <w:r w:rsidR="00921D23" w:rsidRPr="00921D23">
            <w:rPr>
              <w:sz w:val="24"/>
              <w:lang w:eastAsia="it-IT"/>
            </w:rPr>
            <w:t xml:space="preserve"> 12 fournisseurs lors </w:t>
          </w:r>
          <w:r w:rsidR="00921D23">
            <w:rPr>
              <w:sz w:val="24"/>
              <w:lang w:eastAsia="it-IT"/>
            </w:rPr>
            <w:t>de</w:t>
          </w:r>
          <w:r w:rsidR="000C3559" w:rsidRPr="000C3559">
            <w:rPr>
              <w:sz w:val="24"/>
              <w:lang w:eastAsia="it-IT"/>
            </w:rPr>
            <w:t xml:space="preserve"> la première édition de</w:t>
          </w:r>
          <w:r w:rsidR="00921D23">
            <w:rPr>
              <w:sz w:val="24"/>
              <w:lang w:eastAsia="it-IT"/>
            </w:rPr>
            <w:t xml:space="preserve"> se</w:t>
          </w:r>
          <w:bookmarkStart w:id="1" w:name="_GoBack"/>
          <w:bookmarkEnd w:id="1"/>
          <w:r w:rsidR="000C3559" w:rsidRPr="000C3559">
            <w:rPr>
              <w:sz w:val="24"/>
              <w:lang w:eastAsia="it-IT"/>
            </w:rPr>
            <w:t xml:space="preserve">s Supplier Awards </w:t>
          </w:r>
        </w:sdtContent>
      </w:sdt>
      <w:bookmarkEnd w:id="0"/>
    </w:p>
    <w:p w:rsidR="000C3559" w:rsidRPr="000C3559" w:rsidRDefault="000C3559" w:rsidP="000C3559">
      <w:pPr>
        <w:pStyle w:val="SSubject"/>
        <w:spacing w:before="0" w:after="0"/>
        <w:contextualSpacing w:val="0"/>
        <w:rPr>
          <w:sz w:val="24"/>
          <w:lang w:eastAsia="it-IT"/>
        </w:rPr>
      </w:pPr>
    </w:p>
    <w:p w:rsidR="000C3559" w:rsidRDefault="000C3559" w:rsidP="000C3559">
      <w:pPr>
        <w:pStyle w:val="SBullet"/>
        <w:numPr>
          <w:ilvl w:val="0"/>
          <w:numId w:val="0"/>
        </w:numPr>
        <w:rPr>
          <w:sz w:val="21"/>
          <w:szCs w:val="21"/>
        </w:rPr>
      </w:pPr>
    </w:p>
    <w:p w:rsidR="000C3559" w:rsidRDefault="000C3559" w:rsidP="000C3559">
      <w:pPr>
        <w:pStyle w:val="SBullet"/>
        <w:numPr>
          <w:ilvl w:val="0"/>
          <w:numId w:val="0"/>
        </w:numPr>
        <w:rPr>
          <w:sz w:val="21"/>
          <w:szCs w:val="21"/>
        </w:rPr>
      </w:pPr>
    </w:p>
    <w:p w:rsidR="000C3559" w:rsidRPr="000C3559" w:rsidRDefault="000C3559" w:rsidP="000C3559">
      <w:pPr>
        <w:pStyle w:val="SBullet"/>
        <w:ind w:left="794" w:hanging="227"/>
        <w:rPr>
          <w:sz w:val="21"/>
          <w:szCs w:val="21"/>
        </w:rPr>
      </w:pPr>
      <w:r w:rsidRPr="000C3559">
        <w:rPr>
          <w:sz w:val="21"/>
          <w:szCs w:val="21"/>
        </w:rPr>
        <w:t>Ce trophée récompense le niveau de qualité, d’engagement et d’excellence opérationnelle délivré par les fournisseurs de Stellantis</w:t>
      </w:r>
    </w:p>
    <w:p w:rsidR="000C3559" w:rsidRPr="00F520BC" w:rsidRDefault="000C3559" w:rsidP="000C3559">
      <w:pPr>
        <w:pStyle w:val="SBullet"/>
        <w:ind w:left="794" w:hanging="227"/>
        <w:rPr>
          <w:sz w:val="21"/>
          <w:szCs w:val="21"/>
        </w:rPr>
      </w:pPr>
      <w:r w:rsidRPr="00F520BC">
        <w:rPr>
          <w:sz w:val="21"/>
          <w:szCs w:val="21"/>
        </w:rPr>
        <w:t>12 fournisseurs sont ainsi mis à l’honneur dans 8 catégories différentes pour leur performance exceptionnelle au titre de l’année 2020, année particulièrement difficile pour l’industrie automobile</w:t>
      </w:r>
    </w:p>
    <w:p w:rsidR="00613FB1" w:rsidRPr="005134DA" w:rsidRDefault="000C3559" w:rsidP="0010546C">
      <w:pPr>
        <w:pStyle w:val="SBullet"/>
        <w:ind w:left="794" w:hanging="227"/>
        <w:rPr>
          <w:sz w:val="21"/>
          <w:szCs w:val="21"/>
        </w:rPr>
      </w:pPr>
      <w:r w:rsidRPr="005134DA">
        <w:rPr>
          <w:sz w:val="21"/>
          <w:szCs w:val="21"/>
        </w:rPr>
        <w:t>Cette cérémonie virtuelle était organisée en présence de M. Carlos Tavar</w:t>
      </w:r>
      <w:r w:rsidR="00F520BC" w:rsidRPr="005134DA">
        <w:rPr>
          <w:sz w:val="21"/>
          <w:szCs w:val="21"/>
        </w:rPr>
        <w:t>e</w:t>
      </w:r>
      <w:r w:rsidRPr="005134DA">
        <w:rPr>
          <w:sz w:val="21"/>
          <w:szCs w:val="21"/>
        </w:rPr>
        <w:t xml:space="preserve">s, </w:t>
      </w:r>
      <w:r w:rsidR="005134DA" w:rsidRPr="005134DA">
        <w:rPr>
          <w:sz w:val="21"/>
          <w:szCs w:val="21"/>
        </w:rPr>
        <w:t xml:space="preserve">Chief Executive Officer </w:t>
      </w:r>
      <w:r w:rsidRPr="005134DA">
        <w:rPr>
          <w:sz w:val="21"/>
          <w:szCs w:val="21"/>
        </w:rPr>
        <w:t>de Stellantis ainsi que 8 autres membres du Comité Exécutif</w:t>
      </w:r>
    </w:p>
    <w:p w:rsidR="000C3559" w:rsidRDefault="000C3559" w:rsidP="0002070C">
      <w:pPr>
        <w:rPr>
          <w:sz w:val="21"/>
          <w:szCs w:val="21"/>
        </w:rPr>
      </w:pPr>
    </w:p>
    <w:p w:rsidR="000C3559" w:rsidRDefault="000C3559" w:rsidP="0002070C">
      <w:pPr>
        <w:rPr>
          <w:sz w:val="21"/>
          <w:szCs w:val="21"/>
        </w:rPr>
      </w:pPr>
    </w:p>
    <w:p w:rsidR="000C3559" w:rsidRDefault="000C3559" w:rsidP="0002070C">
      <w:pPr>
        <w:rPr>
          <w:sz w:val="21"/>
          <w:szCs w:val="21"/>
        </w:rPr>
      </w:pPr>
      <w:r>
        <w:rPr>
          <w:sz w:val="21"/>
          <w:szCs w:val="21"/>
        </w:rPr>
        <w:t>Amsterdam, le 1</w:t>
      </w:r>
      <w:r w:rsidRPr="000C3559">
        <w:rPr>
          <w:sz w:val="21"/>
          <w:szCs w:val="21"/>
          <w:vertAlign w:val="superscript"/>
        </w:rPr>
        <w:t>er</w:t>
      </w:r>
      <w:r>
        <w:rPr>
          <w:sz w:val="21"/>
          <w:szCs w:val="21"/>
        </w:rPr>
        <w:t xml:space="preserve"> juin 2021</w:t>
      </w:r>
    </w:p>
    <w:p w:rsidR="000C3559" w:rsidRDefault="000C3559" w:rsidP="0002070C">
      <w:pPr>
        <w:rPr>
          <w:sz w:val="21"/>
          <w:szCs w:val="21"/>
        </w:rPr>
      </w:pPr>
    </w:p>
    <w:p w:rsidR="000C3559" w:rsidRDefault="000C3559" w:rsidP="000C3559">
      <w:pPr>
        <w:rPr>
          <w:b/>
          <w:bCs/>
          <w:sz w:val="21"/>
          <w:szCs w:val="21"/>
        </w:rPr>
      </w:pPr>
      <w:r w:rsidRPr="000C3559">
        <w:rPr>
          <w:b/>
          <w:bCs/>
          <w:sz w:val="21"/>
          <w:szCs w:val="21"/>
        </w:rPr>
        <w:t>Quality First</w:t>
      </w:r>
    </w:p>
    <w:p w:rsidR="000C3559" w:rsidRDefault="000C3559" w:rsidP="000C3559">
      <w:pPr>
        <w:rPr>
          <w:sz w:val="21"/>
          <w:szCs w:val="21"/>
        </w:rPr>
      </w:pPr>
      <w:r w:rsidRPr="000C3559">
        <w:rPr>
          <w:i/>
          <w:sz w:val="21"/>
          <w:szCs w:val="21"/>
        </w:rPr>
        <w:t>Merit Automotive</w:t>
      </w:r>
      <w:r w:rsidRPr="000C3559">
        <w:rPr>
          <w:sz w:val="21"/>
          <w:szCs w:val="21"/>
        </w:rPr>
        <w:t xml:space="preserve"> et </w:t>
      </w:r>
      <w:r w:rsidRPr="000C3559">
        <w:rPr>
          <w:i/>
          <w:sz w:val="21"/>
          <w:szCs w:val="21"/>
        </w:rPr>
        <w:t>Tiberina</w:t>
      </w:r>
      <w:r w:rsidRPr="000C3559">
        <w:rPr>
          <w:sz w:val="21"/>
          <w:szCs w:val="21"/>
        </w:rPr>
        <w:t xml:space="preserve"> </w:t>
      </w:r>
      <w:r w:rsidRPr="000C3559">
        <w:rPr>
          <w:bCs/>
          <w:sz w:val="21"/>
          <w:szCs w:val="21"/>
        </w:rPr>
        <w:t>sont</w:t>
      </w:r>
      <w:r w:rsidRPr="000C3559">
        <w:rPr>
          <w:sz w:val="21"/>
          <w:szCs w:val="21"/>
        </w:rPr>
        <w:t xml:space="preserve"> récompensés pour leurs réalisations et leur engagement en termes de développement industriel et de production en répondant aux exigences Qualité de Stellantis.</w:t>
      </w:r>
    </w:p>
    <w:p w:rsidR="000C3559" w:rsidRPr="000C3559" w:rsidRDefault="000C3559" w:rsidP="000C3559">
      <w:pPr>
        <w:rPr>
          <w:b/>
          <w:bCs/>
          <w:sz w:val="21"/>
          <w:szCs w:val="21"/>
        </w:rPr>
      </w:pPr>
    </w:p>
    <w:p w:rsidR="000C3559" w:rsidRPr="000C3559" w:rsidRDefault="000C3559" w:rsidP="000C3559">
      <w:pPr>
        <w:rPr>
          <w:b/>
          <w:bCs/>
          <w:sz w:val="21"/>
          <w:szCs w:val="21"/>
        </w:rPr>
      </w:pPr>
      <w:r w:rsidRPr="000C3559">
        <w:rPr>
          <w:b/>
          <w:bCs/>
          <w:sz w:val="21"/>
          <w:szCs w:val="21"/>
        </w:rPr>
        <w:t>Competitiveness</w:t>
      </w:r>
    </w:p>
    <w:p w:rsidR="000C3559" w:rsidRDefault="000C3559" w:rsidP="000C3559">
      <w:pPr>
        <w:rPr>
          <w:sz w:val="21"/>
          <w:szCs w:val="21"/>
        </w:rPr>
      </w:pPr>
      <w:r w:rsidRPr="000C3559">
        <w:rPr>
          <w:i/>
          <w:sz w:val="21"/>
          <w:szCs w:val="21"/>
        </w:rPr>
        <w:t>Adient</w:t>
      </w:r>
      <w:r w:rsidRPr="000C3559">
        <w:rPr>
          <w:sz w:val="21"/>
          <w:szCs w:val="21"/>
        </w:rPr>
        <w:t xml:space="preserve"> et </w:t>
      </w:r>
      <w:r w:rsidRPr="000C3559">
        <w:rPr>
          <w:i/>
          <w:sz w:val="21"/>
          <w:szCs w:val="21"/>
        </w:rPr>
        <w:t>Nexen</w:t>
      </w:r>
      <w:r w:rsidRPr="000C3559">
        <w:rPr>
          <w:sz w:val="21"/>
          <w:szCs w:val="21"/>
        </w:rPr>
        <w:t xml:space="preserve"> sont récompensés pour leurs performances exceptionnelles en matière d’économies (commerciales, process, solutions techniques, logistiques) et leurs propositions au titre de l’année 2020 d’un portefeuille de réductions des coûts en ligne avec les objectifs de Stellantis.</w:t>
      </w:r>
    </w:p>
    <w:p w:rsidR="000C3559" w:rsidRPr="000C3559" w:rsidRDefault="000C3559" w:rsidP="000C3559">
      <w:pPr>
        <w:rPr>
          <w:sz w:val="21"/>
          <w:szCs w:val="21"/>
        </w:rPr>
      </w:pPr>
    </w:p>
    <w:p w:rsidR="000C3559" w:rsidRPr="000C3559" w:rsidRDefault="000C3559" w:rsidP="000C3559">
      <w:pPr>
        <w:rPr>
          <w:b/>
          <w:bCs/>
          <w:sz w:val="21"/>
          <w:szCs w:val="21"/>
        </w:rPr>
      </w:pPr>
      <w:r w:rsidRPr="000C3559">
        <w:rPr>
          <w:b/>
          <w:bCs/>
          <w:sz w:val="21"/>
          <w:szCs w:val="21"/>
        </w:rPr>
        <w:t>Program Management</w:t>
      </w:r>
    </w:p>
    <w:p w:rsidR="000C3559" w:rsidRDefault="000C3559" w:rsidP="000C3559">
      <w:pPr>
        <w:rPr>
          <w:sz w:val="21"/>
          <w:szCs w:val="21"/>
        </w:rPr>
      </w:pPr>
      <w:r w:rsidRPr="000C3559">
        <w:rPr>
          <w:i/>
          <w:sz w:val="21"/>
          <w:szCs w:val="21"/>
        </w:rPr>
        <w:t>Brose</w:t>
      </w:r>
      <w:r w:rsidRPr="000C3559">
        <w:rPr>
          <w:sz w:val="21"/>
          <w:szCs w:val="21"/>
        </w:rPr>
        <w:t xml:space="preserve"> et </w:t>
      </w:r>
      <w:r w:rsidRPr="000C3559">
        <w:rPr>
          <w:i/>
          <w:sz w:val="21"/>
          <w:szCs w:val="21"/>
        </w:rPr>
        <w:t>Steep Plastiques</w:t>
      </w:r>
      <w:r w:rsidRPr="000C3559">
        <w:rPr>
          <w:sz w:val="21"/>
          <w:szCs w:val="21"/>
        </w:rPr>
        <w:t xml:space="preserve"> sont récompensés pour leurs performances relatives à la qualité des livrables, au respect du planning, à la maîtrise de la dérive des coûts, au management de projet, à la réussite des lancements et à leur expertise technique.</w:t>
      </w:r>
    </w:p>
    <w:p w:rsidR="000C3559" w:rsidRPr="000C3559" w:rsidRDefault="000C3559" w:rsidP="000C3559">
      <w:pPr>
        <w:rPr>
          <w:sz w:val="21"/>
          <w:szCs w:val="21"/>
        </w:rPr>
      </w:pPr>
    </w:p>
    <w:p w:rsidR="000C3559" w:rsidRPr="000C3559" w:rsidRDefault="000C3559" w:rsidP="000C3559">
      <w:pPr>
        <w:rPr>
          <w:b/>
          <w:bCs/>
          <w:sz w:val="21"/>
          <w:szCs w:val="21"/>
        </w:rPr>
      </w:pPr>
      <w:r w:rsidRPr="000C3559">
        <w:rPr>
          <w:b/>
          <w:bCs/>
          <w:sz w:val="21"/>
          <w:szCs w:val="21"/>
        </w:rPr>
        <w:t>Innovation</w:t>
      </w:r>
    </w:p>
    <w:p w:rsidR="000C3559" w:rsidRPr="000C3559" w:rsidRDefault="000C3559" w:rsidP="000C3559">
      <w:pPr>
        <w:rPr>
          <w:sz w:val="21"/>
          <w:szCs w:val="21"/>
        </w:rPr>
      </w:pPr>
      <w:r w:rsidRPr="000C3559">
        <w:rPr>
          <w:i/>
          <w:sz w:val="21"/>
          <w:szCs w:val="21"/>
        </w:rPr>
        <w:t>Batemo</w:t>
      </w:r>
      <w:r w:rsidRPr="000C3559">
        <w:rPr>
          <w:sz w:val="21"/>
          <w:szCs w:val="21"/>
        </w:rPr>
        <w:t xml:space="preserve"> et </w:t>
      </w:r>
      <w:r w:rsidRPr="000C3559">
        <w:rPr>
          <w:i/>
          <w:sz w:val="21"/>
          <w:szCs w:val="21"/>
        </w:rPr>
        <w:t>Mitsubishi Chemical Advanced Materials</w:t>
      </w:r>
      <w:r w:rsidRPr="000C3559">
        <w:rPr>
          <w:sz w:val="21"/>
          <w:szCs w:val="21"/>
        </w:rPr>
        <w:t xml:space="preserve"> </w:t>
      </w:r>
      <w:r w:rsidRPr="000C3559">
        <w:rPr>
          <w:bCs/>
          <w:sz w:val="21"/>
          <w:szCs w:val="21"/>
        </w:rPr>
        <w:t xml:space="preserve">sont </w:t>
      </w:r>
      <w:r w:rsidRPr="000C3559">
        <w:rPr>
          <w:sz w:val="21"/>
          <w:szCs w:val="21"/>
        </w:rPr>
        <w:t>récompensés pour leurs capacités à proposer des solutions techniques en rupture et de nouveaux services créateurs de valeur.</w:t>
      </w:r>
    </w:p>
    <w:p w:rsidR="000C3559" w:rsidRPr="000C3559" w:rsidRDefault="000C3559" w:rsidP="000C3559">
      <w:pPr>
        <w:rPr>
          <w:sz w:val="21"/>
          <w:szCs w:val="21"/>
        </w:rPr>
      </w:pPr>
    </w:p>
    <w:p w:rsidR="000C3559" w:rsidRPr="000C3559" w:rsidRDefault="000C3559" w:rsidP="000C3559">
      <w:pPr>
        <w:rPr>
          <w:b/>
          <w:bCs/>
          <w:sz w:val="21"/>
          <w:szCs w:val="21"/>
        </w:rPr>
      </w:pPr>
    </w:p>
    <w:p w:rsidR="000C3559" w:rsidRPr="000C3559" w:rsidRDefault="000C3559" w:rsidP="000C3559">
      <w:pPr>
        <w:rPr>
          <w:b/>
          <w:bCs/>
          <w:sz w:val="21"/>
          <w:szCs w:val="21"/>
        </w:rPr>
      </w:pPr>
      <w:r w:rsidRPr="000C3559">
        <w:rPr>
          <w:b/>
          <w:bCs/>
          <w:sz w:val="21"/>
          <w:szCs w:val="21"/>
        </w:rPr>
        <w:t>Indirect services</w:t>
      </w:r>
    </w:p>
    <w:p w:rsidR="000C3559" w:rsidRDefault="000C3559" w:rsidP="000C3559">
      <w:pPr>
        <w:rPr>
          <w:sz w:val="21"/>
          <w:szCs w:val="21"/>
        </w:rPr>
      </w:pPr>
      <w:r w:rsidRPr="000C3559">
        <w:rPr>
          <w:i/>
          <w:sz w:val="21"/>
          <w:szCs w:val="21"/>
        </w:rPr>
        <w:t>Total Energies</w:t>
      </w:r>
      <w:r w:rsidRPr="000C3559">
        <w:rPr>
          <w:sz w:val="21"/>
          <w:szCs w:val="21"/>
        </w:rPr>
        <w:t xml:space="preserve"> est récompensé </w:t>
      </w:r>
      <w:r w:rsidRPr="000C3559">
        <w:rPr>
          <w:bCs/>
          <w:sz w:val="21"/>
          <w:szCs w:val="21"/>
        </w:rPr>
        <w:t>pour ses</w:t>
      </w:r>
      <w:r w:rsidRPr="000C3559">
        <w:rPr>
          <w:sz w:val="21"/>
          <w:szCs w:val="21"/>
        </w:rPr>
        <w:t xml:space="preserve"> performances en termes de service et de qualité, de coût, de tenue des délais et de réactivité.</w:t>
      </w:r>
      <w:r>
        <w:rPr>
          <w:sz w:val="21"/>
          <w:szCs w:val="21"/>
        </w:rPr>
        <w:br w:type="page"/>
      </w:r>
    </w:p>
    <w:p w:rsidR="000C3559" w:rsidRPr="000C3559" w:rsidRDefault="000C3559" w:rsidP="000C3559">
      <w:pPr>
        <w:rPr>
          <w:sz w:val="21"/>
          <w:szCs w:val="21"/>
        </w:rPr>
      </w:pPr>
    </w:p>
    <w:p w:rsidR="000C3559" w:rsidRPr="000C3559" w:rsidRDefault="000C3559" w:rsidP="000C3559">
      <w:pPr>
        <w:rPr>
          <w:b/>
          <w:bCs/>
          <w:sz w:val="21"/>
          <w:szCs w:val="21"/>
        </w:rPr>
      </w:pPr>
      <w:r w:rsidRPr="000C3559">
        <w:rPr>
          <w:b/>
          <w:bCs/>
          <w:sz w:val="21"/>
          <w:szCs w:val="21"/>
        </w:rPr>
        <w:t>Corporate Social Responsability</w:t>
      </w:r>
    </w:p>
    <w:p w:rsidR="000C3559" w:rsidRPr="000C3559" w:rsidRDefault="000C3559" w:rsidP="000C3559">
      <w:pPr>
        <w:rPr>
          <w:sz w:val="21"/>
          <w:szCs w:val="21"/>
        </w:rPr>
      </w:pPr>
      <w:r w:rsidRPr="000C3559">
        <w:rPr>
          <w:bCs/>
          <w:i/>
          <w:sz w:val="21"/>
          <w:szCs w:val="21"/>
        </w:rPr>
        <w:t xml:space="preserve">Valéo </w:t>
      </w:r>
      <w:r w:rsidRPr="000C3559">
        <w:rPr>
          <w:bCs/>
          <w:sz w:val="21"/>
          <w:szCs w:val="21"/>
        </w:rPr>
        <w:t>est</w:t>
      </w:r>
      <w:r w:rsidRPr="000C3559">
        <w:rPr>
          <w:sz w:val="21"/>
          <w:szCs w:val="21"/>
        </w:rPr>
        <w:t xml:space="preserve"> récompensé pour ses performances en matière environnementale, sociale et éthique ainsi que pour la maîtrise de sa chaîne de sous-traitance. La performance est évaluée par un prestataire mandaté par Stellantis sur la base d’un questionnaire, reprenant les exigences internationales en matière de Développement Durable.</w:t>
      </w:r>
    </w:p>
    <w:p w:rsidR="000C3559" w:rsidRPr="000C3559" w:rsidRDefault="000C3559" w:rsidP="000C3559">
      <w:pPr>
        <w:rPr>
          <w:sz w:val="21"/>
          <w:szCs w:val="21"/>
        </w:rPr>
      </w:pPr>
    </w:p>
    <w:p w:rsidR="000C3559" w:rsidRPr="000C3559" w:rsidRDefault="000C3559" w:rsidP="000C3559">
      <w:pPr>
        <w:rPr>
          <w:b/>
          <w:bCs/>
          <w:sz w:val="21"/>
          <w:szCs w:val="21"/>
        </w:rPr>
      </w:pPr>
      <w:r w:rsidRPr="000C3559">
        <w:rPr>
          <w:b/>
          <w:bCs/>
          <w:sz w:val="21"/>
          <w:szCs w:val="21"/>
        </w:rPr>
        <w:t>Capex</w:t>
      </w:r>
    </w:p>
    <w:p w:rsidR="000C3559" w:rsidRPr="000C3559" w:rsidRDefault="000C3559" w:rsidP="000C3559">
      <w:pPr>
        <w:rPr>
          <w:sz w:val="21"/>
          <w:szCs w:val="21"/>
        </w:rPr>
      </w:pPr>
      <w:r w:rsidRPr="000C3559">
        <w:rPr>
          <w:i/>
          <w:sz w:val="21"/>
          <w:szCs w:val="21"/>
        </w:rPr>
        <w:t xml:space="preserve">Kuka </w:t>
      </w:r>
      <w:r w:rsidRPr="000C3559">
        <w:rPr>
          <w:sz w:val="21"/>
          <w:szCs w:val="21"/>
        </w:rPr>
        <w:t>est récompensé en tant que fournisseur de biens d'équipements ayant su démontrer son expertise en proposant et développant pour Stellantis du matériel de production de haute technicité en assurant sa mise en œuvre sur nos sites avec une très grande rigueur d'exécution.</w:t>
      </w:r>
    </w:p>
    <w:p w:rsidR="000C3559" w:rsidRPr="000C3559" w:rsidRDefault="000C3559" w:rsidP="000C3559">
      <w:pPr>
        <w:rPr>
          <w:sz w:val="21"/>
          <w:szCs w:val="21"/>
        </w:rPr>
      </w:pPr>
    </w:p>
    <w:p w:rsidR="000C3559" w:rsidRPr="000C3559" w:rsidRDefault="000C3559" w:rsidP="000C3559">
      <w:pPr>
        <w:rPr>
          <w:b/>
          <w:bCs/>
          <w:sz w:val="21"/>
          <w:szCs w:val="21"/>
        </w:rPr>
      </w:pPr>
      <w:r w:rsidRPr="000C3559">
        <w:rPr>
          <w:b/>
          <w:bCs/>
          <w:sz w:val="21"/>
          <w:szCs w:val="21"/>
        </w:rPr>
        <w:t>Supply Chain</w:t>
      </w:r>
    </w:p>
    <w:p w:rsidR="000C3559" w:rsidRPr="000C3559" w:rsidRDefault="000C3559" w:rsidP="000C3559">
      <w:pPr>
        <w:rPr>
          <w:sz w:val="21"/>
          <w:szCs w:val="21"/>
        </w:rPr>
      </w:pPr>
      <w:r w:rsidRPr="000C3559">
        <w:rPr>
          <w:i/>
          <w:sz w:val="21"/>
          <w:szCs w:val="21"/>
        </w:rPr>
        <w:t>Alps Alpine</w:t>
      </w:r>
      <w:r w:rsidRPr="000C3559">
        <w:rPr>
          <w:sz w:val="21"/>
          <w:szCs w:val="21"/>
        </w:rPr>
        <w:t xml:space="preserve"> est récompensé pour l'excellence de ses performances en matière de livraison de nos besoins. Il se distingue par une maîtrise continue du capacitaire de l’outil de production ainsi que par la régularité et la fiabilité dans l'exécution des programmes de fabrication et de livraison. Ainsi, par son taux de service élevé, </w:t>
      </w:r>
      <w:r w:rsidRPr="000C3559">
        <w:rPr>
          <w:i/>
          <w:sz w:val="21"/>
          <w:szCs w:val="21"/>
        </w:rPr>
        <w:t>Alps Alpine</w:t>
      </w:r>
      <w:r w:rsidRPr="000C3559">
        <w:rPr>
          <w:sz w:val="21"/>
          <w:szCs w:val="21"/>
        </w:rPr>
        <w:t xml:space="preserve"> permet aux sites de production de Stellantis d'opérer dans les meilleures conditions </w:t>
      </w:r>
    </w:p>
    <w:p w:rsidR="003E2C46" w:rsidRDefault="003E2C46" w:rsidP="003E2C46">
      <w:pPr>
        <w:spacing w:after="360" w:line="288" w:lineRule="auto"/>
        <w:jc w:val="left"/>
        <w:rPr>
          <w:rFonts w:ascii="Encode Sans SemiBold" w:hAnsi="Encode Sans SemiBold"/>
          <w:i/>
          <w:color w:val="243782" w:themeColor="text2"/>
          <w:sz w:val="20"/>
          <w:szCs w:val="20"/>
        </w:rPr>
      </w:pPr>
    </w:p>
    <w:p w:rsidR="003E2C46" w:rsidRPr="00D56439" w:rsidRDefault="003E2C46" w:rsidP="003E2C46">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t>À propos de Stellantis</w:t>
      </w:r>
    </w:p>
    <w:p w:rsidR="003E2C46" w:rsidRPr="00D56439" w:rsidRDefault="00921D23" w:rsidP="003E2C46">
      <w:pPr>
        <w:rPr>
          <w:rFonts w:ascii="Encode Sans ExpandedLight" w:hAnsi="Encode Sans ExpandedLight"/>
          <w:i/>
          <w:sz w:val="18"/>
          <w:szCs w:val="20"/>
        </w:rPr>
      </w:pPr>
      <w:hyperlink r:id="rId8" w:history="1">
        <w:r w:rsidR="003E2C46" w:rsidRPr="00D56439">
          <w:rPr>
            <w:rStyle w:val="Lienhypertexte"/>
            <w:rFonts w:ascii="Encode Sans SemiBold" w:hAnsi="Encode Sans SemiBold"/>
            <w:i/>
            <w:sz w:val="18"/>
            <w:szCs w:val="20"/>
          </w:rPr>
          <w:t>Stellantis</w:t>
        </w:r>
      </w:hyperlink>
      <w:r w:rsidR="003E2C46" w:rsidRPr="00D56439">
        <w:rPr>
          <w:rFonts w:ascii="Encode Sans SemiBold" w:hAnsi="Encode Sans SemiBold"/>
          <w:i/>
          <w:sz w:val="18"/>
          <w:szCs w:val="20"/>
        </w:rPr>
        <w:t xml:space="preserve"> </w:t>
      </w:r>
      <w:r w:rsidR="003E2C46"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p w:rsidR="003E2C46" w:rsidRPr="0078134D" w:rsidRDefault="003E2C46" w:rsidP="003E2C46">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0C3559">
        <w:tc>
          <w:tcPr>
            <w:tcW w:w="2023"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84064270" r:id="rId10"/>
              </w:object>
            </w:r>
            <w:hyperlink r:id="rId11" w:history="1">
              <w:r w:rsidRPr="00D64B4E">
                <w:rPr>
                  <w:rStyle w:val="Lienhypertexte"/>
                  <w:rFonts w:ascii="Encode Sans ExpandedLight" w:eastAsia="Calibri" w:hAnsi="Encode Sans ExpandedLight" w:cs="Times New Roman"/>
                  <w:sz w:val="20"/>
                </w:rPr>
                <w:t>@Stellantis</w:t>
              </w:r>
            </w:hyperlink>
          </w:p>
        </w:tc>
        <w:tc>
          <w:tcPr>
            <w:tcW w:w="1967"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5pt;height:21.5pt" o:ole="">
                  <v:imagedata r:id="rId12" o:title=""/>
                </v:shape>
                <o:OLEObject Type="Embed" ProgID="PBrush" ShapeID="_x0000_i1026" DrawAspect="Content" ObjectID="_1684064271" r:id="rId13"/>
              </w:object>
            </w:r>
            <w:hyperlink r:id="rId14"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5" o:title=""/>
                </v:shape>
                <o:OLEObject Type="Embed" ProgID="PBrush" ShapeID="_x0000_i1027" DrawAspect="Content" ObjectID="_1684064272" r:id="rId16"/>
              </w:object>
            </w:r>
            <w:hyperlink r:id="rId17"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pt;height:23pt" o:ole="">
                  <v:imagedata r:id="rId18" o:title=""/>
                </v:shape>
                <o:OLEObject Type="Embed" ProgID="PBrush" ShapeID="_x0000_i1028" DrawAspect="Content" ObjectID="_1684064273" r:id="rId19"/>
              </w:object>
            </w:r>
            <w:hyperlink r:id="rId20" w:history="1">
              <w:r w:rsidRPr="00D64B4E">
                <w:rPr>
                  <w:rStyle w:val="Lienhypertexte"/>
                  <w:rFonts w:ascii="Encode Sans ExpandedLight" w:eastAsia="Calibri" w:hAnsi="Encode Sans ExpandedLight" w:cs="Times New Roman"/>
                  <w:sz w:val="20"/>
                </w:rPr>
                <w:t>Stellantis</w:t>
              </w:r>
            </w:hyperlink>
          </w:p>
        </w:tc>
      </w:tr>
    </w:tbl>
    <w:p w:rsidR="000C3559" w:rsidRDefault="000C3559">
      <w:pPr>
        <w:jc w:val="left"/>
        <w:rPr>
          <w:lang w:val="en-GB"/>
        </w:rPr>
      </w:pPr>
    </w:p>
    <w:p w:rsidR="000C3559" w:rsidRDefault="000C3559">
      <w:pPr>
        <w:jc w:val="left"/>
        <w:rPr>
          <w:lang w:val="en-GB"/>
        </w:rPr>
      </w:pPr>
    </w:p>
    <w:tbl>
      <w:tblPr>
        <w:tblStyle w:val="Grilledutableau"/>
        <w:tblpPr w:leftFromText="141" w:rightFromText="141" w:vertAnchor="text" w:horzAnchor="margin"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0C3559" w:rsidRPr="000C3559" w:rsidTr="005B7398">
        <w:trPr>
          <w:trHeight w:val="1276"/>
        </w:trPr>
        <w:tc>
          <w:tcPr>
            <w:tcW w:w="7936" w:type="dxa"/>
          </w:tcPr>
          <w:p w:rsidR="000C3559" w:rsidRPr="00863AE2" w:rsidRDefault="000C3559" w:rsidP="005B7398">
            <w:pPr>
              <w:spacing w:after="360" w:line="288" w:lineRule="auto"/>
              <w:jc w:val="left"/>
              <w:rPr>
                <w:color w:val="243782" w:themeColor="text2"/>
                <w:sz w:val="20"/>
                <w:szCs w:val="20"/>
              </w:rPr>
            </w:pPr>
            <w:r>
              <w:rPr>
                <w:noProof/>
                <w:color w:val="243782" w:themeColor="text2"/>
                <w:sz w:val="20"/>
                <w:szCs w:val="20"/>
                <w:lang w:eastAsia="fr-FR"/>
              </w:rPr>
              <mc:AlternateContent>
                <mc:Choice Requires="wps">
                  <w:drawing>
                    <wp:inline distT="0" distB="0" distL="0" distR="0" wp14:anchorId="112348BD" wp14:editId="11AA3B67">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0815E2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0C3559" w:rsidRPr="006F46A8" w:rsidRDefault="000C3559" w:rsidP="005B7398">
            <w:pPr>
              <w:spacing w:after="120" w:line="288" w:lineRule="auto"/>
              <w:jc w:val="left"/>
              <w:rPr>
                <w:b/>
                <w:color w:val="243782" w:themeColor="text2"/>
                <w:sz w:val="20"/>
                <w:szCs w:val="20"/>
              </w:rPr>
            </w:pPr>
            <w:r w:rsidRPr="006F46A8">
              <w:rPr>
                <w:b/>
                <w:color w:val="243782" w:themeColor="text2"/>
                <w:sz w:val="20"/>
                <w:szCs w:val="20"/>
              </w:rPr>
              <w:t>Pour plus d’informations, merci de contacter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0C3559" w:rsidRPr="006648DB" w:rsidTr="005B7398">
              <w:trPr>
                <w:trHeight w:val="307"/>
              </w:trPr>
              <w:tc>
                <w:tcPr>
                  <w:tcW w:w="8647" w:type="dxa"/>
                </w:tcPr>
                <w:p w:rsidR="000C3559" w:rsidRPr="006F46A8" w:rsidRDefault="000C3559" w:rsidP="00921D23">
                  <w:pPr>
                    <w:framePr w:hSpace="141" w:wrap="around" w:vAnchor="text" w:hAnchor="margin" w:y="287"/>
                    <w:spacing w:after="120" w:line="288" w:lineRule="auto"/>
                    <w:jc w:val="left"/>
                    <w:rPr>
                      <w:rStyle w:val="Textedelespacerserv"/>
                      <w:rFonts w:ascii="Encode Sans SemiBold" w:hAnsi="Encode Sans SemiBold"/>
                      <w:color w:val="243782" w:themeColor="text2"/>
                      <w:sz w:val="10"/>
                      <w:szCs w:val="20"/>
                    </w:rPr>
                  </w:pPr>
                </w:p>
              </w:tc>
            </w:tr>
            <w:tr w:rsidR="000C3559" w:rsidRPr="000C3559" w:rsidTr="005B7398">
              <w:trPr>
                <w:trHeight w:val="71"/>
              </w:trPr>
              <w:tc>
                <w:tcPr>
                  <w:tcW w:w="8647" w:type="dxa"/>
                </w:tcPr>
                <w:tbl>
                  <w:tblPr>
                    <w:tblStyle w:val="Grilledutableau"/>
                    <w:tblW w:w="17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8647"/>
                  </w:tblGrid>
                  <w:tr w:rsidR="000C3559" w:rsidRPr="00422F65" w:rsidTr="005B7398">
                    <w:trPr>
                      <w:trHeight w:val="571"/>
                    </w:trPr>
                    <w:tc>
                      <w:tcPr>
                        <w:tcW w:w="8647" w:type="dxa"/>
                      </w:tcPr>
                      <w:p w:rsidR="000C3559" w:rsidRPr="00DF07E8" w:rsidRDefault="000C3559" w:rsidP="00921D23">
                        <w:pPr>
                          <w:framePr w:hSpace="141" w:wrap="around" w:vAnchor="text" w:hAnchor="margin" w:y="287"/>
                          <w:rPr>
                            <w:rStyle w:val="Textedelespacerserv"/>
                            <w:rFonts w:ascii="Encode Sans SemiBold" w:hAnsi="Encode Sans SemiBold"/>
                            <w:color w:val="243782" w:themeColor="text2"/>
                            <w:sz w:val="20"/>
                            <w:szCs w:val="20"/>
                            <w:lang w:val="it-IT"/>
                          </w:rPr>
                        </w:pPr>
                        <w:r>
                          <w:rPr>
                            <w:rStyle w:val="Textedelespacerserv"/>
                            <w:rFonts w:ascii="Encode Sans SemiBold" w:hAnsi="Encode Sans SemiBold"/>
                            <w:color w:val="243782" w:themeColor="text2"/>
                            <w:sz w:val="20"/>
                            <w:szCs w:val="20"/>
                            <w:lang w:val="it-IT"/>
                          </w:rPr>
                          <w:t>Frédéric BART</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06</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32</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13</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78</w:t>
                        </w:r>
                        <w:r>
                          <w:rPr>
                            <w:rStyle w:val="Textedelespacerserv"/>
                            <w:rFonts w:ascii="Encode Sans ExpandedLight" w:hAnsi="Encode Sans ExpandedLight"/>
                            <w:color w:val="243782" w:themeColor="text2"/>
                            <w:sz w:val="20"/>
                            <w:szCs w:val="20"/>
                            <w:lang w:val="it-IT"/>
                          </w:rPr>
                          <w:t xml:space="preserve"> </w:t>
                        </w:r>
                        <w:r w:rsidRPr="000C3559">
                          <w:rPr>
                            <w:rStyle w:val="Textedelespacerserv"/>
                            <w:rFonts w:ascii="Encode Sans ExpandedLight" w:hAnsi="Encode Sans ExpandedLight"/>
                            <w:color w:val="243782" w:themeColor="text2"/>
                            <w:sz w:val="20"/>
                            <w:szCs w:val="20"/>
                            <w:lang w:val="it-IT"/>
                          </w:rPr>
                          <w:t>80</w:t>
                        </w:r>
                        <w:r>
                          <w:rPr>
                            <w:rStyle w:val="Textedelespacerserv"/>
                            <w:rFonts w:ascii="Encode Sans ExpandedLight" w:hAnsi="Encode Sans ExpandedLight"/>
                            <w:color w:val="243782" w:themeColor="text2"/>
                            <w:sz w:val="20"/>
                            <w:szCs w:val="20"/>
                            <w:lang w:val="it-IT"/>
                          </w:rPr>
                          <w:t xml:space="preserve">– </w:t>
                        </w:r>
                        <w:r w:rsidRPr="000C3559">
                          <w:rPr>
                            <w:rFonts w:ascii="Encode Sans ExpandedLight" w:hAnsi="Encode Sans ExpandedLight"/>
                            <w:color w:val="243782" w:themeColor="text2"/>
                            <w:sz w:val="20"/>
                            <w:szCs w:val="20"/>
                            <w:lang w:val="it-IT"/>
                          </w:rPr>
                          <w:t>frederic.bart@stellantis.com</w:t>
                        </w:r>
                      </w:p>
                    </w:tc>
                    <w:tc>
                      <w:tcPr>
                        <w:tcW w:w="8647" w:type="dxa"/>
                      </w:tcPr>
                      <w:p w:rsidR="000C3559" w:rsidRPr="00DF07E8" w:rsidRDefault="000C3559" w:rsidP="00921D23">
                        <w:pPr>
                          <w:framePr w:hSpace="141" w:wrap="around" w:vAnchor="text" w:hAnchor="margin" w:y="287"/>
                          <w:rPr>
                            <w:rStyle w:val="Textedelespacerserv"/>
                            <w:rFonts w:ascii="Encode Sans SemiBold" w:hAnsi="Encode Sans SemiBold"/>
                            <w:color w:val="243782" w:themeColor="text2"/>
                            <w:sz w:val="20"/>
                            <w:szCs w:val="20"/>
                            <w:lang w:val="it-IT"/>
                          </w:rPr>
                        </w:pPr>
                        <w:r w:rsidRPr="00DF07E8">
                          <w:rPr>
                            <w:rStyle w:val="Textedelespacerserv"/>
                            <w:rFonts w:ascii="Encode Sans SemiBold" w:hAnsi="Encode Sans SemiBold"/>
                            <w:color w:val="243782" w:themeColor="text2"/>
                            <w:sz w:val="20"/>
                            <w:szCs w:val="20"/>
                            <w:lang w:val="it-IT"/>
                          </w:rPr>
                          <w:t>Claudio D’AMICO</w:t>
                        </w:r>
                        <w:r w:rsidRPr="00DF07E8">
                          <w:rPr>
                            <w:rStyle w:val="Textedelespacerserv"/>
                            <w:rFonts w:ascii="Encode Sans ExpandedLight" w:hAnsi="Encode Sans ExpandedLight"/>
                            <w:color w:val="243782" w:themeColor="text2"/>
                            <w:sz w:val="20"/>
                            <w:szCs w:val="20"/>
                            <w:lang w:val="it-IT"/>
                          </w:rPr>
                          <w:t xml:space="preserve">: +39 334 7107828 - </w:t>
                        </w:r>
                        <w:hyperlink r:id="rId21" w:history="1">
                          <w:r w:rsidRPr="00DF07E8">
                            <w:rPr>
                              <w:rStyle w:val="Lienhypertexte"/>
                              <w:rFonts w:ascii="Encode Sans ExpandedLight" w:hAnsi="Encode Sans ExpandedLight"/>
                              <w:sz w:val="20"/>
                              <w:szCs w:val="20"/>
                              <w:lang w:val="it-IT"/>
                            </w:rPr>
                            <w:t>claudio.damico@stellantis.com</w:t>
                          </w:r>
                        </w:hyperlink>
                      </w:p>
                    </w:tc>
                  </w:tr>
                  <w:tr w:rsidR="000C3559" w:rsidRPr="006648DB" w:rsidTr="005B7398">
                    <w:trPr>
                      <w:trHeight w:val="602"/>
                    </w:trPr>
                    <w:tc>
                      <w:tcPr>
                        <w:tcW w:w="8647" w:type="dxa"/>
                      </w:tcPr>
                      <w:p w:rsidR="000C3559" w:rsidRDefault="00921D23" w:rsidP="00921D23">
                        <w:pPr>
                          <w:framePr w:hSpace="141" w:wrap="around" w:vAnchor="text" w:hAnchor="margin" w:y="287"/>
                          <w:rPr>
                            <w:rFonts w:ascii="Encode Sans ExpandedLight" w:hAnsi="Encode Sans ExpandedLight"/>
                            <w:color w:val="243782" w:themeColor="text2"/>
                            <w:sz w:val="20"/>
                            <w:szCs w:val="20"/>
                          </w:rPr>
                        </w:pPr>
                        <w:hyperlink r:id="rId22" w:history="1">
                          <w:r w:rsidR="000C3559" w:rsidRPr="003651D8">
                            <w:rPr>
                              <w:rStyle w:val="Lienhypertexte"/>
                              <w:rFonts w:ascii="Encode Sans ExpandedLight" w:hAnsi="Encode Sans ExpandedLight"/>
                              <w:sz w:val="20"/>
                              <w:szCs w:val="20"/>
                            </w:rPr>
                            <w:t>www.stellantis.com</w:t>
                          </w:r>
                        </w:hyperlink>
                      </w:p>
                      <w:p w:rsidR="000C3559" w:rsidRPr="006F46A8" w:rsidRDefault="000C3559" w:rsidP="00921D23">
                        <w:pPr>
                          <w:framePr w:hSpace="141" w:wrap="around" w:vAnchor="text" w:hAnchor="margin" w:y="287"/>
                          <w:spacing w:after="120"/>
                          <w:jc w:val="left"/>
                          <w:rPr>
                            <w:rFonts w:ascii="Encode Sans SemiBold" w:hAnsi="Encode Sans SemiBold"/>
                            <w:color w:val="243782" w:themeColor="text2"/>
                            <w:sz w:val="20"/>
                            <w:szCs w:val="20"/>
                          </w:rPr>
                        </w:pPr>
                      </w:p>
                    </w:tc>
                    <w:tc>
                      <w:tcPr>
                        <w:tcW w:w="8647" w:type="dxa"/>
                      </w:tcPr>
                      <w:p w:rsidR="000C3559" w:rsidRPr="006F46A8" w:rsidRDefault="000C3559" w:rsidP="00921D23">
                        <w:pPr>
                          <w:framePr w:hSpace="141" w:wrap="around" w:vAnchor="text" w:hAnchor="margin" w:y="287"/>
                          <w:spacing w:after="120"/>
                          <w:jc w:val="left"/>
                          <w:rPr>
                            <w:rStyle w:val="Textedelespacerserv"/>
                            <w:rFonts w:ascii="Encode Sans ExpandedLight" w:hAnsi="Encode Sans ExpandedLight"/>
                            <w:b/>
                            <w:color w:val="243782" w:themeColor="text2"/>
                            <w:sz w:val="20"/>
                            <w:szCs w:val="20"/>
                          </w:rPr>
                        </w:pPr>
                        <w:r w:rsidRPr="006F46A8">
                          <w:rPr>
                            <w:rFonts w:ascii="Encode Sans SemiBold" w:hAnsi="Encode Sans SemiBold"/>
                            <w:color w:val="243782" w:themeColor="text2"/>
                            <w:sz w:val="20"/>
                            <w:szCs w:val="20"/>
                          </w:rPr>
                          <w:t>Karine DOUET:</w:t>
                        </w:r>
                        <w:r w:rsidRPr="006F46A8">
                          <w:rPr>
                            <w:rFonts w:ascii="Encode Sans ExpandedLight" w:hAnsi="Encode Sans ExpandedLight"/>
                            <w:b/>
                            <w:color w:val="243782" w:themeColor="text2"/>
                            <w:sz w:val="20"/>
                            <w:szCs w:val="20"/>
                          </w:rPr>
                          <w:t xml:space="preserve"> </w:t>
                        </w:r>
                        <w:r w:rsidRPr="006F46A8">
                          <w:rPr>
                            <w:rFonts w:ascii="Encode Sans ExpandedLight" w:hAnsi="Encode Sans ExpandedLight"/>
                            <w:color w:val="243782" w:themeColor="text2"/>
                            <w:sz w:val="20"/>
                            <w:szCs w:val="20"/>
                          </w:rPr>
                          <w:t xml:space="preserve">+33 6 61 64 03 83 - </w:t>
                        </w:r>
                        <w:hyperlink r:id="rId23" w:history="1">
                          <w:r w:rsidRPr="006F46A8">
                            <w:rPr>
                              <w:rFonts w:ascii="Encode Sans ExpandedLight" w:hAnsi="Encode Sans ExpandedLight"/>
                              <w:color w:val="243782" w:themeColor="text2"/>
                              <w:sz w:val="20"/>
                              <w:szCs w:val="20"/>
                            </w:rPr>
                            <w:t>karine.douet@stellantis.com</w:t>
                          </w:r>
                        </w:hyperlink>
                      </w:p>
                    </w:tc>
                  </w:tr>
                </w:tbl>
                <w:p w:rsidR="000C3559" w:rsidRPr="00F520BC" w:rsidRDefault="000C3559" w:rsidP="00921D23">
                  <w:pPr>
                    <w:framePr w:hSpace="141" w:wrap="around" w:vAnchor="text" w:hAnchor="margin" w:y="287"/>
                    <w:rPr>
                      <w:rStyle w:val="Textedelespacerserv"/>
                      <w:rFonts w:ascii="Encode Sans ExpandedLight" w:hAnsi="Encode Sans ExpandedLight"/>
                      <w:color w:val="243782" w:themeColor="text2"/>
                      <w:sz w:val="20"/>
                      <w:szCs w:val="20"/>
                    </w:rPr>
                  </w:pPr>
                </w:p>
              </w:tc>
            </w:tr>
          </w:tbl>
          <w:p w:rsidR="000C3559" w:rsidRPr="00F520BC" w:rsidRDefault="000C3559" w:rsidP="005B7398">
            <w:pPr>
              <w:spacing w:line="288" w:lineRule="auto"/>
              <w:jc w:val="left"/>
              <w:rPr>
                <w:color w:val="243782" w:themeColor="text2"/>
                <w:sz w:val="20"/>
                <w:szCs w:val="20"/>
              </w:rPr>
            </w:pPr>
          </w:p>
        </w:tc>
      </w:tr>
    </w:tbl>
    <w:p w:rsidR="00A33E8D" w:rsidRPr="009C3063" w:rsidRDefault="00A33E8D" w:rsidP="000C3559">
      <w:pPr>
        <w:jc w:val="left"/>
        <w:rPr>
          <w:sz w:val="18"/>
        </w:rPr>
      </w:pPr>
    </w:p>
    <w:sectPr w:rsidR="00A33E8D" w:rsidRPr="009C3063" w:rsidSect="0002070C">
      <w:footerReference w:type="default" r:id="rId24"/>
      <w:headerReference w:type="first" r:id="rId25"/>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8A" w:rsidRDefault="000A128A" w:rsidP="0002070C">
      <w:r>
        <w:separator/>
      </w:r>
    </w:p>
  </w:endnote>
  <w:endnote w:type="continuationSeparator" w:id="0">
    <w:p w:rsidR="000A128A" w:rsidRDefault="000A128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17BEBF3-5AD1-4CCE-AFA7-A82675BA982F}"/>
    <w:embedBold r:id="rId2" w:fontKey="{3F810DB8-C598-40E5-9A73-5E92575ED625}"/>
    <w:embedItalic r:id="rId3" w:fontKey="{D12A968C-3330-4ACD-A6E6-A0A28C5072DC}"/>
  </w:font>
  <w:font w:name="Encode Sans ExpandedSemiBold">
    <w:panose1 w:val="00000000000000000000"/>
    <w:charset w:val="00"/>
    <w:family w:val="auto"/>
    <w:pitch w:val="variable"/>
    <w:sig w:usb0="A00000FF" w:usb1="4000207B" w:usb2="00000000" w:usb3="00000000" w:csb0="00000193" w:csb1="00000000"/>
    <w:embedRegular r:id="rId4" w:fontKey="{B6FB42A6-836D-419E-8EE0-10D6D9D3B968}"/>
    <w:embedItalic r:id="rId5" w:fontKey="{68D5F330-D1B6-43D7-89C3-793840A8962C}"/>
  </w:font>
  <w:font w:name="Encode Sans SemiBold">
    <w:panose1 w:val="00000000000000000000"/>
    <w:charset w:val="00"/>
    <w:family w:val="auto"/>
    <w:pitch w:val="variable"/>
    <w:sig w:usb0="A00000FF" w:usb1="4000207B" w:usb2="00000000" w:usb3="00000000" w:csb0="00000193" w:csb1="00000000"/>
    <w:embedRegular r:id="rId6" w:subsetted="1" w:fontKey="{8112C793-3739-4445-99C5-889BBCA91B63}"/>
    <w:embedItalic r:id="rId7" w:subsetted="1" w:fontKey="{F231B0FA-9A5F-4E6B-92C3-AB88BBE07785}"/>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921D23">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8A" w:rsidRDefault="000A128A" w:rsidP="0002070C">
      <w:r>
        <w:separator/>
      </w:r>
    </w:p>
  </w:footnote>
  <w:footnote w:type="continuationSeparator" w:id="0">
    <w:p w:rsidR="000A128A" w:rsidRDefault="000A128A"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635EFF"/>
    <w:multiLevelType w:val="hybridMultilevel"/>
    <w:tmpl w:val="65B65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59"/>
    <w:rsid w:val="00000BC0"/>
    <w:rsid w:val="0002070C"/>
    <w:rsid w:val="0002217B"/>
    <w:rsid w:val="00024492"/>
    <w:rsid w:val="00025506"/>
    <w:rsid w:val="00085213"/>
    <w:rsid w:val="00087566"/>
    <w:rsid w:val="00087FF0"/>
    <w:rsid w:val="000A128A"/>
    <w:rsid w:val="000C18FF"/>
    <w:rsid w:val="000C3559"/>
    <w:rsid w:val="00190445"/>
    <w:rsid w:val="001B4263"/>
    <w:rsid w:val="001B591C"/>
    <w:rsid w:val="001E3A5D"/>
    <w:rsid w:val="001E7847"/>
    <w:rsid w:val="00220B6B"/>
    <w:rsid w:val="002836DD"/>
    <w:rsid w:val="00293E0C"/>
    <w:rsid w:val="00297094"/>
    <w:rsid w:val="002C508D"/>
    <w:rsid w:val="002F18EC"/>
    <w:rsid w:val="0036017D"/>
    <w:rsid w:val="003864AD"/>
    <w:rsid w:val="003A6735"/>
    <w:rsid w:val="003E2C46"/>
    <w:rsid w:val="003E68CC"/>
    <w:rsid w:val="00400B91"/>
    <w:rsid w:val="004022B4"/>
    <w:rsid w:val="00411411"/>
    <w:rsid w:val="00425677"/>
    <w:rsid w:val="00433EDD"/>
    <w:rsid w:val="004345F9"/>
    <w:rsid w:val="0044219E"/>
    <w:rsid w:val="0045216F"/>
    <w:rsid w:val="004A2B09"/>
    <w:rsid w:val="004B5BE7"/>
    <w:rsid w:val="004D61EA"/>
    <w:rsid w:val="005134DA"/>
    <w:rsid w:val="00515C12"/>
    <w:rsid w:val="00537DB3"/>
    <w:rsid w:val="00544345"/>
    <w:rsid w:val="005708BD"/>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3D5A"/>
    <w:rsid w:val="00715647"/>
    <w:rsid w:val="00716893"/>
    <w:rsid w:val="00730F85"/>
    <w:rsid w:val="00736170"/>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21D23"/>
    <w:rsid w:val="00992BE1"/>
    <w:rsid w:val="009968C5"/>
    <w:rsid w:val="009A23AB"/>
    <w:rsid w:val="009C3063"/>
    <w:rsid w:val="009D180E"/>
    <w:rsid w:val="009D2071"/>
    <w:rsid w:val="009F2D88"/>
    <w:rsid w:val="00A14F62"/>
    <w:rsid w:val="00A33E8D"/>
    <w:rsid w:val="00A36A20"/>
    <w:rsid w:val="00A51B6A"/>
    <w:rsid w:val="00A71966"/>
    <w:rsid w:val="00A75948"/>
    <w:rsid w:val="00A87390"/>
    <w:rsid w:val="00AE0E14"/>
    <w:rsid w:val="00AF4CE0"/>
    <w:rsid w:val="00B02391"/>
    <w:rsid w:val="00B32F4C"/>
    <w:rsid w:val="00B64F18"/>
    <w:rsid w:val="00B92FB1"/>
    <w:rsid w:val="00BC5305"/>
    <w:rsid w:val="00BD2ADB"/>
    <w:rsid w:val="00BE6DB5"/>
    <w:rsid w:val="00C10E75"/>
    <w:rsid w:val="00C21B90"/>
    <w:rsid w:val="00C31F14"/>
    <w:rsid w:val="00C508B7"/>
    <w:rsid w:val="00C60A64"/>
    <w:rsid w:val="00C63CC0"/>
    <w:rsid w:val="00CA3356"/>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613A1"/>
    <w:rsid w:val="00E91808"/>
    <w:rsid w:val="00EE1EDD"/>
    <w:rsid w:val="00F520BC"/>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57270C"/>
  <w15:chartTrackingRefBased/>
  <w15:docId w15:val="{B775BF1B-E914-4A1C-9D3B-41CE85CA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auNormal"/>
    <w:next w:val="Grilledutableau"/>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7817">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laudio.damico@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karine.douet@stellantis.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http://www.stellantis.com"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60355552A44AA9415A0192F930735"/>
        <w:category>
          <w:name w:val="Général"/>
          <w:gallery w:val="placeholder"/>
        </w:category>
        <w:types>
          <w:type w:val="bbPlcHdr"/>
        </w:types>
        <w:behaviors>
          <w:behavior w:val="content"/>
        </w:behaviors>
        <w:guid w:val="{626233B7-7DCA-4EB5-AE06-C26B7E327DAD}"/>
      </w:docPartPr>
      <w:docPartBody>
        <w:p w:rsidR="003F7422" w:rsidRDefault="00024D02">
          <w:pPr>
            <w:pStyle w:val="C1560355552A44AA9415A0192F930735"/>
          </w:pPr>
          <w:r w:rsidRPr="0086416D">
            <w:rPr>
              <w:rStyle w:val="Textedelespacerserv"/>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22"/>
    <w:rsid w:val="00024D02"/>
    <w:rsid w:val="003F7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1560355552A44AA9415A0192F930735">
    <w:name w:val="C1560355552A44AA9415A0192F930735"/>
  </w:style>
  <w:style w:type="paragraph" w:customStyle="1" w:styleId="78C94C9EBCE744668271183FF2C35632">
    <w:name w:val="78C94C9EBCE744668271183FF2C35632"/>
  </w:style>
  <w:style w:type="paragraph" w:customStyle="1" w:styleId="9E1F72AA621440748C44D4F3FB2AD203">
    <w:name w:val="9E1F72AA621440748C44D4F3FB2AD203"/>
  </w:style>
  <w:style w:type="paragraph" w:customStyle="1" w:styleId="24FA2AA0DC1C4491A5C1D88854A5935D">
    <w:name w:val="24FA2AA0DC1C4491A5C1D88854A5935D"/>
  </w:style>
  <w:style w:type="paragraph" w:customStyle="1" w:styleId="58868A79E8DE415B91D50822BFB3D202">
    <w:name w:val="58868A79E8DE415B91D50822BFB3D202"/>
  </w:style>
  <w:style w:type="paragraph" w:customStyle="1" w:styleId="9F50FB1B90424055BF96E840F4DF70B7">
    <w:name w:val="9F50FB1B90424055BF96E840F4DF70B7"/>
  </w:style>
  <w:style w:type="paragraph" w:customStyle="1" w:styleId="5CF7078715CF41E79B5BFC8C3FDA99EA">
    <w:name w:val="5CF7078715CF41E79B5BFC8C3FDA99EA"/>
  </w:style>
  <w:style w:type="paragraph" w:customStyle="1" w:styleId="16B8438E0DB54587A19DD9D1371F8F1D">
    <w:name w:val="16B8438E0DB54587A19DD9D1371F8F1D"/>
  </w:style>
  <w:style w:type="paragraph" w:customStyle="1" w:styleId="954E94B79350429984A2B480C019469E">
    <w:name w:val="954E94B79350429984A2B480C0194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8B3C-B84B-45CF-BF7E-B9FE3E53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2021mmjj_CP_Stellantis_Communiqué_de_Presse_A4_VF.dotx</Template>
  <TotalTime>4</TotalTime>
  <Pages>2</Pages>
  <Words>700</Words>
  <Characters>3854</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ERIKA LOUIS-ROY - C065872</cp:lastModifiedBy>
  <cp:revision>2</cp:revision>
  <cp:lastPrinted>2021-01-20T13:02:00Z</cp:lastPrinted>
  <dcterms:created xsi:type="dcterms:W3CDTF">2021-06-01T12:51:00Z</dcterms:created>
  <dcterms:modified xsi:type="dcterms:W3CDTF">2021-06-01T12:51:00Z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