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31885" w14:textId="77777777" w:rsidR="00B23950" w:rsidRPr="00692010" w:rsidRDefault="00B23950" w:rsidP="00170B11">
      <w:pPr>
        <w:contextualSpacing/>
      </w:pPr>
    </w:p>
    <w:p w14:paraId="04D0529A" w14:textId="77777777" w:rsidR="003174C2" w:rsidRPr="00692010" w:rsidRDefault="003174C2" w:rsidP="00170B11">
      <w:pPr>
        <w:contextualSpacing/>
      </w:pPr>
    </w:p>
    <w:p w14:paraId="46FD9ED5" w14:textId="77777777" w:rsidR="003174C2" w:rsidRPr="00692010" w:rsidRDefault="003174C2" w:rsidP="00170B11">
      <w:pPr>
        <w:contextualSpacing/>
      </w:pPr>
    </w:p>
    <w:p w14:paraId="0AC336C3" w14:textId="77777777" w:rsidR="003174C2" w:rsidRPr="00692010" w:rsidRDefault="003174C2" w:rsidP="00170B11">
      <w:pPr>
        <w:contextualSpacing/>
      </w:pPr>
    </w:p>
    <w:p w14:paraId="7E188119" w14:textId="77777777" w:rsidR="003174C2" w:rsidRPr="00692010" w:rsidRDefault="003174C2" w:rsidP="00170B11">
      <w:pPr>
        <w:contextualSpacing/>
      </w:pPr>
    </w:p>
    <w:p w14:paraId="0D1D8702" w14:textId="77777777" w:rsidR="003174C2" w:rsidRPr="00692010" w:rsidRDefault="003174C2" w:rsidP="00170B11">
      <w:pPr>
        <w:contextualSpacing/>
      </w:pPr>
    </w:p>
    <w:p w14:paraId="40D112FF" w14:textId="77777777" w:rsidR="003174C2" w:rsidRPr="00692010" w:rsidRDefault="003174C2" w:rsidP="00170B11">
      <w:pPr>
        <w:contextualSpacing/>
      </w:pPr>
    </w:p>
    <w:p w14:paraId="2FD28E1D" w14:textId="77777777" w:rsidR="00FF4898" w:rsidRPr="00692010" w:rsidRDefault="00FF4898" w:rsidP="00170B11">
      <w:pPr>
        <w:contextualSpacing/>
      </w:pPr>
    </w:p>
    <w:p w14:paraId="3BA2C155" w14:textId="77777777" w:rsidR="00B44A0F" w:rsidRPr="00692010" w:rsidRDefault="00B44A0F" w:rsidP="00170B11">
      <w:pPr>
        <w:contextualSpacing/>
      </w:pPr>
    </w:p>
    <w:p w14:paraId="6DDFA8B3" w14:textId="77777777" w:rsidR="00B44A0F" w:rsidRPr="00692010" w:rsidRDefault="00B44A0F" w:rsidP="00170B11">
      <w:pPr>
        <w:contextualSpacing/>
      </w:pPr>
    </w:p>
    <w:p w14:paraId="3857DE87" w14:textId="77777777" w:rsidR="00B44A0F" w:rsidRPr="00692010" w:rsidRDefault="00B44A0F" w:rsidP="00170B11">
      <w:pPr>
        <w:contextualSpacing/>
      </w:pPr>
    </w:p>
    <w:p w14:paraId="1E00B27E" w14:textId="77777777" w:rsidR="00B44A0F" w:rsidRPr="00692010" w:rsidRDefault="00B44A0F" w:rsidP="00170B11">
      <w:pPr>
        <w:contextualSpacing/>
      </w:pPr>
    </w:p>
    <w:p w14:paraId="082FCE92" w14:textId="77777777" w:rsidR="00B44A0F" w:rsidRPr="00692010" w:rsidRDefault="00B44A0F" w:rsidP="00B44A0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TotalEnergies rinnova la partnership globale con Peugeot, Citroën, DS Automobiles e la estende a Opel e Vauxhall </w:t>
      </w:r>
    </w:p>
    <w:p w14:paraId="2D145B4E" w14:textId="77777777" w:rsidR="00B44A0F" w:rsidRPr="00692010" w:rsidRDefault="00B44A0F" w:rsidP="00B44A0F">
      <w:pPr>
        <w:contextualSpacing/>
        <w:jc w:val="center"/>
        <w:rPr>
          <w:rFonts w:ascii="Arial" w:hAnsi="Arial" w:cs="Arial"/>
          <w:b/>
        </w:rPr>
      </w:pPr>
    </w:p>
    <w:p w14:paraId="00FF95E2" w14:textId="77777777" w:rsidR="00B44A0F" w:rsidRPr="00692010" w:rsidRDefault="00B44A0F" w:rsidP="00B44A0F">
      <w:pPr>
        <w:contextualSpacing/>
        <w:jc w:val="center"/>
        <w:rPr>
          <w:rFonts w:ascii="Arial" w:hAnsi="Arial" w:cs="Arial"/>
          <w:b/>
        </w:rPr>
      </w:pPr>
    </w:p>
    <w:p w14:paraId="6825AAB5" w14:textId="41020588" w:rsidR="00B44A0F" w:rsidRPr="00692010" w:rsidRDefault="00E9429D" w:rsidP="00B44A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Parigi, 22</w:t>
      </w:r>
      <w:r w:rsidR="00B44A0F">
        <w:rPr>
          <w:rFonts w:ascii="Arial" w:hAnsi="Arial"/>
          <w:b/>
          <w:sz w:val="22"/>
          <w:szCs w:val="22"/>
        </w:rPr>
        <w:t xml:space="preserve"> giugno 2021 </w:t>
      </w:r>
      <w:r w:rsidR="00B44A0F">
        <w:rPr>
          <w:rFonts w:ascii="Arial" w:hAnsi="Arial"/>
          <w:sz w:val="22"/>
          <w:szCs w:val="22"/>
        </w:rPr>
        <w:t>-</w:t>
      </w:r>
      <w:r w:rsidR="00B44A0F">
        <w:rPr>
          <w:rFonts w:ascii="Arial" w:hAnsi="Arial"/>
          <w:b/>
          <w:sz w:val="22"/>
          <w:szCs w:val="22"/>
        </w:rPr>
        <w:t xml:space="preserve"> </w:t>
      </w:r>
      <w:r w:rsidR="00B44A0F">
        <w:rPr>
          <w:rFonts w:ascii="Arial" w:hAnsi="Arial"/>
          <w:bCs/>
          <w:sz w:val="22"/>
          <w:szCs w:val="22"/>
        </w:rPr>
        <w:t>TotalEnergies e Stellantis annunciano il rinnovo per i prossimi cinque anni della loro partnership per i marchi Peugeot, Citroën e DS Automobiles</w:t>
      </w:r>
      <w:r w:rsidR="00B44A0F">
        <w:rPr>
          <w:rFonts w:ascii="Arial" w:hAnsi="Arial"/>
          <w:sz w:val="22"/>
          <w:szCs w:val="22"/>
        </w:rPr>
        <w:t xml:space="preserve">. I due Gruppi aprono inoltre un nuovo capitolo estendendo l’accordo a </w:t>
      </w:r>
      <w:bookmarkStart w:id="1" w:name="_Hlk64903585"/>
      <w:r w:rsidR="00B44A0F">
        <w:rPr>
          <w:rFonts w:ascii="Arial" w:hAnsi="Arial"/>
          <w:sz w:val="22"/>
          <w:szCs w:val="22"/>
        </w:rPr>
        <w:t>Opel e Vauxhall</w:t>
      </w:r>
      <w:bookmarkEnd w:id="1"/>
      <w:r w:rsidR="00B44A0F">
        <w:rPr>
          <w:rFonts w:ascii="Arial" w:hAnsi="Arial"/>
          <w:sz w:val="22"/>
          <w:szCs w:val="22"/>
        </w:rPr>
        <w:t>. Gli accordi di cooperazione globale coprono ora cinque aree fondamentali:</w:t>
      </w:r>
    </w:p>
    <w:p w14:paraId="0812D706" w14:textId="77777777" w:rsidR="00B44A0F" w:rsidRPr="00692010" w:rsidRDefault="00B44A0F" w:rsidP="00B44A0F">
      <w:pPr>
        <w:ind w:firstLine="60"/>
        <w:contextualSpacing/>
        <w:rPr>
          <w:rFonts w:ascii="Arial" w:hAnsi="Arial" w:cs="Arial"/>
          <w:sz w:val="22"/>
          <w:szCs w:val="22"/>
        </w:rPr>
      </w:pPr>
    </w:p>
    <w:p w14:paraId="55CFA405" w14:textId="38D81A5D" w:rsidR="00B44A0F" w:rsidRPr="00692010" w:rsidRDefault="00B44A0F" w:rsidP="00B44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>Maggiore collaborazione nel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settore Ricerca e Sviluppo</w:t>
      </w:r>
      <w:r>
        <w:rPr>
          <w:rFonts w:ascii="Arial" w:hAnsi="Arial"/>
        </w:rPr>
        <w:t>, con l’individuazione di obiettivi comuni in termini di sviluppo sostenibile e innovazione, in particolare per quanto concerne nuove forme di mobilità, carburanti a basso contenuto di carbonio e di origine biologica, lubrificanti e fluidi ottimizzati specificamente per i nuovi motori elettrificati e i loro componenti, incluse le batterie.</w:t>
      </w:r>
    </w:p>
    <w:p w14:paraId="19D43F6B" w14:textId="77777777" w:rsidR="00B44A0F" w:rsidRPr="00692010" w:rsidRDefault="00B44A0F" w:rsidP="00B44A0F">
      <w:pPr>
        <w:contextualSpacing/>
        <w:rPr>
          <w:rFonts w:ascii="Arial" w:hAnsi="Arial" w:cs="Arial"/>
          <w:sz w:val="22"/>
          <w:szCs w:val="22"/>
        </w:rPr>
      </w:pPr>
    </w:p>
    <w:p w14:paraId="7E91990D" w14:textId="405D2241" w:rsidR="00B44A0F" w:rsidRPr="00684B91" w:rsidRDefault="00B45A26" w:rsidP="00B44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>Lubrificanti di primo riempimento</w:t>
      </w:r>
      <w:r>
        <w:rPr>
          <w:rFonts w:ascii="Arial" w:hAnsi="Arial"/>
        </w:rPr>
        <w:t>, con la fornitura da parte di TotalEnergies di lubrificanti per i veicoli prodotti negli stabilimenti dei cinque marchi del Gruppo Stellantis, in tutto il mondo.</w:t>
      </w:r>
    </w:p>
    <w:p w14:paraId="32A975DE" w14:textId="77777777" w:rsidR="00B44A0F" w:rsidRPr="00692010" w:rsidRDefault="00B44A0F" w:rsidP="00B44A0F">
      <w:pPr>
        <w:contextualSpacing/>
        <w:rPr>
          <w:rFonts w:ascii="Arial" w:hAnsi="Arial" w:cs="Arial"/>
          <w:sz w:val="22"/>
          <w:szCs w:val="22"/>
        </w:rPr>
      </w:pPr>
    </w:p>
    <w:p w14:paraId="2A1BA017" w14:textId="66B182CD" w:rsidR="00B44A0F" w:rsidRPr="00692010" w:rsidRDefault="00B44A0F" w:rsidP="00B44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>Raccomandazione esclusiva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dei lubrificanti Quartz</w:t>
      </w:r>
      <w:r>
        <w:rPr>
          <w:rFonts w:ascii="Arial" w:hAnsi="Arial"/>
        </w:rPr>
        <w:t xml:space="preserve"> nelle reti aftersales e nelle officine dei marchi Peugeot, Citroën, DS Automobiles, Opel e Vauxhall. I tecnici delle officine autorizzate avranno a disposizione gli olii motore high-tech di TotalEnergies, specificamente sviluppati per i motori dei veicoli dei cinque marchi menzionati per garantire alte prestazioni, affidabilità e consumi ridotti.</w:t>
      </w:r>
    </w:p>
    <w:p w14:paraId="00D94F0D" w14:textId="77777777" w:rsidR="00B44A0F" w:rsidRPr="00692010" w:rsidRDefault="00B44A0F" w:rsidP="00B44A0F">
      <w:pPr>
        <w:contextualSpacing/>
        <w:rPr>
          <w:rFonts w:ascii="Arial" w:hAnsi="Arial" w:cs="Arial"/>
          <w:sz w:val="22"/>
          <w:szCs w:val="22"/>
        </w:rPr>
      </w:pPr>
    </w:p>
    <w:p w14:paraId="2BBA5E25" w14:textId="77777777" w:rsidR="00B44A0F" w:rsidRPr="00692010" w:rsidRDefault="00B44A0F" w:rsidP="00B44A0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Competizioni automobilistiche, </w:t>
      </w:r>
      <w:r>
        <w:rPr>
          <w:rFonts w:ascii="Arial" w:hAnsi="Arial"/>
        </w:rPr>
        <w:t xml:space="preserve">con la cooperazione in ambito tecnico e sportivo concentrata esclusivamente sui vari programmi di elettrificazione e ibridizzazione messi a punto dai marchi: </w:t>
      </w:r>
    </w:p>
    <w:p w14:paraId="27BA82AB" w14:textId="77777777" w:rsidR="00B44A0F" w:rsidRPr="00692010" w:rsidRDefault="00B44A0F" w:rsidP="00B44A0F">
      <w:pPr>
        <w:pStyle w:val="ListParagraph"/>
        <w:rPr>
          <w:rFonts w:ascii="Arial" w:hAnsi="Arial" w:cs="Arial"/>
        </w:rPr>
      </w:pPr>
    </w:p>
    <w:p w14:paraId="39339534" w14:textId="77777777" w:rsidR="00B44A0F" w:rsidRPr="00692010" w:rsidRDefault="00B44A0F" w:rsidP="00B44A0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Ritorno di Peugeot alla 24 Ore di Le Mans e nel Campionato del mondo endurance FIA nella categoria Hypercar riservata ai prototipi ibridi, con la progettazione delle batterie in collaborazione tra Peugeot Sport e TotalEnergies, attraverso la controllata SAFT, e lo sviluppo di fluidi specifici.</w:t>
      </w:r>
    </w:p>
    <w:p w14:paraId="0AEFBB21" w14:textId="77777777" w:rsidR="00B44A0F" w:rsidRPr="00692010" w:rsidRDefault="00B44A0F" w:rsidP="00B44A0F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29EAAADF" w14:textId="2133853B" w:rsidR="00B44A0F" w:rsidRPr="00692010" w:rsidRDefault="00B44A0F" w:rsidP="00B44A0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Supporto continuo al team DS-TECHEETAH, detentore del titolo, nel Campionato del mondo di Formula E ABB FIA, competizione riservata alle monoposto elettriche, con lo sviluppo della gamma di fluidi Quartz EV.</w:t>
      </w:r>
    </w:p>
    <w:p w14:paraId="2AA9E43C" w14:textId="77777777" w:rsidR="00B44A0F" w:rsidRPr="00692010" w:rsidRDefault="00B44A0F" w:rsidP="00B44A0F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52A5A69D" w14:textId="77777777" w:rsidR="00B44A0F" w:rsidRPr="00692010" w:rsidRDefault="00B44A0F" w:rsidP="00B44A0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Una nuova partnership con Opel Motorsport con il lancio della Opel Corsa-e Rally Cup, la prima coppa del mondo di rally riservata alle auto elettriche.</w:t>
      </w:r>
    </w:p>
    <w:p w14:paraId="37F5C68D" w14:textId="77777777" w:rsidR="00B44A0F" w:rsidRPr="00692010" w:rsidRDefault="00B44A0F" w:rsidP="00B44A0F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6ACEF02D" w14:textId="18E47CFC" w:rsidR="00B44A0F" w:rsidRPr="00692010" w:rsidRDefault="00B44A0F" w:rsidP="00B44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Mobilità</w:t>
      </w:r>
      <w:r>
        <w:rPr>
          <w:rFonts w:ascii="Arial" w:hAnsi="Arial"/>
        </w:rPr>
        <w:t xml:space="preserve"> e </w:t>
      </w:r>
      <w:r>
        <w:rPr>
          <w:rFonts w:ascii="Arial" w:hAnsi="Arial"/>
          <w:b/>
          <w:bCs/>
        </w:rPr>
        <w:t>ricarica dei veicoli elettrici</w:t>
      </w:r>
      <w:r>
        <w:rPr>
          <w:rFonts w:ascii="Arial" w:hAnsi="Arial"/>
        </w:rPr>
        <w:t xml:space="preserve"> rappresentano un nuovo aspetto di questa partnership. Free2Move, il Mobility Brand di Stellantis, si servirà dalla rete di stazioni di ricarica di TotalEnergies per la sua attività di car sharing a Parigi. Inoltre, sono allo studio altre proposte in tema di semplificazione della mobilità elettrica.</w:t>
      </w:r>
    </w:p>
    <w:p w14:paraId="1FE0F033" w14:textId="77777777" w:rsidR="00B44A0F" w:rsidRPr="00692010" w:rsidRDefault="00B44A0F" w:rsidP="00B44A0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36BA621" w14:textId="25C51FAE" w:rsidR="00B44A0F" w:rsidRPr="00692010" w:rsidRDefault="00B44A0F" w:rsidP="00B44A0F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“Siamo orgogliosi della fiducia che il nostro partner di lunga data ha voluto rinnovarci e siamo lieti di poter estendere la collaborazione alla mobilità elettrica e alla fornitura di lubrificanti per i marchi Opel e Vauxhall” sottolinea </w:t>
      </w:r>
      <w:r>
        <w:rPr>
          <w:rFonts w:ascii="Arial" w:hAnsi="Arial"/>
          <w:b/>
          <w:bCs/>
          <w:sz w:val="22"/>
          <w:szCs w:val="22"/>
        </w:rPr>
        <w:t>Alexis Vovk, Presidente Marketing &amp; Services di TotalEnergies</w:t>
      </w:r>
      <w:r>
        <w:rPr>
          <w:rFonts w:ascii="Arial" w:hAnsi="Arial"/>
          <w:sz w:val="22"/>
          <w:szCs w:val="22"/>
        </w:rPr>
        <w:t>. “Mettendo ora più che mai il cliente al centro delle nostre strategie, questo rinnovo illustra i valori condivisi da entrambi i gruppi: spirito di squadra, prestazioni e gusto per l’innovazione. L’ampliamento della partnership dimostra inoltre il desiderio condiviso di rendere la mobilità elettrica accessibile a tutti, mettendo così la nostra esperienza al servizio dei nostri rispettivi impegni per far fronte alla sfida climatica”.</w:t>
      </w:r>
    </w:p>
    <w:p w14:paraId="23D0EC0C" w14:textId="77777777" w:rsidR="00B44A0F" w:rsidRPr="00692010" w:rsidRDefault="00B44A0F" w:rsidP="00B44A0F">
      <w:pPr>
        <w:contextualSpacing/>
        <w:rPr>
          <w:rFonts w:ascii="Arial" w:hAnsi="Arial" w:cs="Arial"/>
          <w:sz w:val="22"/>
          <w:szCs w:val="22"/>
        </w:rPr>
      </w:pPr>
    </w:p>
    <w:p w14:paraId="20FC5AB5" w14:textId="77777777" w:rsidR="00B44A0F" w:rsidRPr="00692010" w:rsidRDefault="00B44A0F" w:rsidP="00B44A0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“Siamo molto orgogliosi di rafforzare la collaborazione con TotalEnergies” ha affermato </w:t>
      </w:r>
      <w:r>
        <w:rPr>
          <w:rFonts w:ascii="Arial" w:hAnsi="Arial"/>
          <w:b/>
          <w:sz w:val="22"/>
          <w:szCs w:val="22"/>
        </w:rPr>
        <w:t>Thierry Koskas, Chief Sales and Marketing Officer di Stellantis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“Le tecnologie per i lubrificanti di ultima generazione e i risultati della collaborazione nel campo delle batterie ad alte prestazioni saranno i più importanti contributi allo sviluppo tecnologico nel nostro settore e alla mobilità del futuro, per i nostri clienti e per il settore motorsport”.</w:t>
      </w:r>
    </w:p>
    <w:p w14:paraId="0C309D23" w14:textId="77777777" w:rsidR="00B44A0F" w:rsidRPr="00692010" w:rsidRDefault="00B44A0F" w:rsidP="00B44A0F">
      <w:pPr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4008F0DA" w14:textId="77777777" w:rsidR="00D03EA7" w:rsidRPr="006C5E1D" w:rsidRDefault="00D03EA7" w:rsidP="00170B11">
      <w:pPr>
        <w:contextualSpacing/>
        <w:jc w:val="center"/>
      </w:pPr>
      <w:r>
        <w:t>____</w:t>
      </w:r>
    </w:p>
    <w:p w14:paraId="2AEEDE70" w14:textId="77777777" w:rsidR="00F81D08" w:rsidRPr="006C5E1D" w:rsidRDefault="00F81D08" w:rsidP="00170B11">
      <w:pPr>
        <w:contextualSpacing/>
        <w:rPr>
          <w:rStyle w:val="SubtleReference"/>
          <w:i w:val="0"/>
          <w:iCs w:val="0"/>
          <w:sz w:val="20"/>
          <w:szCs w:val="20"/>
        </w:rPr>
      </w:pPr>
    </w:p>
    <w:p w14:paraId="65F820B8" w14:textId="77777777" w:rsidR="00721FD9" w:rsidRPr="00721FD9" w:rsidRDefault="00721FD9" w:rsidP="00721FD9">
      <w:pPr>
        <w:contextualSpacing/>
        <w:rPr>
          <w:rStyle w:val="SubtleReference"/>
          <w:b/>
          <w:bCs/>
          <w:i w:val="0"/>
          <w:iCs w:val="0"/>
          <w:sz w:val="20"/>
          <w:szCs w:val="20"/>
        </w:rPr>
      </w:pPr>
      <w:r>
        <w:rPr>
          <w:rStyle w:val="SubtleReference"/>
          <w:b/>
          <w:bCs/>
          <w:i w:val="0"/>
          <w:iCs w:val="0"/>
          <w:sz w:val="20"/>
          <w:szCs w:val="20"/>
        </w:rPr>
        <w:t>TotalEnergies</w:t>
      </w:r>
    </w:p>
    <w:p w14:paraId="7B0C1871" w14:textId="77777777" w:rsidR="00721FD9" w:rsidRPr="00721FD9" w:rsidRDefault="00721FD9" w:rsidP="00721FD9">
      <w:pPr>
        <w:contextualSpacing/>
        <w:rPr>
          <w:rStyle w:val="SubtleReference"/>
          <w:i w:val="0"/>
          <w:iCs w:val="0"/>
          <w:sz w:val="20"/>
          <w:szCs w:val="20"/>
        </w:rPr>
      </w:pPr>
      <w:r>
        <w:rPr>
          <w:rStyle w:val="SubtleReference"/>
          <w:i w:val="0"/>
          <w:iCs w:val="0"/>
          <w:sz w:val="20"/>
          <w:szCs w:val="20"/>
        </w:rPr>
        <w:t>TotalEnergies è un'azienda multi-energetica che produce e commercializza energia su scala globale: petrolio e biocarburanti, gas naturale e gas green, energie rinnovabili ed energia elettrica. I nostri 105.000 dipendenti si impegnano per un'energia sempre più conveniente, pulita, affidabile e accessibile al maggior numero di persone possibile. Presente in oltre 130 paesi, TotalEnergies pone lo sviluppo sostenibile, in tutte le sue dimensioni, al centro dei suoi progetti e operazioni per contribuire al benessere delle popolazioni.</w:t>
      </w:r>
    </w:p>
    <w:p w14:paraId="6897364A" w14:textId="77777777" w:rsidR="00B44A0F" w:rsidRPr="00185E25" w:rsidRDefault="00B44A0F" w:rsidP="00B44A0F">
      <w:pPr>
        <w:contextualSpacing/>
      </w:pPr>
    </w:p>
    <w:p w14:paraId="666D8130" w14:textId="24740AB1" w:rsidR="00FD22A8" w:rsidRPr="002B0B19" w:rsidRDefault="00FD22A8" w:rsidP="00B44A0F">
      <w:pPr>
        <w:contextualSpacing/>
        <w:textAlignment w:val="baseline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TotalEnergies Lubrifiants</w:t>
      </w:r>
    </w:p>
    <w:p w14:paraId="61DBA75C" w14:textId="70148FB2" w:rsidR="00FD22A8" w:rsidRPr="00FD22A8" w:rsidRDefault="00FD22A8" w:rsidP="00B44A0F">
      <w:pPr>
        <w:contextualSpacing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TotalEnergies è leader mondiale nella produzione e commercializzazione di lubrificanti. Ha 42 impianti d</w:t>
      </w:r>
      <w:r w:rsidR="009C58A6">
        <w:rPr>
          <w:rFonts w:ascii="Arial" w:hAnsi="Arial"/>
          <w:color w:val="000000"/>
        </w:rPr>
        <w:t>i produzione in tutto il mondo,</w:t>
      </w:r>
      <w:r>
        <w:rPr>
          <w:rFonts w:ascii="Arial" w:hAnsi="Arial"/>
          <w:color w:val="000000"/>
        </w:rPr>
        <w:t xml:space="preserve"> oltre 5.800 dipendenti </w:t>
      </w:r>
      <w:r w:rsidR="009C58A6">
        <w:rPr>
          <w:rFonts w:ascii="Arial" w:hAnsi="Arial"/>
          <w:color w:val="000000"/>
        </w:rPr>
        <w:t>e distribuisce i propri prodotti in 150 P</w:t>
      </w:r>
      <w:r>
        <w:rPr>
          <w:rFonts w:ascii="Arial" w:hAnsi="Arial"/>
          <w:color w:val="000000"/>
        </w:rPr>
        <w:t>aesi. TotalEnergies Lubrifiants offre prodotti e servizi innovativi, efficienti e rispettosi dell'ambiente sviluppati nei suoi centri di Ricerca e Sviluppo da più di 130 ricercatori. TotalEnergies è partner di riferimento per i settori automotive, industriale e marittimo.</w:t>
      </w:r>
    </w:p>
    <w:p w14:paraId="693FF95E" w14:textId="77777777" w:rsidR="00AF13E6" w:rsidRPr="00185E25" w:rsidRDefault="00AF13E6" w:rsidP="00AF13E6">
      <w:pPr>
        <w:contextualSpacing/>
        <w:textAlignment w:val="baseline"/>
        <w:rPr>
          <w:rFonts w:ascii="Arial" w:hAnsi="Arial"/>
          <w:b/>
          <w:bCs/>
          <w:color w:val="000000"/>
        </w:rPr>
      </w:pPr>
    </w:p>
    <w:p w14:paraId="0C90FC14" w14:textId="65D2F64E" w:rsidR="00AF13E6" w:rsidRPr="0024576E" w:rsidRDefault="00AF13E6" w:rsidP="00AF13E6">
      <w:pPr>
        <w:contextualSpacing/>
        <w:textAlignment w:val="baseline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Stellantis</w:t>
      </w:r>
    </w:p>
    <w:p w14:paraId="31233514" w14:textId="77777777" w:rsidR="00AF13E6" w:rsidRDefault="00AF13E6" w:rsidP="00AF13E6">
      <w:pPr>
        <w:contextualSpacing/>
        <w:textAlignment w:val="baseline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Stellantis è una delle principali case automobilistiche al mondo. Protagonista della nuova era della mobilità, è guidata da una visione chiara: offrire libertà di movimento con soluzioni di mobilità esclusive, convenienti e affidabili.  Oltre al ricco know-how e all'ampia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Stellantis punta all’eccellenza, non alla grandezza, e si pone l’obiettivo di creare valore aggiunto per tutti gli stakeholder e le comunità in cui opera.</w:t>
      </w:r>
    </w:p>
    <w:p w14:paraId="00F2FF0F" w14:textId="77777777" w:rsidR="00B44A0F" w:rsidRPr="006C5E1D" w:rsidRDefault="00B44A0F" w:rsidP="00170B11">
      <w:pPr>
        <w:contextualSpacing/>
        <w:rPr>
          <w:rStyle w:val="SubtleReference"/>
          <w:i w:val="0"/>
          <w:iCs w:val="0"/>
          <w:sz w:val="20"/>
          <w:szCs w:val="20"/>
        </w:rPr>
      </w:pPr>
    </w:p>
    <w:p w14:paraId="2D91AD2E" w14:textId="3787D313" w:rsidR="00F81D08" w:rsidRPr="00692010" w:rsidRDefault="00F81D08" w:rsidP="00170B11">
      <w:pPr>
        <w:contextualSpacing/>
        <w:rPr>
          <w:rStyle w:val="SubtleReference"/>
          <w:b/>
          <w:bCs/>
          <w:i w:val="0"/>
          <w:iCs w:val="0"/>
          <w:sz w:val="20"/>
          <w:szCs w:val="20"/>
        </w:rPr>
      </w:pPr>
      <w:r>
        <w:rPr>
          <w:rStyle w:val="SubtleReference"/>
          <w:b/>
          <w:bCs/>
          <w:i w:val="0"/>
          <w:iCs w:val="0"/>
          <w:sz w:val="20"/>
          <w:szCs w:val="20"/>
        </w:rPr>
        <w:t>Contatti TotalEnergies</w:t>
      </w:r>
    </w:p>
    <w:p w14:paraId="48AD8AE3" w14:textId="74190E32" w:rsidR="00171BCC" w:rsidRPr="00692010" w:rsidRDefault="00F81D08" w:rsidP="00170B11">
      <w:pPr>
        <w:contextualSpacing/>
        <w:rPr>
          <w:rStyle w:val="SubtleReference"/>
          <w:i w:val="0"/>
          <w:iCs w:val="0"/>
          <w:sz w:val="20"/>
          <w:szCs w:val="20"/>
        </w:rPr>
      </w:pPr>
      <w:r>
        <w:rPr>
          <w:rStyle w:val="SubtleReference"/>
          <w:i w:val="0"/>
          <w:iCs w:val="0"/>
          <w:sz w:val="20"/>
          <w:szCs w:val="20"/>
        </w:rPr>
        <w:t>Rapporti con i media: +33 1 47 44 46 99 l presse@totalenergies.com l @TotalEnergiesPR</w:t>
      </w:r>
    </w:p>
    <w:p w14:paraId="44B603C0" w14:textId="13C45D2C" w:rsidR="00F81D08" w:rsidRDefault="00F81D08" w:rsidP="00170B11">
      <w:pPr>
        <w:contextualSpacing/>
        <w:rPr>
          <w:rStyle w:val="SubtleReference"/>
          <w:i w:val="0"/>
          <w:iCs w:val="0"/>
          <w:sz w:val="20"/>
          <w:szCs w:val="20"/>
        </w:rPr>
      </w:pPr>
      <w:r>
        <w:rPr>
          <w:rStyle w:val="SubtleReference"/>
          <w:i w:val="0"/>
          <w:iCs w:val="0"/>
          <w:sz w:val="20"/>
          <w:szCs w:val="20"/>
        </w:rPr>
        <w:t xml:space="preserve">Rapporti con gli investitori: +44 (0)207 719 7962 l ir@totalenergies.com </w:t>
      </w:r>
    </w:p>
    <w:p w14:paraId="40413E4D" w14:textId="21FFF3EE" w:rsidR="00581820" w:rsidRDefault="00581820" w:rsidP="00170B11">
      <w:pPr>
        <w:contextualSpacing/>
        <w:rPr>
          <w:rStyle w:val="SubtleReference"/>
          <w:i w:val="0"/>
          <w:iCs w:val="0"/>
          <w:sz w:val="20"/>
          <w:szCs w:val="20"/>
          <w:lang w:val="fr-FR"/>
        </w:rPr>
      </w:pPr>
    </w:p>
    <w:p w14:paraId="20B3886E" w14:textId="77777777" w:rsidR="00581820" w:rsidRPr="00692010" w:rsidRDefault="00581820" w:rsidP="00581820">
      <w:pPr>
        <w:contextualSpacing/>
        <w:rPr>
          <w:rStyle w:val="SubtleReference"/>
          <w:b/>
          <w:bCs/>
          <w:i w:val="0"/>
          <w:iCs w:val="0"/>
          <w:sz w:val="20"/>
          <w:szCs w:val="20"/>
        </w:rPr>
      </w:pPr>
      <w:r>
        <w:rPr>
          <w:rStyle w:val="SubtleReference"/>
          <w:b/>
          <w:bCs/>
          <w:i w:val="0"/>
          <w:iCs w:val="0"/>
          <w:sz w:val="20"/>
          <w:szCs w:val="20"/>
        </w:rPr>
        <w:t>Contatti Stellantis</w:t>
      </w:r>
    </w:p>
    <w:p w14:paraId="2285980A" w14:textId="1333144F" w:rsidR="00581820" w:rsidRPr="00162CE1" w:rsidRDefault="00684B91" w:rsidP="00581820">
      <w:pPr>
        <w:contextualSpacing/>
        <w:rPr>
          <w:rStyle w:val="SubtleReference"/>
          <w:i w:val="0"/>
          <w:iCs w:val="0"/>
          <w:sz w:val="20"/>
          <w:szCs w:val="20"/>
        </w:rPr>
      </w:pPr>
      <w:r>
        <w:rPr>
          <w:rStyle w:val="SubtleReference"/>
          <w:i w:val="0"/>
          <w:iCs w:val="0"/>
          <w:sz w:val="20"/>
          <w:szCs w:val="20"/>
        </w:rPr>
        <w:t xml:space="preserve">Media: Frédéric Bart: + 33 6 32 13 78 80 l frederic.bart@stellantis.com </w:t>
      </w:r>
    </w:p>
    <w:p w14:paraId="7A267452" w14:textId="77777777" w:rsidR="00581820" w:rsidRPr="00162CE1" w:rsidRDefault="00581820" w:rsidP="00581820">
      <w:pPr>
        <w:contextualSpacing/>
        <w:rPr>
          <w:rStyle w:val="SubtleReference"/>
          <w:b/>
          <w:bCs/>
          <w:i w:val="0"/>
          <w:iCs w:val="0"/>
          <w:sz w:val="20"/>
          <w:szCs w:val="20"/>
          <w:lang w:val="fr-FR"/>
        </w:rPr>
      </w:pPr>
    </w:p>
    <w:p w14:paraId="37CD6716" w14:textId="77777777" w:rsidR="00F81D08" w:rsidRPr="00692010" w:rsidRDefault="00F81D08" w:rsidP="00170B11">
      <w:pPr>
        <w:contextualSpacing/>
        <w:rPr>
          <w:rStyle w:val="SubtleReference"/>
          <w:b/>
          <w:bCs/>
          <w:i w:val="0"/>
          <w:iCs w:val="0"/>
          <w:sz w:val="20"/>
          <w:szCs w:val="20"/>
        </w:rPr>
      </w:pPr>
      <w:r>
        <w:rPr>
          <w:rStyle w:val="SubtleReference"/>
          <w:b/>
          <w:bCs/>
          <w:i w:val="0"/>
          <w:iCs w:val="0"/>
          <w:sz w:val="20"/>
          <w:szCs w:val="20"/>
        </w:rPr>
        <w:t>Avvertenza</w:t>
      </w:r>
    </w:p>
    <w:p w14:paraId="5DF89673" w14:textId="77777777" w:rsidR="00F81D08" w:rsidRPr="00692010" w:rsidRDefault="00ED5C76" w:rsidP="00170B11">
      <w:pPr>
        <w:contextualSpacing/>
        <w:rPr>
          <w:rStyle w:val="SubtleReference"/>
          <w:sz w:val="20"/>
          <w:szCs w:val="20"/>
        </w:rPr>
      </w:pPr>
      <w:r>
        <w:rPr>
          <w:i/>
          <w:iCs/>
        </w:rPr>
        <w:t>Il presente comunicato stampa è pubblicato esclusivamente a fini informativi e da esso non potrà derivare alcuna conseguenza a livello giuridico. Le entità di cui TotalEnergies SE detiene, direttamente o indirettamente, una partecipazione sono persone giuridiche distinte e autonome. TotalEnergies SE non si assume alcuna responsabilità per gli atti o le omissioni compiuti da dette società. I termini “TotalEnergies”, “Compagnia TotalEnergies” e “Compagnia” che figurano nel presente documento sono generici e sono utilizzati esclusivamente per fini pratici. Similmente, i termini “noi”, “i nostri/le nostre”, “il nostro/la nostra” possono essere utilizzati in riferimento alle consociate e ai loro collaboratori. Il presente documento può contenere informazioni e dichiarazioni previsionali basate su dati e ipotesi economiche formulate in uno specifico contesto economico, concorrenziale e regolamentare. Esse potranno rivelarsi inesatte in futuro e sono legate a fattori di rischio. Né TotalEnergies SE né alcuna delle sue consociate si assumono l’impegno o la responsabilità di fronte ai propri investitori o a qualsiasi altra parte interessata di aggiornare o revisionare, in particolare a seguito di nuove informazioni o di avvenimenti futuri, in tutto o in parte le dichiarazioni, le informazioni previsionali, le tendenze e gli obiettivi contenuti nel presente documento.</w:t>
      </w:r>
    </w:p>
    <w:sectPr w:rsidR="00F81D08" w:rsidRPr="00692010" w:rsidSect="00A51E06">
      <w:footerReference w:type="default" r:id="rId10"/>
      <w:headerReference w:type="first" r:id="rId11"/>
      <w:pgSz w:w="11906" w:h="16838"/>
      <w:pgMar w:top="851" w:right="1418" w:bottom="8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CF83" w14:textId="77777777" w:rsidR="001B6297" w:rsidRDefault="001B6297" w:rsidP="000C0E7E">
      <w:r>
        <w:separator/>
      </w:r>
    </w:p>
  </w:endnote>
  <w:endnote w:type="continuationSeparator" w:id="0">
    <w:p w14:paraId="1978A5B9" w14:textId="77777777" w:rsidR="001B6297" w:rsidRDefault="001B6297" w:rsidP="000C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EF28" w14:textId="216EBD7C" w:rsidR="00D13284" w:rsidRDefault="00D1328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68072E" wp14:editId="359E3FDD">
              <wp:simplePos x="0" y="0"/>
              <wp:positionH relativeFrom="page">
                <wp:posOffset>0</wp:posOffset>
              </wp:positionH>
              <wp:positionV relativeFrom="page">
                <wp:posOffset>10175240</wp:posOffset>
              </wp:positionV>
              <wp:extent cx="7560310" cy="325755"/>
              <wp:effectExtent l="0" t="0" r="0" b="0"/>
              <wp:wrapNone/>
              <wp:docPr id="1" name="MSIPCM288847c884cd100cebc6c5a5" descr="{&quot;HashCode&quot;:-2342209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B088BC" w14:textId="0F85E6BE" w:rsidR="00D13284" w:rsidRPr="00D13284" w:rsidRDefault="00D13284" w:rsidP="00D13284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3068072E" id="_x0000_t202" coordsize="21600,21600" o:spt="202" path="m,l,21600r21600,l21600,xe">
              <v:stroke joinstyle="miter"/>
              <v:path gradientshapeok="t" o:connecttype="rect"/>
            </v:shapetype>
            <v:shape id="MSIPCM288847c884cd100cebc6c5a5" o:spid="_x0000_s1026" type="#_x0000_t202" alt="{&quot;HashCode&quot;:-234220969,&quot;Height&quot;:841.0,&quot;Width&quot;:595.0,&quot;Placement&quot;:&quot;Footer&quot;,&quot;Index&quot;:&quot;Primary&quot;,&quot;Section&quot;:1,&quot;Top&quot;:0.0,&quot;Left&quot;:0.0}" style="position:absolute;left:0;text-align:left;margin-left:0;margin-top:801.2pt;width:595.3pt;height:25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" o:allowincell="f" filled="f" stroked="f" strokeweight=".5pt">
              <v:textbox inset="20pt,0,,0">
                <w:txbxContent>
                  <w:p w14:paraId="76B088BC" w14:textId="0F85E6BE" w:rsidR="00D13284" w:rsidRPr="00D13284" w:rsidRDefault="00D13284" w:rsidP="00D13284">
                    <w:pPr>
                      <w:jc w:val="lef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793F" w14:textId="77777777" w:rsidR="001B6297" w:rsidRDefault="001B6297" w:rsidP="000C0E7E">
      <w:r>
        <w:separator/>
      </w:r>
    </w:p>
  </w:footnote>
  <w:footnote w:type="continuationSeparator" w:id="0">
    <w:p w14:paraId="47CB0A9F" w14:textId="77777777" w:rsidR="001B6297" w:rsidRDefault="001B6297" w:rsidP="000C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4BE5" w14:textId="501AED8B" w:rsidR="00892C8F" w:rsidRDefault="00182BC8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9449E7B" wp14:editId="5F488E45">
          <wp:simplePos x="0" y="0"/>
          <wp:positionH relativeFrom="column">
            <wp:posOffset>3966845</wp:posOffset>
          </wp:positionH>
          <wp:positionV relativeFrom="paragraph">
            <wp:posOffset>1359535</wp:posOffset>
          </wp:positionV>
          <wp:extent cx="1706245" cy="217170"/>
          <wp:effectExtent l="0" t="0" r="8255" b="0"/>
          <wp:wrapNone/>
          <wp:docPr id="5" name="Imag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color w:val="1B365E"/>
        <w:lang w:val="en-US"/>
      </w:rPr>
      <w:drawing>
        <wp:anchor distT="0" distB="0" distL="114300" distR="114300" simplePos="0" relativeHeight="251662336" behindDoc="0" locked="0" layoutInCell="1" allowOverlap="1" wp14:anchorId="1BDE0CFE" wp14:editId="3417D6FF">
          <wp:simplePos x="0" y="0"/>
          <wp:positionH relativeFrom="column">
            <wp:posOffset>3700027</wp:posOffset>
          </wp:positionH>
          <wp:positionV relativeFrom="paragraph">
            <wp:posOffset>184820</wp:posOffset>
          </wp:positionV>
          <wp:extent cx="2064769" cy="600151"/>
          <wp:effectExtent l="0" t="0" r="0" b="0"/>
          <wp:wrapNone/>
          <wp:docPr id="6" name="Image 16" descr="Logo_Stellantis_Signature_RG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ellantis_Signature_RGB-0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769" cy="600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CF035B1" wp14:editId="3648B393">
          <wp:simplePos x="0" y="0"/>
          <wp:positionH relativeFrom="margin">
            <wp:posOffset>-59500</wp:posOffset>
          </wp:positionH>
          <wp:positionV relativeFrom="margin">
            <wp:posOffset>-157480</wp:posOffset>
          </wp:positionV>
          <wp:extent cx="1270635" cy="1003300"/>
          <wp:effectExtent l="0" t="0" r="5715" b="6350"/>
          <wp:wrapSquare wrapText="bothSides"/>
          <wp:docPr id="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481E"/>
    <w:multiLevelType w:val="hybridMultilevel"/>
    <w:tmpl w:val="E1C4D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F"/>
    <w:rsid w:val="00021C93"/>
    <w:rsid w:val="000348DF"/>
    <w:rsid w:val="00067392"/>
    <w:rsid w:val="00087D7D"/>
    <w:rsid w:val="000C0E7E"/>
    <w:rsid w:val="00101CD1"/>
    <w:rsid w:val="001359C5"/>
    <w:rsid w:val="001404B5"/>
    <w:rsid w:val="001420CD"/>
    <w:rsid w:val="00162CE1"/>
    <w:rsid w:val="00170B11"/>
    <w:rsid w:val="00171BCC"/>
    <w:rsid w:val="00182BC8"/>
    <w:rsid w:val="00185E25"/>
    <w:rsid w:val="001B6297"/>
    <w:rsid w:val="001C1A93"/>
    <w:rsid w:val="002004A6"/>
    <w:rsid w:val="00230D86"/>
    <w:rsid w:val="00233A75"/>
    <w:rsid w:val="0024576E"/>
    <w:rsid w:val="002B0B19"/>
    <w:rsid w:val="002B2BC9"/>
    <w:rsid w:val="003174C2"/>
    <w:rsid w:val="003235F2"/>
    <w:rsid w:val="003B761A"/>
    <w:rsid w:val="00412108"/>
    <w:rsid w:val="00416906"/>
    <w:rsid w:val="0044685E"/>
    <w:rsid w:val="0048162E"/>
    <w:rsid w:val="0048220B"/>
    <w:rsid w:val="004E6643"/>
    <w:rsid w:val="005404F3"/>
    <w:rsid w:val="00581820"/>
    <w:rsid w:val="00597B71"/>
    <w:rsid w:val="005A5487"/>
    <w:rsid w:val="005E37E8"/>
    <w:rsid w:val="00602F6B"/>
    <w:rsid w:val="006175F7"/>
    <w:rsid w:val="00684B91"/>
    <w:rsid w:val="00692010"/>
    <w:rsid w:val="006C5E1D"/>
    <w:rsid w:val="00702AA6"/>
    <w:rsid w:val="00721FD9"/>
    <w:rsid w:val="00734C6B"/>
    <w:rsid w:val="00736F16"/>
    <w:rsid w:val="007A2143"/>
    <w:rsid w:val="008431B1"/>
    <w:rsid w:val="0088147F"/>
    <w:rsid w:val="00892C8F"/>
    <w:rsid w:val="008B3586"/>
    <w:rsid w:val="008D02DA"/>
    <w:rsid w:val="00921604"/>
    <w:rsid w:val="0094389E"/>
    <w:rsid w:val="0095329B"/>
    <w:rsid w:val="00956444"/>
    <w:rsid w:val="009608C6"/>
    <w:rsid w:val="00986B00"/>
    <w:rsid w:val="009C58A6"/>
    <w:rsid w:val="00A034B1"/>
    <w:rsid w:val="00A51E06"/>
    <w:rsid w:val="00A52352"/>
    <w:rsid w:val="00AD0223"/>
    <w:rsid w:val="00AF13E6"/>
    <w:rsid w:val="00AF3DDD"/>
    <w:rsid w:val="00B23950"/>
    <w:rsid w:val="00B44A0F"/>
    <w:rsid w:val="00B45A26"/>
    <w:rsid w:val="00B579D2"/>
    <w:rsid w:val="00BC4ED2"/>
    <w:rsid w:val="00C275BD"/>
    <w:rsid w:val="00C46829"/>
    <w:rsid w:val="00CD22DE"/>
    <w:rsid w:val="00CD322C"/>
    <w:rsid w:val="00CE0976"/>
    <w:rsid w:val="00D03EA7"/>
    <w:rsid w:val="00D13284"/>
    <w:rsid w:val="00D24866"/>
    <w:rsid w:val="00D83FBB"/>
    <w:rsid w:val="00DF3D96"/>
    <w:rsid w:val="00E9429D"/>
    <w:rsid w:val="00EC50A2"/>
    <w:rsid w:val="00ED44CE"/>
    <w:rsid w:val="00ED5C76"/>
    <w:rsid w:val="00EF2A0C"/>
    <w:rsid w:val="00F0661F"/>
    <w:rsid w:val="00F37492"/>
    <w:rsid w:val="00F378F0"/>
    <w:rsid w:val="00F81D08"/>
    <w:rsid w:val="00FD22A8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DD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CC"/>
    <w:pPr>
      <w:jc w:val="both"/>
    </w:pPr>
    <w:rPr>
      <w:sz w:val="20"/>
      <w:szCs w:val="20"/>
    </w:rPr>
  </w:style>
  <w:style w:type="paragraph" w:styleId="Heading1">
    <w:name w:val="heading 1"/>
    <w:aliases w:val="Titre CP"/>
    <w:basedOn w:val="Normal"/>
    <w:next w:val="Normal"/>
    <w:link w:val="Heading1Char"/>
    <w:uiPriority w:val="9"/>
    <w:qFormat/>
    <w:rsid w:val="000C0E7E"/>
    <w:pPr>
      <w:outlineLvl w:val="0"/>
    </w:pPr>
    <w:rPr>
      <w:b/>
      <w:bCs/>
      <w:sz w:val="28"/>
      <w:szCs w:val="28"/>
    </w:rPr>
  </w:style>
  <w:style w:type="paragraph" w:styleId="Heading2">
    <w:name w:val="heading 2"/>
    <w:aliases w:val="Corps CP"/>
    <w:basedOn w:val="Normal"/>
    <w:next w:val="Normal"/>
    <w:link w:val="Heading2Char"/>
    <w:uiPriority w:val="9"/>
    <w:unhideWhenUsed/>
    <w:qFormat/>
    <w:rsid w:val="00FF4898"/>
    <w:pPr>
      <w:spacing w:before="60" w:after="60"/>
      <w:outlineLvl w:val="1"/>
    </w:pPr>
    <w:rPr>
      <w:bCs/>
    </w:rPr>
  </w:style>
  <w:style w:type="paragraph" w:styleId="Heading3">
    <w:name w:val="heading 3"/>
    <w:aliases w:val="Boiler CP"/>
    <w:basedOn w:val="Normal"/>
    <w:next w:val="Normal"/>
    <w:link w:val="Heading3Char"/>
    <w:uiPriority w:val="9"/>
    <w:unhideWhenUsed/>
    <w:qFormat/>
    <w:rsid w:val="00FF48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B71"/>
  </w:style>
  <w:style w:type="paragraph" w:styleId="Footer">
    <w:name w:val="footer"/>
    <w:basedOn w:val="Normal"/>
    <w:link w:val="FooterChar"/>
    <w:uiPriority w:val="99"/>
    <w:unhideWhenUsed/>
    <w:rsid w:val="00597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71"/>
  </w:style>
  <w:style w:type="character" w:customStyle="1" w:styleId="Heading1Char">
    <w:name w:val="Heading 1 Char"/>
    <w:aliases w:val="Titre CP Char"/>
    <w:basedOn w:val="DefaultParagraphFont"/>
    <w:link w:val="Heading1"/>
    <w:uiPriority w:val="9"/>
    <w:rsid w:val="000C0E7E"/>
    <w:rPr>
      <w:b/>
      <w:bCs/>
      <w:sz w:val="28"/>
      <w:szCs w:val="28"/>
    </w:rPr>
  </w:style>
  <w:style w:type="character" w:customStyle="1" w:styleId="Heading2Char">
    <w:name w:val="Heading 2 Char"/>
    <w:aliases w:val="Corps CP Char"/>
    <w:basedOn w:val="DefaultParagraphFont"/>
    <w:link w:val="Heading2"/>
    <w:uiPriority w:val="9"/>
    <w:rsid w:val="00FF4898"/>
    <w:rPr>
      <w:bCs/>
      <w:sz w:val="20"/>
      <w:szCs w:val="20"/>
    </w:rPr>
  </w:style>
  <w:style w:type="character" w:styleId="SubtleReference">
    <w:name w:val="Subtle Reference"/>
    <w:uiPriority w:val="31"/>
    <w:qFormat/>
    <w:rsid w:val="00F81D08"/>
    <w:rPr>
      <w:i/>
      <w:iCs/>
      <w:sz w:val="18"/>
      <w:szCs w:val="18"/>
    </w:rPr>
  </w:style>
  <w:style w:type="character" w:customStyle="1" w:styleId="Heading3Char">
    <w:name w:val="Heading 3 Char"/>
    <w:aliases w:val="Boiler CP Char"/>
    <w:basedOn w:val="DefaultParagraphFont"/>
    <w:link w:val="Heading3"/>
    <w:uiPriority w:val="9"/>
    <w:rsid w:val="00FF4898"/>
    <w:rPr>
      <w:rFonts w:asciiTheme="majorHAnsi" w:eastAsiaTheme="majorEastAsia" w:hAnsiTheme="majorHAnsi" w:cstheme="majorBidi"/>
      <w:sz w:val="18"/>
    </w:rPr>
  </w:style>
  <w:style w:type="paragraph" w:styleId="ListParagraph">
    <w:name w:val="List Paragraph"/>
    <w:basedOn w:val="Normal"/>
    <w:uiPriority w:val="34"/>
    <w:qFormat/>
    <w:rsid w:val="00B44A0F"/>
    <w:pPr>
      <w:spacing w:after="200" w:line="276" w:lineRule="auto"/>
      <w:ind w:left="720"/>
      <w:contextualSpacing/>
      <w:jc w:val="left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1BCC"/>
    <w:rPr>
      <w:color w:val="28C89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71B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2F93.4E0A12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TotalEnergies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0000"/>
      </a:accent1>
      <a:accent2>
        <a:srgbClr val="7098A7"/>
      </a:accent2>
      <a:accent3>
        <a:srgbClr val="2859FF"/>
      </a:accent3>
      <a:accent4>
        <a:srgbClr val="FFC800"/>
      </a:accent4>
      <a:accent5>
        <a:srgbClr val="95E500"/>
      </a:accent5>
      <a:accent6>
        <a:srgbClr val="009BFF"/>
      </a:accent6>
      <a:hlink>
        <a:srgbClr val="28C895"/>
      </a:hlink>
      <a:folHlink>
        <a:srgbClr val="95E5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2A4881797AD4CB1019C4CBCB36F4B" ma:contentTypeVersion="13" ma:contentTypeDescription="Crée un document." ma:contentTypeScope="" ma:versionID="195a6c57f820848ed5b9295a2c21c303">
  <xsd:schema xmlns:xsd="http://www.w3.org/2001/XMLSchema" xmlns:xs="http://www.w3.org/2001/XMLSchema" xmlns:p="http://schemas.microsoft.com/office/2006/metadata/properties" xmlns:ns3="030266d5-fc90-4941-9524-bc6ead9626c0" xmlns:ns4="61b1d279-8693-488a-8104-58824440fbfc" targetNamespace="http://schemas.microsoft.com/office/2006/metadata/properties" ma:root="true" ma:fieldsID="eadddacf59ec27239115ae91d58e4cfa" ns3:_="" ns4:_="">
    <xsd:import namespace="030266d5-fc90-4941-9524-bc6ead9626c0"/>
    <xsd:import namespace="61b1d279-8693-488a-8104-58824440f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266d5-fc90-4941-9524-bc6ead96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d279-8693-488a-8104-58824440f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BBFDB-1171-43FF-8663-4953BDF21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31B33-3805-4138-A62C-DF7903C1D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D803E-2D92-47A5-A070-A374B273C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266d5-fc90-4941-9524-bc6ead9626c0"/>
    <ds:schemaRef ds:uri="61b1d279-8693-488a-8104-58824440f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2021-06-21T19:36:00Z</dcterms:created>
  <dcterms:modified xsi:type="dcterms:W3CDTF">2021-06-22T05:32:00Z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0x01010029B2A4881797AD4CB1019C4CBCB36F4B</vt:lpwstr>
  </property>
  <property fmtid="{D5CDD505-2E9C-101B-9397-08002B2CF9AE}" pid="3" name="MSIP_Label_a4593b6e-8994-43c5-a486-e951b5f02cec_Enabled">
    <vt:lpwstr>true</vt:lpwstr>
  </property>
  <property fmtid="{D5CDD505-2E9C-101B-9397-08002B2CF9AE}" pid="4" name="MSIP_Label_a4593b6e-8994-43c5-a486-e951b5f02cec_SetDate">
    <vt:lpwstr>2021-06-07T10:02:37Z</vt:lpwstr>
  </property>
  <property fmtid="{D5CDD505-2E9C-101B-9397-08002B2CF9AE}" pid="5" name="MSIP_Label_a4593b6e-8994-43c5-a486-e951b5f02cec_Method">
    <vt:lpwstr>Privileged</vt:lpwstr>
  </property>
  <property fmtid="{D5CDD505-2E9C-101B-9397-08002B2CF9AE}" pid="6" name="MSIP_Label_a4593b6e-8994-43c5-a486-e951b5f02cec_Name">
    <vt:lpwstr>a4593b6e-8994-43c5-a486-e951b5f02cec</vt:lpwstr>
  </property>
  <property fmtid="{D5CDD505-2E9C-101B-9397-08002B2CF9AE}" pid="7" name="MSIP_Label_a4593b6e-8994-43c5-a486-e951b5f02cec_SiteId">
    <vt:lpwstr>329e91b0-e21f-48fb-a071-456717ecc28e</vt:lpwstr>
  </property>
  <property fmtid="{D5CDD505-2E9C-101B-9397-08002B2CF9AE}" pid="8" name="MSIP_Label_a4593b6e-8994-43c5-a486-e951b5f02cec_ActionId">
    <vt:lpwstr>a241373c-d0af-498e-a40f-685856a6a199</vt:lpwstr>
  </property>
  <property fmtid="{D5CDD505-2E9C-101B-9397-08002B2CF9AE}" pid="9" name="MSIP_Label_a4593b6e-8994-43c5-a486-e951b5f02cec_ContentBits">
    <vt:lpwstr>0</vt:lpwstr>
  </property>
  <property fmtid="{D5CDD505-2E9C-101B-9397-08002B2CF9AE}" pid="10" name="MSIP_Label_2fd53d93-3f4c-4b90-b511-bd6bdbb4fba9_Enabled">
    <vt:lpwstr>true</vt:lpwstr>
  </property>
  <property fmtid="{D5CDD505-2E9C-101B-9397-08002B2CF9AE}" pid="11" name="MSIP_Label_2fd53d93-3f4c-4b90-b511-bd6bdbb4fba9_SetDate">
    <vt:lpwstr>2021-06-08T17:57:45Z</vt:lpwstr>
  </property>
  <property fmtid="{D5CDD505-2E9C-101B-9397-08002B2CF9AE}" pid="12" name="MSIP_Label_2fd53d93-3f4c-4b90-b511-bd6bdbb4fba9_Method">
    <vt:lpwstr>Standard</vt:lpwstr>
  </property>
  <property fmtid="{D5CDD505-2E9C-101B-9397-08002B2CF9AE}" pid="13" name="MSIP_Label_2fd53d93-3f4c-4b90-b511-bd6bdbb4fba9_Name">
    <vt:lpwstr>2fd53d93-3f4c-4b90-b511-bd6bdbb4fba9</vt:lpwstr>
  </property>
  <property fmtid="{D5CDD505-2E9C-101B-9397-08002B2CF9AE}" pid="14" name="MSIP_Label_2fd53d93-3f4c-4b90-b511-bd6bdbb4fba9_SiteId">
    <vt:lpwstr>d852d5cd-724c-4128-8812-ffa5db3f8507</vt:lpwstr>
  </property>
  <property fmtid="{D5CDD505-2E9C-101B-9397-08002B2CF9AE}" pid="15" name="MSIP_Label_2fd53d93-3f4c-4b90-b511-bd6bdbb4fba9_ActionId">
    <vt:lpwstr>0d27e289-061a-4dc8-a055-4974e97c4bdd</vt:lpwstr>
  </property>
  <property fmtid="{D5CDD505-2E9C-101B-9397-08002B2CF9AE}" pid="16" name="MSIP_Label_2fd53d93-3f4c-4b90-b511-bd6bdbb4fba9_ContentBits">
    <vt:lpwstr>0</vt:lpwstr>
  </property>
</Properties>
</file>