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3840" w:rsidRPr="00B31E5F" w:rsidRDefault="003B2328">
      <w:pPr>
        <w:pStyle w:val="SSubject"/>
        <w:spacing w:before="0" w:after="0"/>
        <w:contextualSpacing w:val="0"/>
        <w:jc w:val="both"/>
        <w:rPr>
          <w:rFonts w:ascii="Encode Sans SemiBold" w:hAnsi="Encode Sans SemiBold"/>
          <w:bCs w:val="0"/>
          <w:noProof w:val="0"/>
          <w:szCs w:val="18"/>
        </w:rPr>
      </w:pPr>
      <w:r w:rsidRPr="00B31E5F">
        <w:rPr>
          <w:rFonts w:ascii="Encode Sans SemiBold" w:hAnsi="Encode Sans SemiBold"/>
          <w:bCs w:val="0"/>
          <w:szCs w:val="18"/>
          <w:lang w:eastAsia="it-IT"/>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59264" coordsize="354,39" path="m329,39l,39,27,,354,,329,39xe" fillcolor="#243782" stroked="f">
                <v:path arrowok="t" o:connecttype="custom" o:connectlocs="399417,64008;0,64008;32779,0;429768,0;399417,64008" o:connectangles="0,0,0,0,0"/>
                <w10:wrap anchorx="margin"/>
                <w10:anchorlock/>
              </v:shape>
            </w:pict>
          </mc:Fallback>
        </mc:AlternateContent>
      </w:r>
    </w:p>
    <w:p w:rsidR="004B3840" w:rsidRPr="00B31E5F" w:rsidRDefault="004B3840">
      <w:pPr>
        <w:pStyle w:val="OpelHeadlineArial"/>
        <w:rPr>
          <w:rFonts w:cs="Arial"/>
          <w:lang w:val="en-GB"/>
        </w:rPr>
      </w:pPr>
    </w:p>
    <w:p w:rsidR="004B3840" w:rsidRPr="00B31E5F" w:rsidRDefault="003B2328">
      <w:pPr>
        <w:pStyle w:val="SSubject"/>
        <w:spacing w:before="0" w:after="0"/>
        <w:contextualSpacing w:val="0"/>
        <w:jc w:val="both"/>
        <w:rPr>
          <w:rFonts w:ascii="Encode Sans SemiBold" w:hAnsi="Encode Sans SemiBold"/>
          <w:bCs w:val="0"/>
          <w:szCs w:val="18"/>
        </w:rPr>
      </w:pPr>
      <w:r w:rsidRPr="00B31E5F">
        <w:rPr>
          <w:rFonts w:ascii="Encode Sans SemiBold" w:hAnsi="Encode Sans SemiBold"/>
          <w:bCs w:val="0"/>
          <w:szCs w:val="18"/>
        </w:rPr>
        <w:t>Distribuzione condizionata di azioni e liquidità Faurecia approvata dagli azionisti</w:t>
      </w:r>
    </w:p>
    <w:p w:rsidR="004B3840" w:rsidRPr="00B31E5F" w:rsidRDefault="004B3840">
      <w:pPr>
        <w:rPr>
          <w:rFonts w:cs="Arial"/>
          <w:b/>
          <w:sz w:val="22"/>
        </w:rPr>
      </w:pPr>
    </w:p>
    <w:p w:rsidR="004B3840" w:rsidRPr="00B31E5F" w:rsidRDefault="006477B4">
      <w:pPr>
        <w:rPr>
          <w:rFonts w:ascii="Encode Sans ExpandedLight" w:hAnsi="Encode Sans ExpandedLight"/>
          <w:sz w:val="21"/>
          <w:szCs w:val="21"/>
        </w:rPr>
      </w:pPr>
      <w:r w:rsidRPr="00B31E5F">
        <w:rPr>
          <w:rFonts w:ascii="Encode Sans ExpandedLight" w:hAnsi="Encode Sans ExpandedLight"/>
          <w:sz w:val="21"/>
          <w:szCs w:val="21"/>
        </w:rPr>
        <w:t xml:space="preserve">Amsterdam, 8 marzo 2021 – </w:t>
      </w:r>
      <w:proofErr w:type="spellStart"/>
      <w:r w:rsidRPr="00B31E5F">
        <w:rPr>
          <w:rFonts w:ascii="Encode Sans ExpandedLight" w:hAnsi="Encode Sans ExpandedLight"/>
          <w:sz w:val="21"/>
          <w:szCs w:val="21"/>
        </w:rPr>
        <w:t>Stellantis</w:t>
      </w:r>
      <w:proofErr w:type="spellEnd"/>
      <w:r w:rsidRPr="00B31E5F">
        <w:rPr>
          <w:rFonts w:ascii="Encode Sans ExpandedLight" w:hAnsi="Encode Sans ExpandedLight"/>
          <w:sz w:val="21"/>
          <w:szCs w:val="21"/>
        </w:rPr>
        <w:t xml:space="preserve"> N.V. (NYSE / MTA / </w:t>
      </w:r>
      <w:proofErr w:type="spellStart"/>
      <w:r w:rsidRPr="00B31E5F">
        <w:rPr>
          <w:rFonts w:ascii="Encode Sans ExpandedLight" w:hAnsi="Encode Sans ExpandedLight"/>
          <w:sz w:val="21"/>
          <w:szCs w:val="21"/>
        </w:rPr>
        <w:t>Euronext</w:t>
      </w:r>
      <w:proofErr w:type="spellEnd"/>
      <w:r w:rsidRPr="00B31E5F">
        <w:rPr>
          <w:rFonts w:ascii="Encode Sans ExpandedLight" w:hAnsi="Encode Sans ExpandedLight"/>
          <w:sz w:val="21"/>
          <w:szCs w:val="21"/>
        </w:rPr>
        <w:t xml:space="preserve"> Paris: STLA) (“</w:t>
      </w:r>
      <w:proofErr w:type="spellStart"/>
      <w:r w:rsidRPr="00B31E5F">
        <w:rPr>
          <w:rFonts w:ascii="Encode Sans ExpandedLight" w:hAnsi="Encode Sans ExpandedLight"/>
          <w:sz w:val="21"/>
          <w:szCs w:val="21"/>
        </w:rPr>
        <w:t>Stellantis</w:t>
      </w:r>
      <w:proofErr w:type="spellEnd"/>
      <w:r w:rsidRPr="00B31E5F">
        <w:rPr>
          <w:rFonts w:ascii="Encode Sans ExpandedLight" w:hAnsi="Encode Sans ExpandedLight"/>
          <w:sz w:val="21"/>
          <w:szCs w:val="21"/>
        </w:rPr>
        <w:t xml:space="preserve">”) annuncia che l’Assemblea straordinaria degli azionisti tenuta oggi ha approvato la già annunciata distribuzione condizionata (la “Distribuzione”), a seguito di una riduzione di capitale, da parte di </w:t>
      </w:r>
      <w:proofErr w:type="spellStart"/>
      <w:r w:rsidRPr="00B31E5F">
        <w:rPr>
          <w:rFonts w:ascii="Encode Sans ExpandedLight" w:hAnsi="Encode Sans ExpandedLight"/>
          <w:sz w:val="21"/>
          <w:szCs w:val="21"/>
        </w:rPr>
        <w:t>Stellantis</w:t>
      </w:r>
      <w:proofErr w:type="spellEnd"/>
      <w:r w:rsidRPr="00B31E5F">
        <w:rPr>
          <w:rFonts w:ascii="Encode Sans ExpandedLight" w:hAnsi="Encode Sans ExpandedLight"/>
          <w:sz w:val="21"/>
          <w:szCs w:val="21"/>
        </w:rPr>
        <w:t xml:space="preserve">, ai detentori di un massimo di 54.297.006 azioni ordinarie di </w:t>
      </w:r>
      <w:proofErr w:type="spellStart"/>
      <w:r w:rsidRPr="00B31E5F">
        <w:rPr>
          <w:rFonts w:ascii="Encode Sans ExpandedLight" w:hAnsi="Encode Sans ExpandedLight"/>
          <w:sz w:val="21"/>
          <w:szCs w:val="21"/>
        </w:rPr>
        <w:t>Faurecia</w:t>
      </w:r>
      <w:proofErr w:type="spellEnd"/>
      <w:r w:rsidRPr="00B31E5F">
        <w:rPr>
          <w:rFonts w:ascii="Encode Sans ExpandedLight" w:hAnsi="Encode Sans ExpandedLight"/>
          <w:sz w:val="21"/>
          <w:szCs w:val="21"/>
        </w:rPr>
        <w:t xml:space="preserve"> S.E. (“</w:t>
      </w:r>
      <w:proofErr w:type="spellStart"/>
      <w:r w:rsidRPr="00B31E5F">
        <w:rPr>
          <w:rFonts w:ascii="Encode Sans ExpandedLight" w:hAnsi="Encode Sans ExpandedLight"/>
          <w:sz w:val="21"/>
          <w:szCs w:val="21"/>
        </w:rPr>
        <w:t>Faurecia</w:t>
      </w:r>
      <w:proofErr w:type="spellEnd"/>
      <w:r w:rsidRPr="00B31E5F">
        <w:rPr>
          <w:rFonts w:ascii="Encode Sans ExpandedLight" w:hAnsi="Encode Sans ExpandedLight"/>
          <w:sz w:val="21"/>
          <w:szCs w:val="21"/>
        </w:rPr>
        <w:t xml:space="preserve">”) e di un massimo di 308 milioni di euro in contanti, che rappresentano i proventi ricevuti da Peugeot S.A. per la vendita di azioni ordinarie di </w:t>
      </w:r>
      <w:proofErr w:type="spellStart"/>
      <w:r w:rsidRPr="00B31E5F">
        <w:rPr>
          <w:rFonts w:ascii="Encode Sans ExpandedLight" w:hAnsi="Encode Sans ExpandedLight"/>
          <w:sz w:val="21"/>
          <w:szCs w:val="21"/>
        </w:rPr>
        <w:t>Faurecia</w:t>
      </w:r>
      <w:proofErr w:type="spellEnd"/>
      <w:r w:rsidRPr="00B31E5F">
        <w:rPr>
          <w:rFonts w:ascii="Encode Sans ExpandedLight" w:hAnsi="Encode Sans ExpandedLight"/>
          <w:sz w:val="21"/>
          <w:szCs w:val="21"/>
        </w:rPr>
        <w:t xml:space="preserve"> nell’ottobre 2020.</w:t>
      </w:r>
    </w:p>
    <w:p w:rsidR="004B3840" w:rsidRPr="00B31E5F" w:rsidRDefault="003B2328">
      <w:pPr>
        <w:rPr>
          <w:rFonts w:ascii="Encode Sans ExpandedLight" w:hAnsi="Encode Sans ExpandedLight"/>
          <w:sz w:val="21"/>
          <w:szCs w:val="21"/>
        </w:rPr>
      </w:pPr>
      <w:r w:rsidRPr="00B31E5F">
        <w:rPr>
          <w:rFonts w:ascii="Encode Sans ExpandedLight" w:hAnsi="Encode Sans ExpandedLight"/>
          <w:sz w:val="21"/>
          <w:szCs w:val="21"/>
        </w:rPr>
        <w:t>Il pagamento della Distribuzione è condizionato all’ulteriore annuncio, atteso per i prossimi giorni, che determinate formalità previste dalla legislazione olandese siano state adempiute. In assenza di tale annuncio sul fatto che la Distribuzione sia divenuta incondizionata, la Distribuzione non sarà esigibile.</w:t>
      </w:r>
    </w:p>
    <w:p w:rsidR="004B3840" w:rsidRPr="00B31E5F" w:rsidRDefault="003B2328">
      <w:pPr>
        <w:rPr>
          <w:rFonts w:ascii="Encode Sans ExpandedLight" w:hAnsi="Encode Sans ExpandedLight"/>
          <w:sz w:val="21"/>
          <w:szCs w:val="21"/>
        </w:rPr>
      </w:pPr>
      <w:r w:rsidRPr="00B31E5F">
        <w:rPr>
          <w:rFonts w:ascii="Encode Sans ExpandedLight" w:hAnsi="Encode Sans ExpandedLight"/>
          <w:sz w:val="21"/>
          <w:szCs w:val="21"/>
        </w:rPr>
        <w:t xml:space="preserve">Ulteriori informazioni relative alla Distribuzione sono state rese disponibili nella sezione </w:t>
      </w:r>
      <w:proofErr w:type="spellStart"/>
      <w:r w:rsidRPr="00B31E5F">
        <w:rPr>
          <w:rFonts w:ascii="Encode Sans ExpandedLight" w:hAnsi="Encode Sans ExpandedLight"/>
          <w:sz w:val="21"/>
          <w:szCs w:val="21"/>
        </w:rPr>
        <w:t>Investors</w:t>
      </w:r>
      <w:proofErr w:type="spellEnd"/>
      <w:r w:rsidRPr="00B31E5F">
        <w:rPr>
          <w:rFonts w:ascii="Encode Sans ExpandedLight" w:hAnsi="Encode Sans ExpandedLight"/>
          <w:sz w:val="21"/>
          <w:szCs w:val="21"/>
        </w:rPr>
        <w:t xml:space="preserve"> del sito di </w:t>
      </w:r>
      <w:proofErr w:type="spellStart"/>
      <w:r w:rsidRPr="00B31E5F">
        <w:rPr>
          <w:rFonts w:ascii="Encode Sans ExpandedLight" w:hAnsi="Encode Sans ExpandedLight"/>
          <w:sz w:val="21"/>
          <w:szCs w:val="21"/>
        </w:rPr>
        <w:t>Stellantis</w:t>
      </w:r>
      <w:proofErr w:type="spellEnd"/>
      <w:r w:rsidRPr="00B31E5F">
        <w:rPr>
          <w:rFonts w:ascii="Encode Sans ExpandedLight" w:hAnsi="Encode Sans ExpandedLight"/>
          <w:sz w:val="21"/>
          <w:szCs w:val="21"/>
        </w:rPr>
        <w:t xml:space="preserve"> all’indirizzo www.stellantis.com, tra le quali un’informativa reperibile all’indirizzo </w:t>
      </w:r>
      <w:hyperlink r:id="rId8" w:history="1">
        <w:r w:rsidR="006A0CD2" w:rsidRPr="006A0CD2">
          <w:rPr>
            <w:rStyle w:val="Collegamentoipertestuale"/>
            <w:sz w:val="21"/>
            <w:szCs w:val="21"/>
          </w:rPr>
          <w:t>https://www.stellantis.com/it/investors/azioni-e-informazioni-per-gli-azionisti/assemblea-straordinaria-8-marzo-2021</w:t>
        </w:r>
      </w:hyperlink>
      <w:r w:rsidR="006A0CD2">
        <w:t xml:space="preserve"> </w:t>
      </w:r>
      <w:r w:rsidRPr="00B31E5F">
        <w:rPr>
          <w:rFonts w:ascii="Encode Sans ExpandedLight" w:hAnsi="Encode Sans ExpandedLight"/>
          <w:sz w:val="21"/>
          <w:szCs w:val="21"/>
        </w:rPr>
        <w:t xml:space="preserve">e depositata presso la Securities and Exchange </w:t>
      </w:r>
      <w:proofErr w:type="spellStart"/>
      <w:r w:rsidRPr="00B31E5F">
        <w:rPr>
          <w:rFonts w:ascii="Encode Sans ExpandedLight" w:hAnsi="Encode Sans ExpandedLight"/>
          <w:sz w:val="21"/>
          <w:szCs w:val="21"/>
        </w:rPr>
        <w:t>Commission</w:t>
      </w:r>
      <w:proofErr w:type="spellEnd"/>
      <w:r w:rsidRPr="00B31E5F">
        <w:rPr>
          <w:rFonts w:ascii="Encode Sans ExpandedLight" w:hAnsi="Encode Sans ExpandedLight"/>
          <w:sz w:val="21"/>
          <w:szCs w:val="21"/>
        </w:rPr>
        <w:t xml:space="preserve"> tramite Form 6-K il 5 Marzo 2021.</w:t>
      </w:r>
    </w:p>
    <w:p w:rsidR="008601EA" w:rsidRPr="00F03AE5" w:rsidRDefault="008601EA" w:rsidP="008601EA">
      <w:pPr>
        <w:spacing w:after="360" w:line="288" w:lineRule="auto"/>
        <w:jc w:val="left"/>
        <w:rPr>
          <w:rFonts w:ascii="Calibri" w:hAnsi="Calibri" w:cs="Calibri"/>
          <w:b/>
          <w:i/>
          <w:color w:val="243782" w:themeColor="text2"/>
          <w:sz w:val="22"/>
          <w:szCs w:val="22"/>
        </w:rPr>
      </w:pPr>
      <w:r>
        <w:rPr>
          <w:rFonts w:ascii="Calibri" w:hAnsi="Calibri"/>
          <w:b/>
          <w:i/>
          <w:color w:val="243782" w:themeColor="text2"/>
          <w:sz w:val="22"/>
          <w:szCs w:val="22"/>
        </w:rPr>
        <w:t xml:space="preserve">Informazioni su </w:t>
      </w:r>
      <w:proofErr w:type="spellStart"/>
      <w:r>
        <w:rPr>
          <w:rFonts w:ascii="Calibri" w:hAnsi="Calibri"/>
          <w:b/>
          <w:i/>
          <w:color w:val="243782" w:themeColor="text2"/>
          <w:sz w:val="22"/>
          <w:szCs w:val="22"/>
        </w:rPr>
        <w:t>Stellantis</w:t>
      </w:r>
      <w:proofErr w:type="spellEnd"/>
    </w:p>
    <w:p w:rsidR="008601EA" w:rsidRPr="00D33506" w:rsidRDefault="002A303D" w:rsidP="008601EA">
      <w:pPr>
        <w:spacing w:after="160" w:line="259" w:lineRule="auto"/>
        <w:rPr>
          <w:rFonts w:ascii="Encode Sans ExpandedLight" w:hAnsi="Encode Sans ExpandedLight" w:cs="Calibri"/>
          <w:i/>
          <w:sz w:val="18"/>
          <w:szCs w:val="22"/>
        </w:rPr>
      </w:pPr>
      <w:hyperlink r:id="rId9" w:history="1">
        <w:proofErr w:type="spellStart"/>
        <w:r w:rsidR="008601EA" w:rsidRPr="00F50CC3">
          <w:rPr>
            <w:rStyle w:val="Collegamentoipertestuale"/>
            <w:rFonts w:ascii="Calibri" w:hAnsi="Calibri"/>
            <w:b/>
            <w:i/>
            <w:iCs/>
            <w:sz w:val="22"/>
            <w:szCs w:val="22"/>
          </w:rPr>
          <w:t>Stellantis</w:t>
        </w:r>
        <w:proofErr w:type="spellEnd"/>
      </w:hyperlink>
      <w:r w:rsidR="008601EA" w:rsidRPr="00F50CC3">
        <w:rPr>
          <w:rStyle w:val="Collegamentoipertestuale"/>
          <w:rFonts w:ascii="Calibri" w:hAnsi="Calibri"/>
          <w:b/>
          <w:i/>
          <w:iCs/>
          <w:sz w:val="22"/>
          <w:szCs w:val="22"/>
        </w:rPr>
        <w:t xml:space="preserve"> </w:t>
      </w:r>
      <w:r w:rsidR="008601EA" w:rsidRPr="00D33506">
        <w:rPr>
          <w:rFonts w:ascii="Encode Sans ExpandedLight" w:hAnsi="Encode Sans ExpandedLight" w:cs="Calibri"/>
          <w:i/>
          <w:sz w:val="18"/>
          <w:szCs w:val="22"/>
        </w:rPr>
        <w:t xml:space="preserve">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w:t>
      </w:r>
      <w:proofErr w:type="spellStart"/>
      <w:r w:rsidR="008601EA" w:rsidRPr="00D33506">
        <w:rPr>
          <w:rFonts w:ascii="Encode Sans ExpandedLight" w:hAnsi="Encode Sans ExpandedLight" w:cs="Calibri"/>
          <w:i/>
          <w:sz w:val="18"/>
          <w:szCs w:val="22"/>
        </w:rPr>
        <w:t>Stellantis</w:t>
      </w:r>
      <w:proofErr w:type="spellEnd"/>
      <w:r w:rsidR="008601EA" w:rsidRPr="00D33506">
        <w:rPr>
          <w:rFonts w:ascii="Encode Sans ExpandedLight" w:hAnsi="Encode Sans ExpandedLight" w:cs="Calibri"/>
          <w:i/>
          <w:sz w:val="18"/>
          <w:szCs w:val="22"/>
        </w:rPr>
        <w:t xml:space="preserve"> farà leva sul suo ampio e iconico portafoglio di marchi creato da visionari, che hanno trasmesso ai vari brand la passione che ispira dipendenti e clienti. </w:t>
      </w:r>
      <w:proofErr w:type="spellStart"/>
      <w:r w:rsidR="008601EA" w:rsidRPr="00D33506">
        <w:rPr>
          <w:rFonts w:ascii="Encode Sans ExpandedLight" w:hAnsi="Encode Sans ExpandedLight" w:cs="Calibri"/>
          <w:i/>
          <w:sz w:val="18"/>
          <w:szCs w:val="22"/>
        </w:rPr>
        <w:t>Stellantis</w:t>
      </w:r>
      <w:proofErr w:type="spellEnd"/>
      <w:r w:rsidR="008601EA" w:rsidRPr="00D33506">
        <w:rPr>
          <w:rFonts w:ascii="Encode Sans ExpandedLight" w:hAnsi="Encode Sans ExpandedLight" w:cs="Calibri"/>
          <w:i/>
          <w:sz w:val="18"/>
          <w:szCs w:val="22"/>
        </w:rPr>
        <w:t xml:space="preserve"> punta all’eccellenza, non alla grandezza, e si pone l’obiettivo di creare valore aggiunto per tutti gli stakeholder e le comunità in cui opera. </w:t>
      </w:r>
    </w:p>
    <w:p w:rsidR="008601EA" w:rsidRPr="008601EA" w:rsidRDefault="008601EA">
      <w:pPr>
        <w:spacing w:after="160" w:line="259" w:lineRule="auto"/>
        <w:rPr>
          <w:rFonts w:ascii="Encode Sans ExpandedLight" w:hAnsi="Encode Sans ExpandedLight"/>
          <w:i/>
          <w:sz w:val="18"/>
          <w:szCs w:val="22"/>
        </w:rPr>
      </w:pPr>
    </w:p>
    <w:p w:rsidR="008601EA" w:rsidRPr="008601EA" w:rsidRDefault="008601EA">
      <w:pPr>
        <w:spacing w:after="160" w:line="259" w:lineRule="auto"/>
        <w:rPr>
          <w:rFonts w:ascii="Encode Sans ExpandedLight" w:hAnsi="Encode Sans ExpandedLight"/>
          <w:i/>
          <w:sz w:val="18"/>
          <w:szCs w:val="22"/>
        </w:rPr>
      </w:pPr>
    </w:p>
    <w:p w:rsidR="008601EA" w:rsidRPr="008601EA" w:rsidRDefault="008601EA">
      <w:pPr>
        <w:spacing w:after="160" w:line="259" w:lineRule="auto"/>
        <w:rPr>
          <w:rFonts w:ascii="Encode Sans ExpandedLight" w:hAnsi="Encode Sans ExpandedLight"/>
          <w:i/>
          <w:sz w:val="18"/>
          <w:szCs w:val="22"/>
        </w:rPr>
      </w:pPr>
    </w:p>
    <w:p w:rsidR="008601EA" w:rsidRPr="008601EA" w:rsidRDefault="008601EA">
      <w:pPr>
        <w:spacing w:after="160" w:line="259" w:lineRule="auto"/>
        <w:rPr>
          <w:rFonts w:ascii="Encode Sans ExpandedLight" w:eastAsia="Calibri" w:hAnsi="Encode Sans ExpandedLight" w:cs="Calibri"/>
          <w:i/>
          <w:color w:val="1F497D"/>
          <w:sz w:val="18"/>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4B3840" w:rsidRPr="00B31E5F">
        <w:tc>
          <w:tcPr>
            <w:tcW w:w="2265" w:type="dxa"/>
            <w:vAlign w:val="bottom"/>
          </w:tcPr>
          <w:p w:rsidR="004B3840" w:rsidRPr="00B31E5F" w:rsidRDefault="002A303D">
            <w:pPr>
              <w:jc w:val="center"/>
              <w:rPr>
                <w:rFonts w:ascii="Encode Sans ExpandedLight" w:eastAsia="Calibri" w:hAnsi="Encode Sans ExpandedLight" w:cs="Times New Roman"/>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10" o:title=""/>
                </v:shape>
              </w:pict>
            </w:r>
            <w:r w:rsidR="004A5DBF" w:rsidRPr="00B31E5F">
              <w:rPr>
                <w:rFonts w:ascii="Encode Sans ExpandedLight" w:hAnsi="Encode Sans ExpandedLight"/>
                <w:sz w:val="20"/>
              </w:rPr>
              <w:t>@</w:t>
            </w:r>
            <w:proofErr w:type="spellStart"/>
            <w:r w:rsidR="004A5DBF" w:rsidRPr="00B31E5F">
              <w:rPr>
                <w:rFonts w:ascii="Encode Sans ExpandedLight" w:hAnsi="Encode Sans ExpandedLight"/>
                <w:sz w:val="20"/>
              </w:rPr>
              <w:t>Stellantis</w:t>
            </w:r>
            <w:proofErr w:type="spellEnd"/>
          </w:p>
        </w:tc>
        <w:tc>
          <w:tcPr>
            <w:tcW w:w="2265" w:type="dxa"/>
            <w:vAlign w:val="bottom"/>
          </w:tcPr>
          <w:p w:rsidR="004B3840" w:rsidRPr="00B31E5F" w:rsidRDefault="002A303D">
            <w:pPr>
              <w:jc w:val="center"/>
              <w:rPr>
                <w:rFonts w:ascii="Encode Sans ExpandedLight" w:eastAsia="Calibri" w:hAnsi="Encode Sans ExpandedLight" w:cs="Times New Roman"/>
              </w:rPr>
            </w:pPr>
            <w:r>
              <w:rPr>
                <w:szCs w:val="16"/>
              </w:rPr>
              <w:pict>
                <v:shape id="_x0000_i1026" type="#_x0000_t75" style="width:22.5pt;height:22.5pt">
                  <v:imagedata r:id="rId11" o:title=""/>
                </v:shape>
              </w:pict>
            </w:r>
            <w:proofErr w:type="spellStart"/>
            <w:r w:rsidR="004A5DBF" w:rsidRPr="00B31E5F">
              <w:rPr>
                <w:rFonts w:ascii="Encode Sans ExpandedLight" w:hAnsi="Encode Sans ExpandedLight"/>
                <w:sz w:val="20"/>
              </w:rPr>
              <w:t>Stellantis</w:t>
            </w:r>
            <w:proofErr w:type="spellEnd"/>
          </w:p>
        </w:tc>
        <w:tc>
          <w:tcPr>
            <w:tcW w:w="2266" w:type="dxa"/>
            <w:vAlign w:val="bottom"/>
          </w:tcPr>
          <w:p w:rsidR="004B3840" w:rsidRPr="00B31E5F" w:rsidRDefault="002A303D">
            <w:pPr>
              <w:jc w:val="center"/>
              <w:rPr>
                <w:rFonts w:ascii="Encode Sans ExpandedLight" w:eastAsia="Calibri" w:hAnsi="Encode Sans ExpandedLight" w:cs="Times New Roman"/>
              </w:rPr>
            </w:pPr>
            <w:r>
              <w:rPr>
                <w:szCs w:val="16"/>
              </w:rPr>
              <w:pict>
                <v:shape id="_x0000_i1027" type="#_x0000_t75" style="width:21pt;height:21pt">
                  <v:imagedata r:id="rId12" o:title=""/>
                </v:shape>
              </w:pict>
            </w:r>
            <w:proofErr w:type="spellStart"/>
            <w:r w:rsidR="004A5DBF" w:rsidRPr="00B31E5F">
              <w:rPr>
                <w:rFonts w:ascii="Encode Sans ExpandedLight" w:hAnsi="Encode Sans ExpandedLight"/>
                <w:sz w:val="20"/>
              </w:rPr>
              <w:t>Stellantis</w:t>
            </w:r>
            <w:proofErr w:type="spellEnd"/>
          </w:p>
        </w:tc>
        <w:tc>
          <w:tcPr>
            <w:tcW w:w="2266" w:type="dxa"/>
            <w:vAlign w:val="bottom"/>
          </w:tcPr>
          <w:p w:rsidR="004B3840" w:rsidRPr="00B31E5F" w:rsidRDefault="002A303D">
            <w:pPr>
              <w:jc w:val="center"/>
              <w:rPr>
                <w:rFonts w:ascii="Encode Sans ExpandedLight" w:eastAsia="Calibri" w:hAnsi="Encode Sans ExpandedLight" w:cs="Times New Roman"/>
              </w:rPr>
            </w:pPr>
            <w:r>
              <w:rPr>
                <w:szCs w:val="16"/>
              </w:rPr>
              <w:pict>
                <v:shape id="_x0000_i1028" type="#_x0000_t75" style="width:23.25pt;height:23.25pt">
                  <v:imagedata r:id="rId13" o:title=""/>
                </v:shape>
              </w:pict>
            </w:r>
            <w:proofErr w:type="spellStart"/>
            <w:r w:rsidR="004A5DBF" w:rsidRPr="00B31E5F">
              <w:rPr>
                <w:rFonts w:ascii="Encode Sans ExpandedLight" w:hAnsi="Encode Sans ExpandedLight"/>
                <w:sz w:val="20"/>
              </w:rPr>
              <w:t>Stellantis</w:t>
            </w:r>
            <w:proofErr w:type="spellEnd"/>
          </w:p>
        </w:tc>
      </w:tr>
    </w:tbl>
    <w:p w:rsidR="004B3840" w:rsidRPr="00B31E5F" w:rsidRDefault="004B3840">
      <w:pPr>
        <w:spacing w:after="0"/>
        <w:jc w:val="lef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4B3840" w:rsidRPr="00B31E5F">
        <w:trPr>
          <w:trHeight w:val="1276"/>
        </w:trPr>
        <w:tc>
          <w:tcPr>
            <w:tcW w:w="7936" w:type="dxa"/>
          </w:tcPr>
          <w:p w:rsidR="004B3840" w:rsidRPr="00B31E5F" w:rsidRDefault="003B2328">
            <w:pPr>
              <w:spacing w:after="360" w:line="288" w:lineRule="auto"/>
              <w:jc w:val="left"/>
              <w:rPr>
                <w:color w:val="243782" w:themeColor="text2"/>
                <w:sz w:val="20"/>
                <w:szCs w:val="20"/>
              </w:rPr>
            </w:pPr>
            <w:r w:rsidRPr="00B31E5F">
              <w:rPr>
                <w:noProof/>
                <w:color w:val="243782" w:themeColor="text2"/>
                <w:sz w:val="20"/>
                <w:szCs w:val="20"/>
                <w:lang w:eastAsia="it-IT"/>
              </w:rPr>
              <w:lastRenderedPageBreak/>
              <mc:AlternateContent>
                <mc:Choice Requires="wps">
                  <w:drawing>
                    <wp:inline distT="0" distB="0" distL="0" distR="0">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xmlns:w16se="http://schemas.microsoft.com/office/word/2015/wordml/symex" xmlns:cx="http://schemas.microsoft.com/office/drawing/2014/chartex">
                  <w:pict>
                    <v:shape id="Freeform 27" o:spid="_x0000_i1030" style="width:34pt;height:4.9pt;mso-left-percent:-10001;mso-position-horizontal-relative:char;mso-position-vertical-relative:line;mso-top-percent:-10001;mso-wrap-style:square;visibility:visible;v-text-anchor:top" coordsize="354,39" path="m329,39l,39,27,,354,,329,39xe" fillcolor="#243782" stroked="f">
                      <v:path arrowok="t" o:connecttype="custom" o:connectlocs="401492,61913;0,61913;32949,0;432000,0;401492,61913" o:connectangles="0,0,0,0,0"/>
                      <w10:wrap type="none"/>
                      <w10:anchorlock/>
                    </v:shape>
                  </w:pict>
                </mc:Fallback>
              </mc:AlternateContent>
            </w:r>
          </w:p>
          <w:p w:rsidR="004B3840" w:rsidRPr="00B31E5F" w:rsidRDefault="00B31E5F">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Per maggiori informazioni contattare</w:t>
            </w:r>
            <w:r w:rsidR="003B2328" w:rsidRPr="00B31E5F">
              <w:rPr>
                <w:rFonts w:ascii="Encode Sans SemiBold" w:hAnsi="Encode Sans SemiBold"/>
                <w:color w:val="243782" w:themeColor="text2"/>
                <w:sz w:val="20"/>
                <w:szCs w:val="20"/>
              </w:rPr>
              <w:t>:</w:t>
            </w:r>
          </w:p>
          <w:p w:rsidR="004B3840" w:rsidRPr="00B31E5F" w:rsidRDefault="004B3840">
            <w:pPr>
              <w:spacing w:after="120" w:line="288" w:lineRule="auto"/>
              <w:jc w:val="left"/>
              <w:rPr>
                <w:rFonts w:ascii="Encode Sans SemiBold" w:hAnsi="Encode Sans SemiBold"/>
                <w:color w:val="243782" w:themeColor="text2"/>
                <w:sz w:val="20"/>
                <w:szCs w:val="20"/>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B3840" w:rsidRPr="00B31E5F">
              <w:trPr>
                <w:trHeight w:val="571"/>
              </w:trPr>
              <w:tc>
                <w:tcPr>
                  <w:tcW w:w="8647" w:type="dxa"/>
                </w:tcPr>
                <w:p w:rsidR="004B3840" w:rsidRPr="00B31E5F" w:rsidRDefault="003B2328">
                  <w:pPr>
                    <w:rPr>
                      <w:rStyle w:val="Testosegnaposto"/>
                      <w:rFonts w:ascii="Encode Sans SemiBold" w:hAnsi="Encode Sans SemiBold"/>
                      <w:color w:val="243782" w:themeColor="text2"/>
                      <w:sz w:val="20"/>
                      <w:szCs w:val="20"/>
                    </w:rPr>
                  </w:pPr>
                  <w:r w:rsidRPr="00B31E5F">
                    <w:rPr>
                      <w:rStyle w:val="Testosegnaposto"/>
                      <w:rFonts w:ascii="Encode Sans SemiBold" w:hAnsi="Encode Sans SemiBold"/>
                      <w:color w:val="243782" w:themeColor="text2"/>
                      <w:sz w:val="20"/>
                      <w:szCs w:val="20"/>
                    </w:rPr>
                    <w:t>Claudio D’AMICO</w:t>
                  </w:r>
                  <w:r w:rsidRPr="00B31E5F">
                    <w:rPr>
                      <w:rStyle w:val="Testosegnaposto"/>
                      <w:rFonts w:ascii="Encode Sans ExpandedLight" w:hAnsi="Encode Sans ExpandedLight"/>
                      <w:color w:val="243782" w:themeColor="text2"/>
                      <w:sz w:val="20"/>
                      <w:szCs w:val="20"/>
                    </w:rPr>
                    <w:t xml:space="preserve">: +39 334 7107828 - </w:t>
                  </w:r>
                  <w:r w:rsidRPr="00B31E5F">
                    <w:rPr>
                      <w:rFonts w:ascii="Encode Sans ExpandedLight" w:hAnsi="Encode Sans ExpandedLight"/>
                      <w:color w:val="243782" w:themeColor="text2"/>
                      <w:sz w:val="20"/>
                      <w:szCs w:val="20"/>
                    </w:rPr>
                    <w:t>claudio.damico@stellantis.com</w:t>
                  </w:r>
                  <w:r w:rsidRPr="00B31E5F">
                    <w:rPr>
                      <w:rFonts w:ascii="Encode Sans ExpandedLight" w:hAnsi="Encode Sans ExpandedLight"/>
                      <w:sz w:val="20"/>
                      <w:szCs w:val="20"/>
                    </w:rPr>
                    <w:t xml:space="preserve"> </w:t>
                  </w:r>
                </w:p>
              </w:tc>
            </w:tr>
            <w:tr w:rsidR="004B3840" w:rsidRPr="00B31E5F">
              <w:trPr>
                <w:trHeight w:val="602"/>
              </w:trPr>
              <w:tc>
                <w:tcPr>
                  <w:tcW w:w="8647" w:type="dxa"/>
                </w:tcPr>
                <w:p w:rsidR="004B3840" w:rsidRPr="00B31E5F" w:rsidRDefault="003B2328">
                  <w:pPr>
                    <w:spacing w:after="120"/>
                    <w:jc w:val="left"/>
                    <w:rPr>
                      <w:rStyle w:val="Testosegnaposto"/>
                      <w:rFonts w:ascii="Encode Sans ExpandedLight" w:hAnsi="Encode Sans ExpandedLight"/>
                      <w:b/>
                      <w:color w:val="243782" w:themeColor="text2"/>
                      <w:sz w:val="20"/>
                      <w:szCs w:val="20"/>
                    </w:rPr>
                  </w:pPr>
                  <w:r w:rsidRPr="00B31E5F">
                    <w:rPr>
                      <w:rFonts w:ascii="Encode Sans SemiBold" w:hAnsi="Encode Sans SemiBold"/>
                      <w:color w:val="243782" w:themeColor="text2"/>
                      <w:sz w:val="20"/>
                      <w:szCs w:val="20"/>
                      <w:lang w:val="fr-FR"/>
                    </w:rPr>
                    <w:t xml:space="preserve">Karine </w:t>
                  </w:r>
                  <w:proofErr w:type="gramStart"/>
                  <w:r w:rsidRPr="00B31E5F">
                    <w:rPr>
                      <w:rFonts w:ascii="Encode Sans SemiBold" w:hAnsi="Encode Sans SemiBold"/>
                      <w:color w:val="243782" w:themeColor="text2"/>
                      <w:sz w:val="20"/>
                      <w:szCs w:val="20"/>
                      <w:lang w:val="fr-FR"/>
                    </w:rPr>
                    <w:t>DOUET:</w:t>
                  </w:r>
                  <w:proofErr w:type="gramEnd"/>
                  <w:r w:rsidRPr="00B31E5F">
                    <w:rPr>
                      <w:rFonts w:ascii="Encode Sans ExpandedLight" w:hAnsi="Encode Sans ExpandedLight"/>
                      <w:b/>
                      <w:color w:val="243782" w:themeColor="text2"/>
                      <w:sz w:val="20"/>
                      <w:szCs w:val="20"/>
                      <w:lang w:val="fr-FR"/>
                    </w:rPr>
                    <w:t xml:space="preserve"> </w:t>
                  </w:r>
                  <w:r w:rsidRPr="00B31E5F">
                    <w:rPr>
                      <w:rFonts w:ascii="Encode Sans ExpandedLight" w:hAnsi="Encode Sans ExpandedLight"/>
                      <w:color w:val="243782" w:themeColor="text2"/>
                      <w:sz w:val="20"/>
                      <w:szCs w:val="20"/>
                      <w:lang w:val="fr-FR"/>
                    </w:rPr>
                    <w:t>+33 6 61 64 03 83 -karine.douet@stellantis.com</w:t>
                  </w:r>
                </w:p>
              </w:tc>
            </w:tr>
            <w:tr w:rsidR="004B3840" w:rsidRPr="00E8689D">
              <w:trPr>
                <w:trHeight w:val="548"/>
              </w:trPr>
              <w:tc>
                <w:tcPr>
                  <w:tcW w:w="8647" w:type="dxa"/>
                </w:tcPr>
                <w:p w:rsidR="004B3840" w:rsidRPr="008601EA" w:rsidRDefault="003B2328">
                  <w:pPr>
                    <w:spacing w:after="120"/>
                    <w:jc w:val="left"/>
                    <w:rPr>
                      <w:rFonts w:ascii="Encode Sans ExpandedLight" w:hAnsi="Encode Sans ExpandedLight"/>
                      <w:color w:val="243782" w:themeColor="text2"/>
                      <w:sz w:val="20"/>
                      <w:szCs w:val="20"/>
                      <w:lang w:val="en-US"/>
                    </w:rPr>
                  </w:pPr>
                  <w:proofErr w:type="spellStart"/>
                  <w:r w:rsidRPr="008601EA">
                    <w:rPr>
                      <w:rFonts w:ascii="Encode Sans SemiBold" w:hAnsi="Encode Sans SemiBold"/>
                      <w:color w:val="243782" w:themeColor="text2"/>
                      <w:sz w:val="20"/>
                      <w:szCs w:val="20"/>
                      <w:lang w:val="en-US"/>
                    </w:rPr>
                    <w:t>Valérie</w:t>
                  </w:r>
                  <w:proofErr w:type="spellEnd"/>
                  <w:r w:rsidRPr="008601EA">
                    <w:rPr>
                      <w:rFonts w:ascii="Encode Sans SemiBold" w:hAnsi="Encode Sans SemiBold"/>
                      <w:color w:val="243782" w:themeColor="text2"/>
                      <w:sz w:val="20"/>
                      <w:szCs w:val="20"/>
                      <w:lang w:val="en-US"/>
                    </w:rPr>
                    <w:t xml:space="preserve"> GILLOT</w:t>
                  </w:r>
                  <w:r w:rsidRPr="008601EA">
                    <w:rPr>
                      <w:rFonts w:ascii="Encode Sans ExpandedLight" w:hAnsi="Encode Sans ExpandedLight"/>
                      <w:b/>
                      <w:color w:val="243782" w:themeColor="text2"/>
                      <w:sz w:val="20"/>
                      <w:szCs w:val="20"/>
                      <w:lang w:val="en-US"/>
                    </w:rPr>
                    <w:t xml:space="preserve">: </w:t>
                  </w:r>
                  <w:r w:rsidRPr="008601EA">
                    <w:rPr>
                      <w:rFonts w:ascii="Encode Sans ExpandedLight" w:hAnsi="Encode Sans ExpandedLight"/>
                      <w:color w:val="243782" w:themeColor="text2"/>
                      <w:sz w:val="20"/>
                      <w:szCs w:val="20"/>
                      <w:lang w:val="en-US"/>
                    </w:rPr>
                    <w:t>+33 6 83 92 92 96 - valerie.gillot@stellantis.com</w:t>
                  </w:r>
                </w:p>
                <w:p w:rsidR="004B3840" w:rsidRPr="008601EA" w:rsidRDefault="004B3840">
                  <w:pPr>
                    <w:spacing w:after="120"/>
                    <w:jc w:val="left"/>
                    <w:rPr>
                      <w:rStyle w:val="Collegamentoipertestuale"/>
                      <w:rFonts w:ascii="Encode Sans ExpandedLight" w:hAnsi="Encode Sans ExpandedLight"/>
                      <w:color w:val="243782" w:themeColor="text2"/>
                      <w:sz w:val="20"/>
                      <w:szCs w:val="20"/>
                      <w:lang w:val="en-US"/>
                    </w:rPr>
                  </w:pPr>
                </w:p>
                <w:p w:rsidR="004B3840" w:rsidRPr="008601EA" w:rsidRDefault="003B2328">
                  <w:pPr>
                    <w:spacing w:after="120"/>
                    <w:jc w:val="left"/>
                    <w:rPr>
                      <w:rStyle w:val="Testosegnaposto"/>
                      <w:rFonts w:ascii="Encode Sans ExpandedLight" w:hAnsi="Encode Sans ExpandedLight"/>
                      <w:color w:val="243782" w:themeColor="text2"/>
                      <w:sz w:val="20"/>
                      <w:szCs w:val="20"/>
                      <w:lang w:val="en-US"/>
                    </w:rPr>
                  </w:pPr>
                  <w:r w:rsidRPr="008601EA">
                    <w:rPr>
                      <w:rStyle w:val="Testosegnaposto"/>
                      <w:rFonts w:ascii="Encode Sans SemiBold" w:hAnsi="Encode Sans SemiBold"/>
                      <w:color w:val="243782" w:themeColor="text2"/>
                      <w:sz w:val="20"/>
                      <w:szCs w:val="20"/>
                      <w:lang w:val="en-US"/>
                    </w:rPr>
                    <w:t>Shawn MORGAN</w:t>
                  </w:r>
                  <w:r w:rsidRPr="008601EA">
                    <w:rPr>
                      <w:rStyle w:val="Testosegnaposto"/>
                      <w:rFonts w:ascii="Encode Sans ExpandedLight" w:hAnsi="Encode Sans ExpandedLight"/>
                      <w:color w:val="243782" w:themeColor="text2"/>
                      <w:sz w:val="20"/>
                      <w:szCs w:val="20"/>
                      <w:lang w:val="en-US"/>
                    </w:rPr>
                    <w:t>:</w:t>
                  </w:r>
                  <w:r w:rsidRPr="008601EA">
                    <w:rPr>
                      <w:rStyle w:val="Testosegnaposto"/>
                      <w:rFonts w:ascii="Encode Sans ExpandedLight" w:hAnsi="Encode Sans ExpandedLight"/>
                      <w:b/>
                      <w:color w:val="243782" w:themeColor="text2"/>
                      <w:sz w:val="20"/>
                      <w:szCs w:val="20"/>
                      <w:lang w:val="en-US"/>
                    </w:rPr>
                    <w:t xml:space="preserve"> </w:t>
                  </w:r>
                  <w:r w:rsidRPr="008601EA">
                    <w:rPr>
                      <w:rStyle w:val="Testosegnaposto"/>
                      <w:rFonts w:ascii="Encode Sans ExpandedLight" w:hAnsi="Encode Sans ExpandedLight"/>
                      <w:color w:val="243782" w:themeColor="text2"/>
                      <w:sz w:val="20"/>
                      <w:szCs w:val="20"/>
                      <w:lang w:val="en-US"/>
                    </w:rPr>
                    <w:t xml:space="preserve">+1 248 760 2621 - </w:t>
                  </w:r>
                  <w:r w:rsidRPr="008601EA">
                    <w:rPr>
                      <w:rFonts w:ascii="Encode Sans ExpandedLight" w:hAnsi="Encode Sans ExpandedLight"/>
                      <w:color w:val="243782" w:themeColor="text2"/>
                      <w:sz w:val="20"/>
                      <w:szCs w:val="20"/>
                      <w:lang w:val="en-US"/>
                    </w:rPr>
                    <w:t>shawn.morgan@stellantis.com</w:t>
                  </w:r>
                </w:p>
                <w:p w:rsidR="004B3840" w:rsidRPr="008601EA" w:rsidRDefault="004B3840">
                  <w:pPr>
                    <w:spacing w:after="120"/>
                    <w:jc w:val="left"/>
                    <w:rPr>
                      <w:rStyle w:val="Testosegnaposto"/>
                      <w:rFonts w:ascii="Encode Sans ExpandedLight" w:hAnsi="Encode Sans ExpandedLight"/>
                      <w:b/>
                      <w:color w:val="243782" w:themeColor="text2"/>
                      <w:sz w:val="20"/>
                      <w:szCs w:val="20"/>
                      <w:lang w:val="en-US"/>
                    </w:rPr>
                  </w:pPr>
                </w:p>
              </w:tc>
            </w:tr>
          </w:tbl>
          <w:p w:rsidR="004B3840" w:rsidRPr="00B31E5F" w:rsidRDefault="003B2328">
            <w:pPr>
              <w:spacing w:line="288" w:lineRule="auto"/>
              <w:jc w:val="left"/>
              <w:rPr>
                <w:color w:val="243782" w:themeColor="text2"/>
                <w:sz w:val="20"/>
                <w:szCs w:val="20"/>
              </w:rPr>
            </w:pPr>
            <w:r w:rsidRPr="00B31E5F">
              <w:rPr>
                <w:rFonts w:ascii="Encode Sans ExpandedLight" w:hAnsi="Encode Sans ExpandedLight"/>
                <w:color w:val="243782" w:themeColor="text2"/>
                <w:sz w:val="20"/>
                <w:szCs w:val="20"/>
              </w:rPr>
              <w:t>www.stellantis.com</w:t>
            </w:r>
          </w:p>
        </w:tc>
      </w:tr>
    </w:tbl>
    <w:p w:rsidR="008601EA" w:rsidRDefault="008601EA">
      <w:pPr>
        <w:spacing w:after="0"/>
        <w:rPr>
          <w:sz w:val="20"/>
          <w:szCs w:val="20"/>
          <w:lang w:val="en-US"/>
        </w:rPr>
      </w:pPr>
    </w:p>
    <w:p w:rsidR="008601EA" w:rsidRPr="00AA7DAA" w:rsidRDefault="008601EA" w:rsidP="008601EA">
      <w:pPr>
        <w:spacing w:line="288" w:lineRule="auto"/>
        <w:rPr>
          <w:b/>
          <w:bCs/>
          <w:color w:val="1B365E"/>
          <w:sz w:val="20"/>
        </w:rPr>
      </w:pPr>
      <w:r w:rsidRPr="00AA7DAA">
        <w:rPr>
          <w:b/>
          <w:bCs/>
          <w:color w:val="1B365E"/>
          <w:sz w:val="20"/>
        </w:rPr>
        <w:t xml:space="preserve">DICHIARAZIONI PREVISIONALI </w:t>
      </w:r>
    </w:p>
    <w:p w:rsidR="008601EA" w:rsidRPr="00D33506" w:rsidRDefault="008601EA" w:rsidP="008601EA">
      <w:pPr>
        <w:spacing w:before="100" w:beforeAutospacing="1" w:after="100" w:afterAutospacing="1"/>
        <w:rPr>
          <w:rFonts w:ascii="Encode Sans ExpandedLight" w:hAnsi="Encode Sans ExpandedLight" w:cs="Arial"/>
          <w:bCs/>
          <w:i/>
          <w:sz w:val="18"/>
        </w:rPr>
      </w:pPr>
      <w:r w:rsidRPr="00D33506">
        <w:rPr>
          <w:rFonts w:ascii="Encode Sans ExpandedLight" w:hAnsi="Encode Sans ExpandedLight" w:cs="Arial"/>
          <w:bCs/>
          <w:i/>
          <w:sz w:val="18"/>
        </w:rPr>
        <w:t xml:space="preserve">La presente comunicazione contiene dichiarazioni previsionali. In particolare, dichiarazioni relative alla performance finanziaria futura e le aspettative del gruppo congiunto (il “Gruppo”) risultante dalla fusione di FCA e </w:t>
      </w:r>
      <w:proofErr w:type="spellStart"/>
      <w:r w:rsidRPr="00D33506">
        <w:rPr>
          <w:rFonts w:ascii="Encode Sans ExpandedLight" w:hAnsi="Encode Sans ExpandedLight" w:cs="Arial"/>
          <w:bCs/>
          <w:i/>
          <w:sz w:val="18"/>
        </w:rPr>
        <w:t>Groupe</w:t>
      </w:r>
      <w:proofErr w:type="spellEnd"/>
      <w:r w:rsidRPr="00D33506">
        <w:rPr>
          <w:rFonts w:ascii="Encode Sans ExpandedLight" w:hAnsi="Encode Sans ExpandedLight" w:cs="Arial"/>
          <w:bCs/>
          <w:i/>
          <w:sz w:val="18"/>
        </w:rPr>
        <w:t xml:space="preserve"> PSA, relativamente al raggiungimento di determinate grandezze obiettivo in date future o in periodi futuri sono dichiarazioni previsionali.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previsionali non costituiscono una garanzia o promessa riguardo ai risultati futuri. Piuttosto, sono basate sulla conoscenza attuale a disposizione del Gruppo, sulle aspettative e proiezioni future circa eventi futuri e, per loro stessa natura, sono soggette a rischi inerenti e incertezze. Tali dichiarazioni si riferiscono a eventi, e dipendono da circostanze, che potrebbero effettivamente verificarsi in futuro oppure no. Pertanto, è opportuno non fare indebito affidamento su tali affermazioni.</w:t>
      </w:r>
    </w:p>
    <w:p w:rsidR="008601EA" w:rsidRPr="00D33506" w:rsidRDefault="008601EA" w:rsidP="008601EA">
      <w:pPr>
        <w:spacing w:before="100" w:beforeAutospacing="1" w:after="100" w:afterAutospacing="1"/>
        <w:rPr>
          <w:rFonts w:ascii="Encode Sans ExpandedLight" w:hAnsi="Encode Sans ExpandedLight" w:cs="Arial"/>
          <w:bCs/>
          <w:i/>
          <w:sz w:val="18"/>
        </w:rPr>
      </w:pPr>
    </w:p>
    <w:p w:rsidR="008601EA" w:rsidRPr="00D33506" w:rsidRDefault="008601EA" w:rsidP="008601EA">
      <w:pPr>
        <w:spacing w:before="100" w:beforeAutospacing="1" w:after="100" w:afterAutospacing="1"/>
        <w:rPr>
          <w:rFonts w:ascii="Encode Sans ExpandedLight" w:hAnsi="Encode Sans ExpandedLight" w:cs="Arial"/>
          <w:bCs/>
          <w:i/>
          <w:sz w:val="18"/>
        </w:rPr>
      </w:pPr>
      <w:r w:rsidRPr="00D33506">
        <w:rPr>
          <w:rFonts w:ascii="Encode Sans ExpandedLight" w:hAnsi="Encode Sans ExpandedLight" w:cs="Arial"/>
          <w:bCs/>
          <w:i/>
          <w:sz w:val="18"/>
        </w:rPr>
        <w:t xml:space="preserve">I risultati futuri potrebbero differire significativamente da quelli contenuti nelle dichiarazioni previsionali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di alcuni dei propri marchi nei mercati globali; la sua capacità di offrire prodotti innovativi e attraenti; la sua capacità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incapacità del Gruppo di finanziare taluni piani pensionistici; la capacità di fornire o organizzare accesso ad adeguate fonti di finanziamento per i concessionari e per la clientela finale e rischi correlati alla </w:t>
      </w:r>
      <w:r w:rsidRPr="00D33506">
        <w:rPr>
          <w:rFonts w:ascii="Encode Sans ExpandedLight" w:hAnsi="Encode Sans ExpandedLight" w:cs="Arial"/>
          <w:bCs/>
          <w:i/>
          <w:sz w:val="18"/>
        </w:rPr>
        <w:lastRenderedPageBreak/>
        <w:t xml:space="preserve">costituzione e gestione di società di servizi finanziari; la capacità di accedere a fonti di finanziamento al fine di realizzare i piani industriali del Gruppo e migliorare le attività, la situazione finanziaria e i risultati operativi; significativi malfunzionamenti, interruzioni o violazioni della sicurezza dei sistemi di information </w:t>
      </w:r>
      <w:proofErr w:type="spellStart"/>
      <w:r w:rsidRPr="00D33506">
        <w:rPr>
          <w:rFonts w:ascii="Encode Sans ExpandedLight" w:hAnsi="Encode Sans ExpandedLight" w:cs="Arial"/>
          <w:bCs/>
          <w:i/>
          <w:sz w:val="18"/>
        </w:rPr>
        <w:t>technology</w:t>
      </w:r>
      <w:proofErr w:type="spellEnd"/>
      <w:r w:rsidRPr="00D33506">
        <w:rPr>
          <w:rFonts w:ascii="Encode Sans ExpandedLight" w:hAnsi="Encode Sans ExpandedLight" w:cs="Arial"/>
          <w:bCs/>
          <w:i/>
          <w:sz w:val="18"/>
        </w:rPr>
        <w:t xml:space="preserve"> o dei sistemi di controllo elettronici contenuti nei veicoli del Gruppo; la capacità del Gruppo di realizzare benefici previsti da joint venture; interruzioni dovute a instabilità di natura politica, sociale ed economica; rischi correlati ai nostri rapporti con dipendenti, concessionari e fornitori; aumento dei costi, interruzioni delle forniture o carenza di materie prime; sviluppi nelle relazioni sindacali, industriali e nella normativa </w:t>
      </w:r>
      <w:proofErr w:type="spellStart"/>
      <w:r w:rsidRPr="00D33506">
        <w:rPr>
          <w:rFonts w:ascii="Encode Sans ExpandedLight" w:hAnsi="Encode Sans ExpandedLight" w:cs="Arial"/>
          <w:bCs/>
          <w:i/>
          <w:sz w:val="18"/>
        </w:rPr>
        <w:t>giuslavoristica</w:t>
      </w:r>
      <w:proofErr w:type="spellEnd"/>
      <w:r w:rsidRPr="00D33506">
        <w:rPr>
          <w:rFonts w:ascii="Encode Sans ExpandedLight" w:hAnsi="Encode Sans ExpandedLight" w:cs="Arial"/>
          <w:bCs/>
          <w:i/>
          <w:sz w:val="18"/>
        </w:rPr>
        <w:t xml:space="preserve">; fluttuazioni dei tassi di cambio, variazioni dei tassi d'interesse, rischio di credito e altri rischi di mercato; rischi di natura politica e tensioni sociali; terremoti o altri disastri il rischio che le attività di </w:t>
      </w:r>
      <w:proofErr w:type="spellStart"/>
      <w:r w:rsidRPr="00D33506">
        <w:rPr>
          <w:rFonts w:ascii="Encode Sans ExpandedLight" w:hAnsi="Encode Sans ExpandedLight" w:cs="Arial"/>
          <w:bCs/>
          <w:i/>
          <w:sz w:val="18"/>
        </w:rPr>
        <w:t>Groupe</w:t>
      </w:r>
      <w:proofErr w:type="spellEnd"/>
      <w:r w:rsidRPr="00D33506">
        <w:rPr>
          <w:rFonts w:ascii="Encode Sans ExpandedLight" w:hAnsi="Encode Sans ExpandedLight" w:cs="Arial"/>
          <w:bCs/>
          <w:i/>
          <w:sz w:val="18"/>
        </w:rPr>
        <w:t xml:space="preserve"> PSA ed FCA non siano integrate con successo e altri rischi e incertezze.</w:t>
      </w:r>
    </w:p>
    <w:p w:rsidR="008601EA" w:rsidRPr="00D33506" w:rsidRDefault="008601EA" w:rsidP="008601EA">
      <w:pPr>
        <w:spacing w:before="100" w:beforeAutospacing="1" w:after="100" w:afterAutospacing="1"/>
        <w:rPr>
          <w:rFonts w:ascii="Encode Sans ExpandedLight" w:hAnsi="Encode Sans ExpandedLight" w:cs="Arial"/>
          <w:bCs/>
          <w:i/>
          <w:sz w:val="18"/>
        </w:rPr>
      </w:pPr>
    </w:p>
    <w:p w:rsidR="008601EA" w:rsidRPr="00D33506" w:rsidRDefault="008601EA" w:rsidP="008601EA">
      <w:pPr>
        <w:spacing w:before="100" w:beforeAutospacing="1" w:after="100" w:afterAutospacing="1"/>
        <w:rPr>
          <w:rFonts w:ascii="Encode Sans ExpandedLight" w:hAnsi="Encode Sans ExpandedLight" w:cs="Arial"/>
          <w:bCs/>
          <w:i/>
          <w:sz w:val="18"/>
        </w:rPr>
      </w:pPr>
      <w:r w:rsidRPr="00D33506">
        <w:rPr>
          <w:rFonts w:ascii="Encode Sans ExpandedLight" w:hAnsi="Encode Sans ExpandedLight" w:cs="Arial"/>
          <w:bCs/>
          <w:i/>
          <w:sz w:val="18"/>
        </w:rPr>
        <w:t xml:space="preserve">Le dichiarazioni previsionali contenute nel presente documento devono considerarsi valide solo alla data del presente documento e le Parti non si assumono alcun obbligo di aggiornare o emendare pubblicamente tali dichiarazioni. Ulteriori informazioni riguardanti il Gruppo inclusi taluni fattori in grado di influenzare significativamente i risultati delle del Gruppo, sono contenute nei documenti depositati da FCA presso la Securities and Exchange </w:t>
      </w:r>
      <w:proofErr w:type="spellStart"/>
      <w:r w:rsidRPr="00D33506">
        <w:rPr>
          <w:rFonts w:ascii="Encode Sans ExpandedLight" w:hAnsi="Encode Sans ExpandedLight" w:cs="Arial"/>
          <w:bCs/>
          <w:i/>
          <w:sz w:val="18"/>
        </w:rPr>
        <w:t>Commission</w:t>
      </w:r>
      <w:proofErr w:type="spellEnd"/>
      <w:r w:rsidRPr="00D33506">
        <w:rPr>
          <w:rFonts w:ascii="Encode Sans ExpandedLight" w:hAnsi="Encode Sans ExpandedLight" w:cs="Arial"/>
          <w:bCs/>
          <w:i/>
          <w:sz w:val="18"/>
        </w:rPr>
        <w:t xml:space="preserve"> </w:t>
      </w:r>
      <w:r w:rsidR="00B73492">
        <w:rPr>
          <w:rFonts w:ascii="Encode Sans ExpandedLight" w:hAnsi="Encode Sans ExpandedLight" w:cs="Arial"/>
          <w:bCs/>
          <w:i/>
          <w:sz w:val="18"/>
        </w:rPr>
        <w:t xml:space="preserve">statunitense </w:t>
      </w:r>
      <w:r w:rsidRPr="00D33506">
        <w:rPr>
          <w:rFonts w:ascii="Encode Sans ExpandedLight" w:hAnsi="Encode Sans ExpandedLight" w:cs="Arial"/>
          <w:bCs/>
          <w:i/>
          <w:sz w:val="18"/>
        </w:rPr>
        <w:t>(inclusa la dichiarazione di reg</w:t>
      </w:r>
      <w:r w:rsidR="00B73492">
        <w:rPr>
          <w:rFonts w:ascii="Encode Sans ExpandedLight" w:hAnsi="Encode Sans ExpandedLight" w:cs="Arial"/>
          <w:bCs/>
          <w:i/>
          <w:sz w:val="18"/>
        </w:rPr>
        <w:t xml:space="preserve">istrazione sul modulo F-4 </w:t>
      </w:r>
      <w:r w:rsidRPr="00D33506">
        <w:rPr>
          <w:rFonts w:ascii="Encode Sans ExpandedLight" w:hAnsi="Encode Sans ExpandedLight" w:cs="Arial"/>
          <w:bCs/>
          <w:i/>
          <w:sz w:val="18"/>
        </w:rPr>
        <w:t xml:space="preserve">dichiarata efficace dalla SEC il 20 novembre 2020), l’AFM e la CONSOB e nei documenti depositati da </w:t>
      </w:r>
      <w:proofErr w:type="spellStart"/>
      <w:r w:rsidRPr="00D33506">
        <w:rPr>
          <w:rFonts w:ascii="Encode Sans ExpandedLight" w:hAnsi="Encode Sans ExpandedLight" w:cs="Arial"/>
          <w:bCs/>
          <w:i/>
          <w:sz w:val="18"/>
        </w:rPr>
        <w:t>Groupe</w:t>
      </w:r>
      <w:proofErr w:type="spellEnd"/>
      <w:r w:rsidRPr="00D33506">
        <w:rPr>
          <w:rFonts w:ascii="Encode Sans ExpandedLight" w:hAnsi="Encode Sans ExpandedLight" w:cs="Arial"/>
          <w:bCs/>
          <w:i/>
          <w:sz w:val="18"/>
        </w:rPr>
        <w:t xml:space="preserve"> PSA presso l’AMF.</w:t>
      </w:r>
    </w:p>
    <w:p w:rsidR="008601EA" w:rsidRPr="008601EA" w:rsidRDefault="008601EA">
      <w:pPr>
        <w:spacing w:after="0"/>
        <w:rPr>
          <w:rFonts w:asciiTheme="majorHAnsi" w:hAnsiTheme="majorHAnsi"/>
          <w:bCs/>
          <w:noProof/>
          <w:color w:val="243782" w:themeColor="text2"/>
          <w:sz w:val="20"/>
          <w:szCs w:val="20"/>
        </w:rPr>
      </w:pPr>
    </w:p>
    <w:sectPr w:rsidR="008601EA" w:rsidRPr="008601EA">
      <w:headerReference w:type="even" r:id="rId14"/>
      <w:headerReference w:type="default" r:id="rId15"/>
      <w:footerReference w:type="even" r:id="rId16"/>
      <w:footerReference w:type="default" r:id="rId17"/>
      <w:headerReference w:type="first" r:id="rId18"/>
      <w:foot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3D" w:rsidRDefault="002A303D">
      <w:pPr>
        <w:spacing w:after="0"/>
      </w:pPr>
      <w:r>
        <w:separator/>
      </w:r>
    </w:p>
  </w:endnote>
  <w:endnote w:type="continuationSeparator" w:id="0">
    <w:p w:rsidR="002A303D" w:rsidRDefault="002A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3CE3E5C-10F9-43BA-AF23-E0564562C824}"/>
    <w:embedBold r:id="rId2" w:fontKey="{93A4EC2A-D94E-4CA4-899F-E613BF9C24F0}"/>
    <w:embedItalic r:id="rId3" w:fontKey="{0E48E4A5-1FB9-4387-9C87-4282439A0435}"/>
    <w:embedBoldItalic r:id="rId4" w:fontKey="{ABF06175-58A9-4DC8-8DF0-93EE412142D2}"/>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Regular r:id="rId5" w:fontKey="{A0EFB5C3-FE56-4B16-AAB9-FDC2426520A0}"/>
  </w:font>
  <w:font w:name="Calibri">
    <w:panose1 w:val="020F0502020204030204"/>
    <w:charset w:val="00"/>
    <w:family w:val="swiss"/>
    <w:pitch w:val="variable"/>
    <w:sig w:usb0="E0002EFF" w:usb1="C000247B" w:usb2="00000009" w:usb3="00000000" w:csb0="000001FF" w:csb1="00000000"/>
    <w:embedBoldItalic r:id="rId6" w:subsetted="1" w:fontKey="{722DB15D-BEB5-490B-A4DC-82DC58ECC2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3B2328">
    <w:pPr>
      <w:pStyle w:val="SPagination"/>
      <w:rPr>
        <w:szCs w:val="16"/>
      </w:rPr>
    </w:pPr>
    <w:r>
      <w:t xml:space="preserve">- </w:t>
    </w:r>
    <w:r>
      <w:rPr>
        <w:rStyle w:val="Numeropagina"/>
        <w:szCs w:val="16"/>
      </w:rPr>
      <w:fldChar w:fldCharType="begin"/>
    </w:r>
    <w:r>
      <w:rPr>
        <w:rStyle w:val="Numeropagina"/>
        <w:szCs w:val="16"/>
      </w:rPr>
      <w:instrText xml:space="preserve"> PAGE </w:instrText>
    </w:r>
    <w:r>
      <w:rPr>
        <w:rStyle w:val="Numeropagina"/>
        <w:szCs w:val="16"/>
      </w:rPr>
      <w:fldChar w:fldCharType="separate"/>
    </w:r>
    <w:r w:rsidR="00E8689D">
      <w:rPr>
        <w:rStyle w:val="Numeropagina"/>
        <w:noProof/>
        <w:szCs w:val="16"/>
      </w:rPr>
      <w:t>2</w:t>
    </w:r>
    <w:r>
      <w:rPr>
        <w:rStyle w:val="Numeropagina"/>
        <w:szCs w:val="16"/>
      </w:rPr>
      <w:fldChar w:fldCharType="end"/>
    </w:r>
    <w:r>
      <w:rPr>
        <w:rStyle w:val="Numeropagina"/>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3D" w:rsidRDefault="002A303D">
      <w:pPr>
        <w:spacing w:after="0"/>
      </w:pPr>
      <w:r>
        <w:separator/>
      </w:r>
    </w:p>
  </w:footnote>
  <w:footnote w:type="continuationSeparator" w:id="0">
    <w:p w:rsidR="002A303D" w:rsidRDefault="002A30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3B2328">
    <w:r>
      <w:rPr>
        <w:noProof/>
        <w:lang w:eastAsia="it-IT"/>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84F86C7-01D7-4A0E-8329-E6351412D64E}"/>
                          </a:ext>
                        </a:extLst>
                      </wps:cNvPr>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3840" w:rsidRDefault="003B2328">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id="Groupe 29" o:spid="_x0000_s2049" style="width:21.25pt;height:184.35pt;margin-top:4.3pt;margin-left:35.15pt;mso-height-relative:margin;mso-position-horizontal-relative:page;mso-position-vertical-relative:page;mso-width-relative:margin;position:absolute;z-index:-251657216" coordsize="3159,27463">
              <o:lock v:ext="edit" aspectratio="t"/>
              <v:rect id="AutoShape 7" o:spid="_x0000_s2050" style="width:3159;height:27432;mso-wrap-style:square;position:absolute;top:31;visibility:visible;v-text-anchor:top" filled="f" stroked="f">
                <o:lock v:ext="edit" aspectratio="t" text="t"/>
              </v:rect>
              <v:oval id="Oval 9" o:spid="_x0000_s2051" style="width:350;height:333;left:539;mso-wrap-style:square;position:absolute;top:26638;visibility:visible;v-text-anchor:top" fillcolor="#243782" stroked="f"/>
              <v:oval id="Oval 10" o:spid="_x0000_s2052" style="width:349;height:333;left:1444;mso-wrap-style:square;position:absolute;top:26638;visibility:visible;v-text-anchor:top" fillcolor="#243782" stroked="f"/>
              <v:oval id="Oval 11" o:spid="_x0000_s2053" style="width:349;height:333;left:2333;mso-wrap-style:square;position:absolute;top:26638;visibility:visible;v-text-anchor:top" fillcolor="#243782" stroked="f"/>
              <v:oval id="Oval 12" o:spid="_x0000_s2054" style="width:238;height:222;left:1016;mso-wrap-style:square;position:absolute;top:27241;visibility:visible;v-text-anchor:top" fillcolor="#243782" stroked="f"/>
              <v:oval id="Oval 13" o:spid="_x0000_s2055" style="width:238;height:222;left:1952;mso-wrap-style:square;position:absolute;top:27241;visibility:visible;v-text-anchor:top" fillcolor="#243782" stroked="f"/>
              <v:shape id="Freeform 14" o:spid="_x0000_s2056" style="width:3159;height:26400;mso-wrap-style:square;position:absolute;visibility:visible;v-text-anchor:middle" coordsize="81,699" o:spt="100" adj="-11796480,,5400" path="m81,c,,,,,,,693,,693,,693c,693,,693,,693c,693,,693,,693c,696,3,699,6,699c10,699,12,696,12,693c12,693,12,693,12,693c13,693,13,693,13,693c13,690,15,688,18,688c20,688,22,690,23,693c23,693,23,693,23,693c23,693,23,693,23,693c23,696,26,699,29,699c33,699,35,696,35,693c35,693,35,693,35,693c35,693,35,693,35,693c36,690,38,688,41,688c43,688,46,690,46,693c46,693,46,693,46,693c46,693,46,693,46,693c46,693,46,693,46,693c46,693,46,693,46,693c46,697,49,699,52,699c56,699,58,696,58,693c58,693,58,693,58,693c58,693,58,693,58,693c59,690,61,688,63,688c66,688,68,690,69,693c69,693,69,693,69,693c69,693,69,693,69,693c69,696,71,699,75,699c78,699,81,696,81,693c81,693,81,693,81,693c81,693,81,693,81,693l81,xe" fillcolor="#243782"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98pt,0,2.83pt,14.17pt">
                  <w:txbxContent>
                    <w:p>
                      <w:pPr>
                        <w:pStyle w:val="SPRESSRELEASE-TITLE"/>
                      </w:pPr>
                      <w:r>
                        <w:t xml:space="preserve">COMUNICATO STAMPA</w:t>
                      </w:r>
                    </w:p>
                  </w:txbxContent>
                </v:textbox>
              </v:shape>
              <w10:anchorlock/>
            </v:group>
          </w:pict>
        </mc:Fallback>
      </mc:AlternateContent>
    </w:r>
    <w:r>
      <w:rPr>
        <w:noProof/>
        <w:lang w:eastAsia="it-IT"/>
      </w:rPr>
      <w:drawing>
        <wp:inline distT="0" distB="0" distL="0" distR="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embedSystemFonts/>
  <w:saveSubsetFont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40"/>
    <w:rsid w:val="002A303D"/>
    <w:rsid w:val="0032601B"/>
    <w:rsid w:val="003B2328"/>
    <w:rsid w:val="003E3803"/>
    <w:rsid w:val="0043483E"/>
    <w:rsid w:val="004A5DBF"/>
    <w:rsid w:val="004B3840"/>
    <w:rsid w:val="004E63B0"/>
    <w:rsid w:val="006477B4"/>
    <w:rsid w:val="006A0CD2"/>
    <w:rsid w:val="00782A04"/>
    <w:rsid w:val="008601EA"/>
    <w:rsid w:val="0089178C"/>
    <w:rsid w:val="009056DE"/>
    <w:rsid w:val="0096074D"/>
    <w:rsid w:val="00B31E5F"/>
    <w:rsid w:val="00B73492"/>
    <w:rsid w:val="00BE120F"/>
    <w:rsid w:val="00C77162"/>
    <w:rsid w:val="00CD2C9F"/>
    <w:rsid w:val="00E8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40"/>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pPr>
      <w:jc w:val="left"/>
    </w:pPr>
    <w:rPr>
      <w:color w:val="243782" w:themeColor="text2"/>
    </w:rPr>
  </w:style>
  <w:style w:type="character" w:customStyle="1" w:styleId="IntestazioneCarattere">
    <w:name w:val="Intestazione Carattere"/>
    <w:basedOn w:val="Carpredefinitoparagrafo"/>
    <w:link w:val="Intestazione"/>
    <w:uiPriority w:val="99"/>
    <w:semiHidden/>
    <w:rPr>
      <w:color w:val="243782" w:themeColor="text2"/>
      <w:lang w:val="it-IT"/>
    </w:rPr>
  </w:style>
  <w:style w:type="paragraph" w:styleId="Pidipagina">
    <w:name w:val="footer"/>
    <w:basedOn w:val="Normale"/>
    <w:link w:val="PidipaginaCarattere"/>
    <w:uiPriority w:val="99"/>
    <w:semiHidden/>
    <w:pPr>
      <w:jc w:val="left"/>
    </w:pPr>
    <w:rPr>
      <w:color w:val="243782" w:themeColor="text2"/>
    </w:rPr>
  </w:style>
  <w:style w:type="character" w:customStyle="1" w:styleId="PidipaginaCarattere">
    <w:name w:val="Piè di pagina Carattere"/>
    <w:basedOn w:val="Carpredefinitoparagrafo"/>
    <w:link w:val="Pidipagina"/>
    <w:uiPriority w:val="99"/>
    <w:semiHidden/>
    <w:rPr>
      <w:color w:val="243782" w:themeColor="text2"/>
      <w:lang w:val="it-IT"/>
    </w:rPr>
  </w:style>
  <w:style w:type="character" w:styleId="Collegamentoipertestuale">
    <w:name w:val="Hyperlink"/>
    <w:basedOn w:val="Carpredefinitoparagrafo"/>
    <w:uiPriority w:val="99"/>
    <w:semiHidden/>
    <w:rPr>
      <w:color w:val="243782" w:themeColor="hyperlink"/>
      <w:u w:val="none"/>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style>
  <w:style w:type="paragraph" w:customStyle="1" w:styleId="SSubject">
    <w:name w:val="S_Subject"/>
    <w:basedOn w:val="Normale"/>
    <w:next w:val="Normale"/>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pPr>
      <w:keepNext/>
      <w:spacing w:before="240"/>
      <w:jc w:val="left"/>
    </w:pPr>
    <w:rPr>
      <w:caps/>
      <w:color w:val="243782" w:themeColor="text2"/>
      <w:szCs w:val="18"/>
    </w:rPr>
  </w:style>
  <w:style w:type="paragraph" w:styleId="Paragrafoelenco">
    <w:name w:val="List Paragraph"/>
    <w:basedOn w:val="Normale"/>
    <w:uiPriority w:val="34"/>
    <w:qFormat/>
    <w:pPr>
      <w:ind w:left="720"/>
      <w:contextualSpacing/>
    </w:pPr>
  </w:style>
  <w:style w:type="paragraph" w:customStyle="1" w:styleId="SBullet">
    <w:name w:val="S_Bullet"/>
    <w:basedOn w:val="Normale"/>
    <w:uiPriority w:val="2"/>
    <w:qFormat/>
    <w:pPr>
      <w:numPr>
        <w:numId w:val="11"/>
      </w:numPr>
      <w:ind w:left="794" w:hanging="227"/>
    </w:pPr>
    <w:rPr>
      <w:rFonts w:asciiTheme="majorHAnsi" w:hAnsiTheme="majorHAnsi"/>
      <w:bCs/>
    </w:rPr>
  </w:style>
  <w:style w:type="paragraph" w:customStyle="1" w:styleId="SDatePlace">
    <w:name w:val="S_Date + Place"/>
    <w:basedOn w:val="Normale"/>
    <w:qFormat/>
    <w:pPr>
      <w:jc w:val="left"/>
    </w:pPr>
    <w:rPr>
      <w:szCs w:val="18"/>
    </w:rPr>
  </w:style>
  <w:style w:type="character" w:customStyle="1" w:styleId="UnresolvedMention">
    <w:name w:val="Unresolved Mention"/>
    <w:basedOn w:val="Carpredefinitoparagrafo"/>
    <w:uiPriority w:val="99"/>
    <w:semiHidden/>
    <w:unhideWhenUsed/>
    <w:rPr>
      <w:color w:val="605E5C"/>
      <w:shd w:val="clear" w:color="auto" w:fill="E1DFDD"/>
    </w:rPr>
  </w:style>
  <w:style w:type="paragraph" w:customStyle="1" w:styleId="SContact-Title">
    <w:name w:val="S_Contact - Title"/>
    <w:basedOn w:val="Normale"/>
    <w:next w:val="SContact-Sendersinfo"/>
    <w:qFormat/>
    <w:pPr>
      <w:spacing w:before="360"/>
    </w:pPr>
    <w:rPr>
      <w:rFonts w:asciiTheme="majorHAnsi" w:hAnsiTheme="majorHAnsi"/>
      <w:color w:val="243782" w:themeColor="text2"/>
    </w:rPr>
  </w:style>
  <w:style w:type="paragraph" w:customStyle="1" w:styleId="SContact-Sendersinfo">
    <w:name w:val="S_Contact - Sender's info"/>
    <w:basedOn w:val="Normale"/>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pPr>
      <w:spacing w:before="120"/>
      <w:contextualSpacing/>
    </w:pPr>
    <w:rPr>
      <w:color w:val="243782" w:themeColor="text2"/>
    </w:rPr>
  </w:style>
  <w:style w:type="paragraph" w:customStyle="1" w:styleId="SPRESSRELEASE-TITLE">
    <w:name w:val="S_PRESS RELEASE - TITLE"/>
    <w:basedOn w:val="Normale"/>
    <w:qFormat/>
    <w:rPr>
      <w:sz w:val="26"/>
      <w:szCs w:val="24"/>
    </w:rPr>
  </w:style>
  <w:style w:type="paragraph" w:customStyle="1" w:styleId="SPagination">
    <w:name w:val="S_Pagination"/>
    <w:basedOn w:val="Pidipagina"/>
    <w:link w:val="SPaginationCar"/>
    <w:qFormat/>
    <w:pPr>
      <w:jc w:val="center"/>
    </w:pPr>
    <w:rPr>
      <w:sz w:val="16"/>
      <w:szCs w:val="14"/>
    </w:rPr>
  </w:style>
  <w:style w:type="character" w:customStyle="1" w:styleId="SPaginationCar">
    <w:name w:val="S_Pagination Car"/>
    <w:basedOn w:val="PidipaginaCarattere"/>
    <w:link w:val="SPagination"/>
    <w:rPr>
      <w:rFonts w:ascii="Encode Sans ExpandedLight" w:hAnsi="Encode Sans ExpandedLight"/>
      <w:color w:val="243782" w:themeColor="text2"/>
      <w:szCs w:val="14"/>
      <w:lang w:val="it-IT"/>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e"/>
    <w:qFormat/>
    <w:rPr>
      <w:i/>
    </w:rPr>
  </w:style>
  <w:style w:type="paragraph" w:styleId="NormaleWeb">
    <w:name w:val="Normal (Web)"/>
    <w:basedOn w:val="Normale"/>
    <w:uiPriority w:val="99"/>
    <w:unhideWhenUsed/>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ellanormale"/>
    <w:next w:val="Grigliatabella"/>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e"/>
    <w:pPr>
      <w:spacing w:after="0" w:line="360" w:lineRule="atLeast"/>
      <w:jc w:val="left"/>
    </w:pPr>
    <w:rPr>
      <w:rFonts w:ascii="Arial" w:eastAsia="Times New Roman" w:hAnsi="Arial" w:cs="Times New Roman"/>
      <w:b/>
      <w:sz w:val="26"/>
      <w:szCs w:val="24"/>
    </w:rPr>
  </w:style>
  <w:style w:type="paragraph" w:styleId="Testofumetto">
    <w:name w:val="Balloon Text"/>
    <w:basedOn w:val="Normale"/>
    <w:link w:val="TestofumettoCarattere"/>
    <w:uiPriority w:val="99"/>
    <w:semiHidden/>
    <w:unhideWhenUse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val="it-IT"/>
    </w:rPr>
  </w:style>
  <w:style w:type="character" w:styleId="Collegamentovisitato">
    <w:name w:val="FollowedHyperlink"/>
    <w:basedOn w:val="Carpredefinitoparagrafo"/>
    <w:uiPriority w:val="99"/>
    <w:semiHidden/>
    <w:rsid w:val="006A0CD2"/>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nvestors/azioni-e-informazioni-per-gli-azionisti/assemblea-straordinaria-8-marzo-2021"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6244-729F-4C44-AA39-3C85B07A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2021-03-08T13:44:00Z</dcterms:created>
  <dcterms:modified xsi:type="dcterms:W3CDTF">2021-03-08T13:44:00Z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ies>
</file>