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A464" w14:textId="7AED8CF8" w:rsidR="0086416D" w:rsidRDefault="0086416D" w:rsidP="0086416D">
      <w:pPr>
        <w:spacing w:after="360"/>
        <w:rPr>
          <w:b/>
        </w:rPr>
      </w:pPr>
      <w:r>
        <w:rPr>
          <w:noProof/>
          <w:color w:val="243782" w:themeColor="text2"/>
          <w:lang w:val="it-IT"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6D29A20C" w14:textId="5F2C55E5" w:rsidR="00E153D5" w:rsidRPr="00E153D5" w:rsidRDefault="00C9031D" w:rsidP="003C7160">
      <w:pPr>
        <w:pStyle w:val="SSubject"/>
        <w:jc w:val="left"/>
        <w:rPr>
          <w:rFonts w:ascii="Encode Sans SemiBold" w:hAnsi="Encode Sans SemiBold"/>
          <w:b w:val="0"/>
          <w:sz w:val="24"/>
        </w:rPr>
      </w:pPr>
      <w:r>
        <w:rPr>
          <w:rFonts w:ascii="Encode Sans SemiBold" w:hAnsi="Encode Sans SemiBold"/>
          <w:b w:val="0"/>
          <w:sz w:val="24"/>
        </w:rPr>
        <w:t>L</w:t>
      </w:r>
      <w:r w:rsidR="00EB1968">
        <w:rPr>
          <w:rFonts w:ascii="Encode Sans SemiBold" w:hAnsi="Encode Sans SemiBold"/>
          <w:b w:val="0"/>
          <w:sz w:val="24"/>
        </w:rPr>
        <w:t xml:space="preserve">a distribution </w:t>
      </w:r>
      <w:r w:rsidR="00E153D5">
        <w:rPr>
          <w:rFonts w:ascii="Encode Sans SemiBold" w:hAnsi="Encode Sans SemiBold"/>
          <w:b w:val="0"/>
          <w:sz w:val="24"/>
        </w:rPr>
        <w:t xml:space="preserve">en numéraire et </w:t>
      </w:r>
      <w:r w:rsidR="00DA7C83">
        <w:rPr>
          <w:rFonts w:ascii="Encode Sans SemiBold" w:hAnsi="Encode Sans SemiBold"/>
          <w:b w:val="0"/>
          <w:sz w:val="24"/>
        </w:rPr>
        <w:t xml:space="preserve">en </w:t>
      </w:r>
      <w:r w:rsidR="00E153D5">
        <w:rPr>
          <w:rFonts w:ascii="Encode Sans SemiBold" w:hAnsi="Encode Sans SemiBold"/>
          <w:b w:val="0"/>
          <w:sz w:val="24"/>
        </w:rPr>
        <w:t xml:space="preserve">actions </w:t>
      </w:r>
      <w:proofErr w:type="spellStart"/>
      <w:r w:rsidR="00E153D5">
        <w:rPr>
          <w:rFonts w:ascii="Encode Sans SemiBold" w:hAnsi="Encode Sans SemiBold"/>
          <w:b w:val="0"/>
          <w:sz w:val="24"/>
        </w:rPr>
        <w:t>Faurecia</w:t>
      </w:r>
      <w:proofErr w:type="spellEnd"/>
      <w:r w:rsidR="00E153D5">
        <w:rPr>
          <w:rFonts w:ascii="Encode Sans SemiBold" w:hAnsi="Encode Sans SemiBold"/>
          <w:b w:val="0"/>
          <w:sz w:val="24"/>
        </w:rPr>
        <w:t xml:space="preserve"> </w:t>
      </w:r>
      <w:r w:rsidR="00EB1968">
        <w:rPr>
          <w:rFonts w:ascii="Encode Sans SemiBold" w:hAnsi="Encode Sans SemiBold"/>
          <w:b w:val="0"/>
          <w:sz w:val="24"/>
        </w:rPr>
        <w:t>est devenue inconditionnelle</w:t>
      </w:r>
    </w:p>
    <w:p w14:paraId="10B7974A" w14:textId="77777777" w:rsidR="0091129E" w:rsidRPr="00E14E29" w:rsidRDefault="0091129E" w:rsidP="0091129E">
      <w:pPr>
        <w:pStyle w:val="SSubject"/>
        <w:rPr>
          <w:rFonts w:ascii="Encode Sans SemiBold" w:hAnsi="Encode Sans SemiBold"/>
          <w:bCs/>
        </w:rPr>
      </w:pPr>
    </w:p>
    <w:p w14:paraId="6E33B8C3" w14:textId="562CCC8B" w:rsidR="0091129E" w:rsidRDefault="0091129E" w:rsidP="0091129E"/>
    <w:p w14:paraId="4F4C5269" w14:textId="42E82D39" w:rsidR="00EB1968" w:rsidRDefault="006D68DD" w:rsidP="00EB1968">
      <w:pPr>
        <w:rPr>
          <w:rFonts w:ascii="Encode Sans ExpandedLight" w:hAnsi="Encode Sans ExpandedLight"/>
          <w:sz w:val="21"/>
          <w:szCs w:val="21"/>
        </w:rPr>
      </w:pPr>
      <w:r w:rsidRPr="00E153D5">
        <w:rPr>
          <w:rFonts w:ascii="Encode Sans ExpandedLight" w:hAnsi="Encode Sans ExpandedLight"/>
          <w:sz w:val="21"/>
          <w:szCs w:val="21"/>
        </w:rPr>
        <w:t xml:space="preserve">Amsterdam, </w:t>
      </w:r>
      <w:r w:rsidR="00EB1968">
        <w:rPr>
          <w:rFonts w:ascii="Encode Sans ExpandedLight" w:hAnsi="Encode Sans ExpandedLight"/>
          <w:sz w:val="21"/>
          <w:szCs w:val="21"/>
        </w:rPr>
        <w:t>10</w:t>
      </w:r>
      <w:r w:rsidRPr="00E153D5">
        <w:rPr>
          <w:rFonts w:ascii="Encode Sans ExpandedLight" w:hAnsi="Encode Sans ExpandedLight"/>
          <w:sz w:val="21"/>
          <w:szCs w:val="21"/>
        </w:rPr>
        <w:t xml:space="preserve"> mars 2021 - </w:t>
      </w:r>
      <w:proofErr w:type="spellStart"/>
      <w:r w:rsidR="00EB1968" w:rsidRPr="00EB1968">
        <w:rPr>
          <w:rFonts w:ascii="Encode Sans ExpandedLight" w:hAnsi="Encode Sans ExpandedLight"/>
          <w:sz w:val="21"/>
          <w:szCs w:val="21"/>
        </w:rPr>
        <w:t>Stellantis</w:t>
      </w:r>
      <w:proofErr w:type="spellEnd"/>
      <w:r w:rsidR="00EB1968" w:rsidRPr="00EB1968">
        <w:rPr>
          <w:rFonts w:ascii="Encode Sans ExpandedLight" w:hAnsi="Encode Sans ExpandedLight"/>
          <w:sz w:val="21"/>
          <w:szCs w:val="21"/>
        </w:rPr>
        <w:t xml:space="preserve"> NV (NYSE / MTA / Euronext Paris: STLA) («</w:t>
      </w:r>
      <w:proofErr w:type="spellStart"/>
      <w:r w:rsidR="00EB1968" w:rsidRPr="00EB1968">
        <w:rPr>
          <w:rFonts w:ascii="Encode Sans ExpandedLight" w:hAnsi="Encode Sans ExpandedLight"/>
          <w:sz w:val="21"/>
          <w:szCs w:val="21"/>
        </w:rPr>
        <w:t>Stellantis</w:t>
      </w:r>
      <w:proofErr w:type="spellEnd"/>
      <w:r w:rsidR="00EB1968" w:rsidRPr="00EB1968">
        <w:rPr>
          <w:rFonts w:ascii="Encode Sans ExpandedLight" w:hAnsi="Encode Sans ExpandedLight"/>
          <w:sz w:val="21"/>
          <w:szCs w:val="21"/>
        </w:rPr>
        <w:t xml:space="preserve">») a annoncé aujourd'hui que la distribution </w:t>
      </w:r>
      <w:r w:rsidR="00DA7C83" w:rsidRPr="00EB1968">
        <w:rPr>
          <w:rFonts w:ascii="Encode Sans ExpandedLight" w:hAnsi="Encode Sans ExpandedLight"/>
          <w:sz w:val="21"/>
          <w:szCs w:val="21"/>
        </w:rPr>
        <w:t xml:space="preserve">précédemment annoncée </w:t>
      </w:r>
      <w:r w:rsidR="00EB1968" w:rsidRPr="00EB1968">
        <w:rPr>
          <w:rFonts w:ascii="Encode Sans ExpandedLight" w:hAnsi="Encode Sans ExpandedLight"/>
          <w:sz w:val="21"/>
          <w:szCs w:val="21"/>
        </w:rPr>
        <w:t>conditionnelle</w:t>
      </w:r>
      <w:r w:rsidR="00EB1968">
        <w:rPr>
          <w:rFonts w:ascii="Encode Sans ExpandedLight" w:hAnsi="Encode Sans ExpandedLight"/>
          <w:sz w:val="21"/>
          <w:szCs w:val="21"/>
        </w:rPr>
        <w:t xml:space="preserve"> </w:t>
      </w:r>
      <w:r w:rsidR="00EB1968" w:rsidRPr="00EB1968">
        <w:rPr>
          <w:rFonts w:ascii="Encode Sans ExpandedLight" w:hAnsi="Encode Sans ExpandedLight"/>
          <w:sz w:val="21"/>
          <w:szCs w:val="21"/>
        </w:rPr>
        <w:t xml:space="preserve">(la «Distribution»), </w:t>
      </w:r>
      <w:r w:rsidR="00EB1968">
        <w:rPr>
          <w:rFonts w:ascii="Encode Sans ExpandedLight" w:hAnsi="Encode Sans ExpandedLight"/>
          <w:sz w:val="21"/>
          <w:szCs w:val="21"/>
        </w:rPr>
        <w:t>suivant</w:t>
      </w:r>
      <w:r w:rsidR="00EB1968" w:rsidRPr="00EB1968">
        <w:rPr>
          <w:rFonts w:ascii="Encode Sans ExpandedLight" w:hAnsi="Encode Sans ExpandedLight"/>
          <w:sz w:val="21"/>
          <w:szCs w:val="21"/>
        </w:rPr>
        <w:t xml:space="preserve"> une réduction de capital, par </w:t>
      </w:r>
      <w:proofErr w:type="spellStart"/>
      <w:r w:rsidR="00EB1968" w:rsidRPr="00EB1968">
        <w:rPr>
          <w:rFonts w:ascii="Encode Sans ExpandedLight" w:hAnsi="Encode Sans ExpandedLight"/>
          <w:sz w:val="21"/>
          <w:szCs w:val="21"/>
        </w:rPr>
        <w:t>Stellantis</w:t>
      </w:r>
      <w:proofErr w:type="spellEnd"/>
      <w:r w:rsidR="00EB1968" w:rsidRPr="00EB1968">
        <w:rPr>
          <w:rFonts w:ascii="Encode Sans ExpandedLight" w:hAnsi="Encode Sans ExpandedLight"/>
          <w:sz w:val="21"/>
          <w:szCs w:val="21"/>
        </w:rPr>
        <w:t xml:space="preserve"> aux détenteurs de ses actions ordinaires jusqu'à 54</w:t>
      </w:r>
      <w:r w:rsidR="00EB1968">
        <w:rPr>
          <w:rFonts w:ascii="Encode Sans ExpandedLight" w:hAnsi="Encode Sans ExpandedLight"/>
          <w:sz w:val="21"/>
          <w:szCs w:val="21"/>
        </w:rPr>
        <w:t> </w:t>
      </w:r>
      <w:r w:rsidR="00EB1968" w:rsidRPr="00EB1968">
        <w:rPr>
          <w:rFonts w:ascii="Encode Sans ExpandedLight" w:hAnsi="Encode Sans ExpandedLight"/>
          <w:sz w:val="21"/>
          <w:szCs w:val="21"/>
        </w:rPr>
        <w:t>297</w:t>
      </w:r>
      <w:r w:rsidR="00EB1968">
        <w:rPr>
          <w:rFonts w:ascii="Encode Sans ExpandedLight" w:hAnsi="Encode Sans ExpandedLight"/>
          <w:sz w:val="21"/>
          <w:szCs w:val="21"/>
        </w:rPr>
        <w:t xml:space="preserve"> </w:t>
      </w:r>
      <w:r w:rsidR="00EB1968" w:rsidRPr="00EB1968">
        <w:rPr>
          <w:rFonts w:ascii="Encode Sans ExpandedLight" w:hAnsi="Encode Sans ExpandedLight"/>
          <w:sz w:val="21"/>
          <w:szCs w:val="21"/>
        </w:rPr>
        <w:t xml:space="preserve">006 actions ordinaires de </w:t>
      </w:r>
      <w:proofErr w:type="spellStart"/>
      <w:r w:rsidR="00EB1968" w:rsidRPr="00EB1968">
        <w:rPr>
          <w:rFonts w:ascii="Encode Sans ExpandedLight" w:hAnsi="Encode Sans ExpandedLight"/>
          <w:sz w:val="21"/>
          <w:szCs w:val="21"/>
        </w:rPr>
        <w:t>Faurecia</w:t>
      </w:r>
      <w:proofErr w:type="spellEnd"/>
      <w:r w:rsidR="00EB1968" w:rsidRPr="00EB1968">
        <w:rPr>
          <w:rFonts w:ascii="Encode Sans ExpandedLight" w:hAnsi="Encode Sans ExpandedLight"/>
          <w:sz w:val="21"/>
          <w:szCs w:val="21"/>
        </w:rPr>
        <w:t xml:space="preserve"> SE («</w:t>
      </w:r>
      <w:proofErr w:type="spellStart"/>
      <w:r w:rsidR="00EB1968" w:rsidRPr="00EB1968">
        <w:rPr>
          <w:rFonts w:ascii="Encode Sans ExpandedLight" w:hAnsi="Encode Sans ExpandedLight"/>
          <w:sz w:val="21"/>
          <w:szCs w:val="21"/>
        </w:rPr>
        <w:t>Faurecia</w:t>
      </w:r>
      <w:proofErr w:type="spellEnd"/>
      <w:r w:rsidR="00EB1968" w:rsidRPr="00EB1968">
        <w:rPr>
          <w:rFonts w:ascii="Encode Sans ExpandedLight" w:hAnsi="Encode Sans ExpandedLight"/>
          <w:sz w:val="21"/>
          <w:szCs w:val="21"/>
        </w:rPr>
        <w:t xml:space="preserve">») et jusqu'à 308 millions d'euros en numéraire, soit le produit reçu par Peugeot S.A. de la vente d'actions ordinaires de </w:t>
      </w:r>
      <w:proofErr w:type="spellStart"/>
      <w:r w:rsidR="00EB1968" w:rsidRPr="00EB1968">
        <w:rPr>
          <w:rFonts w:ascii="Encode Sans ExpandedLight" w:hAnsi="Encode Sans ExpandedLight"/>
          <w:sz w:val="21"/>
          <w:szCs w:val="21"/>
        </w:rPr>
        <w:t>Faurecia</w:t>
      </w:r>
      <w:proofErr w:type="spellEnd"/>
      <w:r w:rsidR="00EB1968" w:rsidRPr="00EB1968">
        <w:rPr>
          <w:rFonts w:ascii="Encode Sans ExpandedLight" w:hAnsi="Encode Sans ExpandedLight"/>
          <w:sz w:val="21"/>
          <w:szCs w:val="21"/>
        </w:rPr>
        <w:t xml:space="preserve"> en octobre 2020, est devenu</w:t>
      </w:r>
      <w:r w:rsidR="00DA7C83">
        <w:rPr>
          <w:rFonts w:ascii="Encode Sans ExpandedLight" w:hAnsi="Encode Sans ExpandedLight"/>
          <w:sz w:val="21"/>
          <w:szCs w:val="21"/>
        </w:rPr>
        <w:t>e</w:t>
      </w:r>
      <w:r w:rsidR="00EB1968" w:rsidRPr="00EB1968">
        <w:rPr>
          <w:rFonts w:ascii="Encode Sans ExpandedLight" w:hAnsi="Encode Sans ExpandedLight"/>
          <w:sz w:val="21"/>
          <w:szCs w:val="21"/>
        </w:rPr>
        <w:t xml:space="preserve"> inconditionnel</w:t>
      </w:r>
      <w:r w:rsidR="00EB1968">
        <w:rPr>
          <w:rFonts w:ascii="Encode Sans ExpandedLight" w:hAnsi="Encode Sans ExpandedLight"/>
          <w:sz w:val="21"/>
          <w:szCs w:val="21"/>
        </w:rPr>
        <w:t>le</w:t>
      </w:r>
      <w:r w:rsidR="00EB1968" w:rsidRPr="00EB1968">
        <w:rPr>
          <w:rFonts w:ascii="Encode Sans ExpandedLight" w:hAnsi="Encode Sans ExpandedLight"/>
          <w:sz w:val="21"/>
          <w:szCs w:val="21"/>
        </w:rPr>
        <w:t>.</w:t>
      </w:r>
    </w:p>
    <w:p w14:paraId="51277284" w14:textId="77777777" w:rsidR="00EB1968" w:rsidRDefault="00EB1968" w:rsidP="00EB1968">
      <w:pPr>
        <w:rPr>
          <w:rFonts w:ascii="Encode Sans ExpandedLight" w:hAnsi="Encode Sans ExpandedLight"/>
          <w:sz w:val="21"/>
          <w:szCs w:val="21"/>
        </w:rPr>
      </w:pPr>
    </w:p>
    <w:p w14:paraId="3E02702B" w14:textId="6931B85F" w:rsidR="00EB1968" w:rsidRDefault="00EB1968" w:rsidP="00EB1968">
      <w:pPr>
        <w:rPr>
          <w:rFonts w:ascii="Encode Sans ExpandedLight" w:hAnsi="Encode Sans ExpandedLight"/>
          <w:sz w:val="21"/>
          <w:szCs w:val="21"/>
        </w:rPr>
      </w:pPr>
      <w:r w:rsidRPr="00EB1968">
        <w:rPr>
          <w:rFonts w:ascii="Encode Sans ExpandedLight" w:hAnsi="Encode Sans ExpandedLight"/>
          <w:sz w:val="21"/>
          <w:szCs w:val="21"/>
        </w:rPr>
        <w:t xml:space="preserve">Comme annoncé précédemment, le calendrier de la Distribution sera le </w:t>
      </w:r>
      <w:proofErr w:type="gramStart"/>
      <w:r w:rsidRPr="00EB1968">
        <w:rPr>
          <w:rFonts w:ascii="Encode Sans ExpandedLight" w:hAnsi="Encode Sans ExpandedLight"/>
          <w:sz w:val="21"/>
          <w:szCs w:val="21"/>
        </w:rPr>
        <w:t>suivant:</w:t>
      </w:r>
      <w:proofErr w:type="gramEnd"/>
      <w:r w:rsidRPr="00EB1968">
        <w:rPr>
          <w:rFonts w:ascii="Encode Sans ExpandedLight" w:hAnsi="Encode Sans ExpandedLight"/>
          <w:sz w:val="21"/>
          <w:szCs w:val="21"/>
        </w:rPr>
        <w:t xml:space="preserve"> </w:t>
      </w:r>
      <w:r w:rsidRPr="00BB6D3E">
        <w:rPr>
          <w:rFonts w:ascii="Encode Sans ExpandedLight" w:hAnsi="Encode Sans ExpandedLight"/>
          <w:sz w:val="21"/>
          <w:szCs w:val="21"/>
        </w:rPr>
        <w:t xml:space="preserve">(i) ex-date le lundi 15 mars 2021; et (ii) record date le mardi 16 mars 2021. Les porteurs d'actions </w:t>
      </w:r>
      <w:r w:rsidR="00DA7C83">
        <w:rPr>
          <w:rFonts w:ascii="Encode Sans ExpandedLight" w:hAnsi="Encode Sans ExpandedLight"/>
          <w:sz w:val="21"/>
          <w:szCs w:val="21"/>
        </w:rPr>
        <w:t xml:space="preserve">ordinaires </w:t>
      </w:r>
      <w:r w:rsidRPr="00BB6D3E">
        <w:rPr>
          <w:rFonts w:ascii="Encode Sans ExpandedLight" w:hAnsi="Encode Sans ExpandedLight"/>
          <w:sz w:val="21"/>
          <w:szCs w:val="21"/>
        </w:rPr>
        <w:t xml:space="preserve">de </w:t>
      </w:r>
      <w:proofErr w:type="spellStart"/>
      <w:r w:rsidRPr="00BB6D3E">
        <w:rPr>
          <w:rFonts w:ascii="Encode Sans ExpandedLight" w:hAnsi="Encode Sans ExpandedLight"/>
          <w:sz w:val="21"/>
          <w:szCs w:val="21"/>
        </w:rPr>
        <w:t>Stellantis</w:t>
      </w:r>
      <w:proofErr w:type="spellEnd"/>
      <w:r w:rsidRPr="00BB6D3E">
        <w:rPr>
          <w:rFonts w:ascii="Encode Sans ExpandedLight" w:hAnsi="Encode Sans ExpandedLight"/>
          <w:sz w:val="21"/>
          <w:szCs w:val="21"/>
        </w:rPr>
        <w:t xml:space="preserve"> auront droit </w:t>
      </w:r>
      <w:proofErr w:type="gramStart"/>
      <w:r w:rsidRPr="00BB6D3E">
        <w:rPr>
          <w:rFonts w:ascii="Encode Sans ExpandedLight" w:hAnsi="Encode Sans ExpandedLight"/>
          <w:sz w:val="21"/>
          <w:szCs w:val="21"/>
        </w:rPr>
        <w:t>à:</w:t>
      </w:r>
      <w:proofErr w:type="gramEnd"/>
      <w:r w:rsidRPr="00BB6D3E">
        <w:rPr>
          <w:rFonts w:ascii="Encode Sans ExpandedLight" w:hAnsi="Encode Sans ExpandedLight"/>
          <w:sz w:val="21"/>
          <w:szCs w:val="21"/>
        </w:rPr>
        <w:t xml:space="preserve"> (i) 0,017029 action ordinaire de </w:t>
      </w:r>
      <w:proofErr w:type="spellStart"/>
      <w:r w:rsidRPr="00BB6D3E">
        <w:rPr>
          <w:rFonts w:ascii="Encode Sans ExpandedLight" w:hAnsi="Encode Sans ExpandedLight"/>
          <w:sz w:val="21"/>
          <w:szCs w:val="21"/>
        </w:rPr>
        <w:t>Faurecia</w:t>
      </w:r>
      <w:proofErr w:type="spellEnd"/>
      <w:r w:rsidRPr="00BB6D3E">
        <w:rPr>
          <w:rFonts w:ascii="Encode Sans ExpandedLight" w:hAnsi="Encode Sans ExpandedLight"/>
          <w:sz w:val="21"/>
          <w:szCs w:val="21"/>
        </w:rPr>
        <w:t xml:space="preserve">; et (ii) 0,096677 euro pour chaque action </w:t>
      </w:r>
      <w:r w:rsidR="00DA7C83">
        <w:rPr>
          <w:rFonts w:ascii="Encode Sans ExpandedLight" w:hAnsi="Encode Sans ExpandedLight"/>
          <w:sz w:val="21"/>
          <w:szCs w:val="21"/>
        </w:rPr>
        <w:t xml:space="preserve">ordinaire </w:t>
      </w:r>
      <w:r w:rsidRPr="00BB6D3E">
        <w:rPr>
          <w:rFonts w:ascii="Encode Sans ExpandedLight" w:hAnsi="Encode Sans ExpandedLight"/>
          <w:sz w:val="21"/>
          <w:szCs w:val="21"/>
        </w:rPr>
        <w:t xml:space="preserve">de </w:t>
      </w:r>
      <w:proofErr w:type="spellStart"/>
      <w:r w:rsidRPr="00BB6D3E">
        <w:rPr>
          <w:rFonts w:ascii="Encode Sans ExpandedLight" w:hAnsi="Encode Sans ExpandedLight"/>
          <w:sz w:val="21"/>
          <w:szCs w:val="21"/>
        </w:rPr>
        <w:t>Stellantis</w:t>
      </w:r>
      <w:proofErr w:type="spellEnd"/>
      <w:r w:rsidRPr="00BB6D3E">
        <w:rPr>
          <w:rFonts w:ascii="Encode Sans ExpandedLight" w:hAnsi="Encode Sans ExpandedLight"/>
          <w:sz w:val="21"/>
          <w:szCs w:val="21"/>
        </w:rPr>
        <w:t xml:space="preserve"> qu'ils détiennent à la record date de la Distribution. La part en numéraire de la distribution sera payée </w:t>
      </w:r>
      <w:r w:rsidR="00DA7C83">
        <w:rPr>
          <w:rFonts w:ascii="Encode Sans ExpandedLight" w:hAnsi="Encode Sans ExpandedLight"/>
          <w:sz w:val="21"/>
          <w:szCs w:val="21"/>
        </w:rPr>
        <w:t xml:space="preserve">le </w:t>
      </w:r>
      <w:r w:rsidRPr="00BB6D3E">
        <w:rPr>
          <w:rFonts w:ascii="Encode Sans ExpandedLight" w:hAnsi="Encode Sans ExpandedLight"/>
          <w:sz w:val="21"/>
          <w:szCs w:val="21"/>
        </w:rPr>
        <w:t>lundi 22 mars 2021</w:t>
      </w:r>
      <w:r>
        <w:rPr>
          <w:rFonts w:ascii="Encode Sans ExpandedLight" w:hAnsi="Encode Sans ExpandedLight"/>
          <w:sz w:val="21"/>
          <w:szCs w:val="21"/>
        </w:rPr>
        <w:t xml:space="preserve"> </w:t>
      </w:r>
      <w:r w:rsidRPr="00EB1968">
        <w:rPr>
          <w:rFonts w:ascii="Encode Sans ExpandedLight" w:hAnsi="Encode Sans ExpandedLight"/>
          <w:sz w:val="21"/>
          <w:szCs w:val="21"/>
        </w:rPr>
        <w:t xml:space="preserve">et les détenteurs d'actions ordinaires </w:t>
      </w:r>
      <w:proofErr w:type="spellStart"/>
      <w:r w:rsidRPr="00EB1968">
        <w:rPr>
          <w:rFonts w:ascii="Encode Sans ExpandedLight" w:hAnsi="Encode Sans ExpandedLight"/>
          <w:sz w:val="21"/>
          <w:szCs w:val="21"/>
        </w:rPr>
        <w:t>Stellantis</w:t>
      </w:r>
      <w:proofErr w:type="spellEnd"/>
      <w:r w:rsidRPr="00EB1968">
        <w:rPr>
          <w:rFonts w:ascii="Encode Sans ExpandedLight" w:hAnsi="Encode Sans ExpandedLight"/>
          <w:sz w:val="21"/>
          <w:szCs w:val="21"/>
        </w:rPr>
        <w:t xml:space="preserve"> négociées </w:t>
      </w:r>
      <w:r w:rsidR="008D0927">
        <w:rPr>
          <w:rFonts w:ascii="Encode Sans ExpandedLight" w:hAnsi="Encode Sans ExpandedLight"/>
          <w:sz w:val="21"/>
          <w:szCs w:val="21"/>
        </w:rPr>
        <w:t>au</w:t>
      </w:r>
      <w:r w:rsidRPr="00EB1968">
        <w:rPr>
          <w:rFonts w:ascii="Encode Sans ExpandedLight" w:hAnsi="Encode Sans ExpandedLight"/>
          <w:sz w:val="21"/>
          <w:szCs w:val="21"/>
        </w:rPr>
        <w:t xml:space="preserve"> New York </w:t>
      </w:r>
      <w:r w:rsidR="00DA7C83" w:rsidRPr="0065211A">
        <w:rPr>
          <w:rFonts w:ascii="Encode Sans ExpandedLight" w:hAnsi="Encode Sans ExpandedLight"/>
          <w:sz w:val="21"/>
          <w:szCs w:val="21"/>
        </w:rPr>
        <w:t>Stock Exchange</w:t>
      </w:r>
      <w:r w:rsidR="00DA7C83">
        <w:rPr>
          <w:rFonts w:eastAsia="Times New Roman" w:cs="Times New Roman"/>
          <w:sz w:val="21"/>
          <w:szCs w:val="21"/>
        </w:rPr>
        <w:t xml:space="preserve"> </w:t>
      </w:r>
      <w:r w:rsidRPr="00EB1968">
        <w:rPr>
          <w:rFonts w:ascii="Encode Sans ExpandedLight" w:hAnsi="Encode Sans ExpandedLight"/>
          <w:sz w:val="21"/>
          <w:szCs w:val="21"/>
        </w:rPr>
        <w:t xml:space="preserve">la recevront en </w:t>
      </w:r>
      <w:r w:rsidR="00DA7C83">
        <w:rPr>
          <w:rFonts w:ascii="Encode Sans ExpandedLight" w:hAnsi="Encode Sans ExpandedLight"/>
          <w:sz w:val="21"/>
          <w:szCs w:val="21"/>
        </w:rPr>
        <w:t xml:space="preserve">US </w:t>
      </w:r>
      <w:r w:rsidRPr="00EB1968">
        <w:rPr>
          <w:rFonts w:ascii="Encode Sans ExpandedLight" w:hAnsi="Encode Sans ExpandedLight"/>
          <w:sz w:val="21"/>
          <w:szCs w:val="21"/>
        </w:rPr>
        <w:t>dollars</w:t>
      </w:r>
      <w:r w:rsidR="00DA7C83">
        <w:rPr>
          <w:rFonts w:ascii="Encode Sans ExpandedLight" w:hAnsi="Encode Sans ExpandedLight"/>
          <w:sz w:val="21"/>
          <w:szCs w:val="21"/>
        </w:rPr>
        <w:t xml:space="preserve"> (USD)</w:t>
      </w:r>
      <w:r w:rsidRPr="00EB1968">
        <w:rPr>
          <w:rFonts w:ascii="Encode Sans ExpandedLight" w:hAnsi="Encode Sans ExpandedLight"/>
          <w:sz w:val="21"/>
          <w:szCs w:val="21"/>
        </w:rPr>
        <w:t xml:space="preserve"> au taux de change officiel USD / EUR communiqué par l</w:t>
      </w:r>
      <w:r>
        <w:rPr>
          <w:rFonts w:ascii="Encode Sans ExpandedLight" w:hAnsi="Encode Sans ExpandedLight"/>
          <w:sz w:val="21"/>
          <w:szCs w:val="21"/>
        </w:rPr>
        <w:t>a Banque C</w:t>
      </w:r>
      <w:r w:rsidRPr="00EB1968">
        <w:rPr>
          <w:rFonts w:ascii="Encode Sans ExpandedLight" w:hAnsi="Encode Sans ExpandedLight"/>
          <w:sz w:val="21"/>
          <w:szCs w:val="21"/>
        </w:rPr>
        <w:t xml:space="preserve">entrale </w:t>
      </w:r>
      <w:r>
        <w:rPr>
          <w:rFonts w:ascii="Encode Sans ExpandedLight" w:hAnsi="Encode Sans ExpandedLight"/>
          <w:sz w:val="21"/>
          <w:szCs w:val="21"/>
        </w:rPr>
        <w:t xml:space="preserve">Européenne </w:t>
      </w:r>
      <w:r w:rsidRPr="00EB1968">
        <w:rPr>
          <w:rFonts w:ascii="Encode Sans ExpandedLight" w:hAnsi="Encode Sans ExpandedLight"/>
          <w:sz w:val="21"/>
          <w:szCs w:val="21"/>
        </w:rPr>
        <w:t>au 11 mars 2021.</w:t>
      </w:r>
    </w:p>
    <w:p w14:paraId="746DF13E" w14:textId="0664F5BE" w:rsidR="00EB1968" w:rsidRDefault="00EB1968" w:rsidP="00EB1968">
      <w:pPr>
        <w:rPr>
          <w:rFonts w:ascii="Encode Sans ExpandedLight" w:hAnsi="Encode Sans ExpandedLight"/>
          <w:sz w:val="21"/>
          <w:szCs w:val="21"/>
        </w:rPr>
      </w:pPr>
    </w:p>
    <w:p w14:paraId="73286FDC" w14:textId="69B75CD0" w:rsidR="006619B6" w:rsidRDefault="00EB1968" w:rsidP="00EB1968">
      <w:pPr>
        <w:rPr>
          <w:rFonts w:ascii="Encode Sans ExpandedLight" w:hAnsi="Encode Sans ExpandedLight"/>
          <w:sz w:val="21"/>
          <w:szCs w:val="21"/>
        </w:rPr>
      </w:pPr>
      <w:r w:rsidRPr="00EB1968">
        <w:rPr>
          <w:rFonts w:ascii="Encode Sans ExpandedLight" w:hAnsi="Encode Sans ExpandedLight"/>
          <w:sz w:val="21"/>
          <w:szCs w:val="21"/>
        </w:rPr>
        <w:t xml:space="preserve">D'une manière générale, les actions ordinaires de </w:t>
      </w:r>
      <w:proofErr w:type="spellStart"/>
      <w:r w:rsidRPr="00EB1968">
        <w:rPr>
          <w:rFonts w:ascii="Encode Sans ExpandedLight" w:hAnsi="Encode Sans ExpandedLight"/>
          <w:sz w:val="21"/>
          <w:szCs w:val="21"/>
        </w:rPr>
        <w:t>Faurecia</w:t>
      </w:r>
      <w:proofErr w:type="spellEnd"/>
      <w:r w:rsidRPr="00EB1968">
        <w:rPr>
          <w:rFonts w:ascii="Encode Sans ExpandedLight" w:hAnsi="Encode Sans ExpandedLight"/>
          <w:sz w:val="21"/>
          <w:szCs w:val="21"/>
        </w:rPr>
        <w:t xml:space="preserve"> seront livrées aux porteurs d</w:t>
      </w:r>
      <w:r w:rsidR="00E41681">
        <w:rPr>
          <w:rFonts w:ascii="Encode Sans ExpandedLight" w:hAnsi="Encode Sans ExpandedLight"/>
          <w:sz w:val="21"/>
          <w:szCs w:val="21"/>
        </w:rPr>
        <w:t>'actions</w:t>
      </w:r>
      <w:r w:rsidR="00DA7C83">
        <w:rPr>
          <w:rFonts w:ascii="Encode Sans ExpandedLight" w:hAnsi="Encode Sans ExpandedLight"/>
          <w:sz w:val="21"/>
          <w:szCs w:val="21"/>
        </w:rPr>
        <w:t xml:space="preserve"> ordinaires</w:t>
      </w:r>
      <w:r w:rsidR="00E41681">
        <w:rPr>
          <w:rFonts w:ascii="Encode Sans ExpandedLight" w:hAnsi="Encode Sans ExpandedLight"/>
          <w:sz w:val="21"/>
          <w:szCs w:val="21"/>
        </w:rPr>
        <w:t xml:space="preserve"> </w:t>
      </w:r>
      <w:r w:rsidR="00DA7C83">
        <w:rPr>
          <w:rFonts w:ascii="Encode Sans ExpandedLight" w:hAnsi="Encode Sans ExpandedLight"/>
          <w:sz w:val="21"/>
          <w:szCs w:val="21"/>
        </w:rPr>
        <w:t xml:space="preserve">de </w:t>
      </w:r>
      <w:proofErr w:type="spellStart"/>
      <w:r w:rsidR="00E41681">
        <w:rPr>
          <w:rFonts w:ascii="Encode Sans ExpandedLight" w:hAnsi="Encode Sans ExpandedLight"/>
          <w:sz w:val="21"/>
          <w:szCs w:val="21"/>
        </w:rPr>
        <w:t>Stellantis</w:t>
      </w:r>
      <w:proofErr w:type="spellEnd"/>
      <w:r w:rsidR="00E41681">
        <w:rPr>
          <w:rFonts w:ascii="Encode Sans ExpandedLight" w:hAnsi="Encode Sans ExpandedLight"/>
          <w:sz w:val="21"/>
          <w:szCs w:val="21"/>
        </w:rPr>
        <w:t xml:space="preserve"> </w:t>
      </w:r>
      <w:r w:rsidR="008D0927">
        <w:rPr>
          <w:rFonts w:ascii="Encode Sans ExpandedLight" w:hAnsi="Encode Sans ExpandedLight"/>
          <w:sz w:val="21"/>
          <w:szCs w:val="21"/>
        </w:rPr>
        <w:t>éligibles</w:t>
      </w:r>
      <w:r w:rsidRPr="00EB1968">
        <w:rPr>
          <w:rFonts w:ascii="Encode Sans ExpandedLight" w:hAnsi="Encode Sans ExpandedLight"/>
          <w:sz w:val="21"/>
          <w:szCs w:val="21"/>
        </w:rPr>
        <w:t xml:space="preserve"> le lundi 22 mars 2021, sous réserve des restrictions et </w:t>
      </w:r>
      <w:r w:rsidR="008D0927">
        <w:rPr>
          <w:rFonts w:ascii="Encode Sans ExpandedLight" w:hAnsi="Encode Sans ExpandedLight"/>
          <w:sz w:val="21"/>
          <w:szCs w:val="21"/>
        </w:rPr>
        <w:t>conditions</w:t>
      </w:r>
      <w:r w:rsidRPr="00EB1968">
        <w:rPr>
          <w:rFonts w:ascii="Encode Sans ExpandedLight" w:hAnsi="Encode Sans ExpandedLight"/>
          <w:sz w:val="21"/>
          <w:szCs w:val="21"/>
        </w:rPr>
        <w:t xml:space="preserve"> énoncées ci-dessous. </w:t>
      </w:r>
    </w:p>
    <w:p w14:paraId="2D5072CC" w14:textId="77777777" w:rsidR="006619B6" w:rsidRDefault="006619B6" w:rsidP="00EB1968">
      <w:pPr>
        <w:rPr>
          <w:rFonts w:ascii="Encode Sans ExpandedLight" w:hAnsi="Encode Sans ExpandedLight"/>
          <w:sz w:val="21"/>
          <w:szCs w:val="21"/>
        </w:rPr>
      </w:pPr>
    </w:p>
    <w:p w14:paraId="04A51F6F" w14:textId="38759987" w:rsidR="00112031" w:rsidRDefault="00EB1968" w:rsidP="00EB1968">
      <w:pPr>
        <w:rPr>
          <w:rFonts w:ascii="Encode Sans ExpandedLight" w:hAnsi="Encode Sans ExpandedLight"/>
          <w:sz w:val="21"/>
          <w:szCs w:val="21"/>
        </w:rPr>
      </w:pPr>
      <w:proofErr w:type="gramStart"/>
      <w:r w:rsidRPr="00EB1968">
        <w:rPr>
          <w:rFonts w:ascii="Encode Sans ExpandedLight" w:hAnsi="Encode Sans ExpandedLight"/>
          <w:sz w:val="21"/>
          <w:szCs w:val="21"/>
        </w:rPr>
        <w:t xml:space="preserve">Étant donné que les actions ordinaires de </w:t>
      </w:r>
      <w:proofErr w:type="spellStart"/>
      <w:r w:rsidRPr="00EB1968">
        <w:rPr>
          <w:rFonts w:ascii="Encode Sans ExpandedLight" w:hAnsi="Encode Sans ExpandedLight"/>
          <w:sz w:val="21"/>
          <w:szCs w:val="21"/>
        </w:rPr>
        <w:t>Faurecia</w:t>
      </w:r>
      <w:proofErr w:type="spellEnd"/>
      <w:r w:rsidRPr="00EB1968">
        <w:rPr>
          <w:rFonts w:ascii="Encode Sans ExpandedLight" w:hAnsi="Encode Sans ExpandedLight"/>
          <w:sz w:val="21"/>
          <w:szCs w:val="21"/>
        </w:rPr>
        <w:t xml:space="preserve"> ne sont actuellement pas éligibles à la compensation et au règlement via DTC ou sur un registre tenu aux États-Unis, afin de recevoir les actions ordinaires de </w:t>
      </w:r>
      <w:proofErr w:type="spellStart"/>
      <w:r w:rsidRPr="00EB1968">
        <w:rPr>
          <w:rFonts w:ascii="Encode Sans ExpandedLight" w:hAnsi="Encode Sans ExpandedLight"/>
          <w:sz w:val="21"/>
          <w:szCs w:val="21"/>
        </w:rPr>
        <w:t>Faurecia</w:t>
      </w:r>
      <w:proofErr w:type="spellEnd"/>
      <w:r w:rsidRPr="00EB1968">
        <w:rPr>
          <w:rFonts w:ascii="Encode Sans ExpandedLight" w:hAnsi="Encode Sans ExpandedLight"/>
          <w:sz w:val="21"/>
          <w:szCs w:val="21"/>
        </w:rPr>
        <w:t xml:space="preserve"> dans le cadre de la Distribution, les actionnaires détenant des actions ordinaires de </w:t>
      </w:r>
      <w:proofErr w:type="spellStart"/>
      <w:r w:rsidRPr="00EB1968">
        <w:rPr>
          <w:rFonts w:ascii="Encode Sans ExpandedLight" w:hAnsi="Encode Sans ExpandedLight"/>
          <w:sz w:val="21"/>
          <w:szCs w:val="21"/>
        </w:rPr>
        <w:t>Stellantis</w:t>
      </w:r>
      <w:proofErr w:type="spellEnd"/>
      <w:r w:rsidRPr="00EB1968">
        <w:rPr>
          <w:rFonts w:ascii="Encode Sans ExpandedLight" w:hAnsi="Encode Sans ExpandedLight"/>
          <w:sz w:val="21"/>
          <w:szCs w:val="21"/>
        </w:rPr>
        <w:t xml:space="preserve"> </w:t>
      </w:r>
      <w:r w:rsidR="006619B6">
        <w:rPr>
          <w:rFonts w:ascii="Encode Sans ExpandedLight" w:hAnsi="Encode Sans ExpandedLight"/>
          <w:sz w:val="21"/>
          <w:szCs w:val="21"/>
        </w:rPr>
        <w:t>dans</w:t>
      </w:r>
      <w:r w:rsidR="006619B6" w:rsidRPr="00EB1968">
        <w:rPr>
          <w:rFonts w:ascii="Encode Sans ExpandedLight" w:hAnsi="Encode Sans ExpandedLight"/>
          <w:sz w:val="21"/>
          <w:szCs w:val="21"/>
        </w:rPr>
        <w:t xml:space="preserve"> </w:t>
      </w:r>
      <w:r w:rsidRPr="00EB1968">
        <w:rPr>
          <w:rFonts w:ascii="Encode Sans ExpandedLight" w:hAnsi="Encode Sans ExpandedLight"/>
          <w:sz w:val="21"/>
          <w:szCs w:val="21"/>
        </w:rPr>
        <w:t xml:space="preserve">un compte de </w:t>
      </w:r>
      <w:r w:rsidR="006619B6">
        <w:rPr>
          <w:rFonts w:ascii="Encode Sans ExpandedLight" w:hAnsi="Encode Sans ExpandedLight"/>
          <w:sz w:val="21"/>
          <w:szCs w:val="21"/>
        </w:rPr>
        <w:t xml:space="preserve">«DTC </w:t>
      </w:r>
      <w:r w:rsidRPr="00EB1968">
        <w:rPr>
          <w:rFonts w:ascii="Encode Sans ExpandedLight" w:hAnsi="Encode Sans ExpandedLight"/>
          <w:sz w:val="21"/>
          <w:szCs w:val="21"/>
        </w:rPr>
        <w:t>participant</w:t>
      </w:r>
      <w:r w:rsidR="006619B6">
        <w:rPr>
          <w:rFonts w:ascii="Encode Sans ExpandedLight" w:hAnsi="Encode Sans ExpandedLight"/>
          <w:sz w:val="21"/>
          <w:szCs w:val="21"/>
        </w:rPr>
        <w:t>»</w:t>
      </w:r>
      <w:r w:rsidRPr="00EB1968">
        <w:rPr>
          <w:rFonts w:ascii="Encode Sans ExpandedLight" w:hAnsi="Encode Sans ExpandedLight"/>
          <w:sz w:val="21"/>
          <w:szCs w:val="21"/>
        </w:rPr>
        <w:t xml:space="preserve"> ou en tant que titulaire inscrit au registre </w:t>
      </w:r>
      <w:r w:rsidR="006619B6">
        <w:rPr>
          <w:rFonts w:ascii="Encode Sans ExpandedLight" w:hAnsi="Encode Sans ExpandedLight"/>
          <w:sz w:val="21"/>
          <w:szCs w:val="21"/>
        </w:rPr>
        <w:t xml:space="preserve">US </w:t>
      </w:r>
      <w:r w:rsidRPr="00EB1968">
        <w:rPr>
          <w:rFonts w:ascii="Encode Sans ExpandedLight" w:hAnsi="Encode Sans ExpandedLight"/>
          <w:sz w:val="21"/>
          <w:szCs w:val="21"/>
        </w:rPr>
        <w:t xml:space="preserve">des actions </w:t>
      </w:r>
      <w:proofErr w:type="spellStart"/>
      <w:r w:rsidRPr="00EB1968">
        <w:rPr>
          <w:rFonts w:ascii="Encode Sans ExpandedLight" w:hAnsi="Encode Sans ExpandedLight"/>
          <w:sz w:val="21"/>
          <w:szCs w:val="21"/>
        </w:rPr>
        <w:t>Stellantis</w:t>
      </w:r>
      <w:proofErr w:type="spellEnd"/>
      <w:r w:rsidR="006619B6">
        <w:rPr>
          <w:rFonts w:ascii="Encode Sans ExpandedLight" w:hAnsi="Encode Sans ExpandedLight"/>
          <w:sz w:val="21"/>
          <w:szCs w:val="21"/>
        </w:rPr>
        <w:t xml:space="preserve"> </w:t>
      </w:r>
      <w:r w:rsidR="006619B6" w:rsidRPr="00B50E33">
        <w:rPr>
          <w:rFonts w:ascii="Encode Sans ExpandedLight" w:hAnsi="Encode Sans ExpandedLight"/>
          <w:sz w:val="21"/>
          <w:szCs w:val="21"/>
        </w:rPr>
        <w:t>(«</w:t>
      </w:r>
      <w:proofErr w:type="spellStart"/>
      <w:r w:rsidR="006619B6" w:rsidRPr="00B50E33">
        <w:rPr>
          <w:rFonts w:ascii="Encode Sans ExpandedLight" w:hAnsi="Encode Sans ExpandedLight"/>
          <w:sz w:val="21"/>
          <w:szCs w:val="21"/>
        </w:rPr>
        <w:t>registered</w:t>
      </w:r>
      <w:proofErr w:type="spellEnd"/>
      <w:r w:rsidR="006619B6" w:rsidRPr="00B50E33">
        <w:rPr>
          <w:rFonts w:ascii="Encode Sans ExpandedLight" w:hAnsi="Encode Sans ExpandedLight"/>
          <w:sz w:val="21"/>
          <w:szCs w:val="21"/>
        </w:rPr>
        <w:t xml:space="preserve"> </w:t>
      </w:r>
      <w:proofErr w:type="spellStart"/>
      <w:r w:rsidR="006619B6" w:rsidRPr="00B50E33">
        <w:rPr>
          <w:rFonts w:ascii="Encode Sans ExpandedLight" w:hAnsi="Encode Sans ExpandedLight"/>
          <w:sz w:val="21"/>
          <w:szCs w:val="21"/>
        </w:rPr>
        <w:t>holder</w:t>
      </w:r>
      <w:proofErr w:type="spellEnd"/>
      <w:r w:rsidR="006619B6" w:rsidRPr="006619B6">
        <w:rPr>
          <w:rFonts w:ascii="Encode Sans ExpandedLight" w:hAnsi="Encode Sans ExpandedLight"/>
          <w:sz w:val="21"/>
          <w:szCs w:val="21"/>
        </w:rPr>
        <w:t>»)</w:t>
      </w:r>
      <w:r w:rsidRPr="006619B6">
        <w:rPr>
          <w:rFonts w:ascii="Encode Sans ExpandedLight" w:hAnsi="Encode Sans ExpandedLight"/>
          <w:sz w:val="21"/>
          <w:szCs w:val="21"/>
        </w:rPr>
        <w:t>,</w:t>
      </w:r>
      <w:r w:rsidRPr="00EB1968">
        <w:rPr>
          <w:rFonts w:ascii="Encode Sans ExpandedLight" w:hAnsi="Encode Sans ExpandedLight"/>
          <w:sz w:val="21"/>
          <w:szCs w:val="21"/>
        </w:rPr>
        <w:t xml:space="preserve"> sont tenus de fournir les coordonnées d'un compte-titres auprès d'un intermédiaire participant à </w:t>
      </w:r>
      <w:proofErr w:type="spellStart"/>
      <w:r w:rsidRPr="00EB1968">
        <w:rPr>
          <w:rFonts w:ascii="Encode Sans ExpandedLight" w:hAnsi="Encode Sans ExpandedLight"/>
          <w:sz w:val="21"/>
          <w:szCs w:val="21"/>
        </w:rPr>
        <w:t>Euroclear</w:t>
      </w:r>
      <w:proofErr w:type="spellEnd"/>
      <w:r w:rsidRPr="00EB1968">
        <w:rPr>
          <w:rFonts w:ascii="Encode Sans ExpandedLight" w:hAnsi="Encode Sans ExpandedLight"/>
          <w:sz w:val="21"/>
          <w:szCs w:val="21"/>
        </w:rPr>
        <w:t xml:space="preserve"> France sur lequel leur droit aux actions ordinaires </w:t>
      </w:r>
      <w:proofErr w:type="spellStart"/>
      <w:r w:rsidRPr="00EB1968">
        <w:rPr>
          <w:rFonts w:ascii="Encode Sans ExpandedLight" w:hAnsi="Encode Sans ExpandedLight"/>
          <w:sz w:val="21"/>
          <w:szCs w:val="21"/>
        </w:rPr>
        <w:t>Faurecia</w:t>
      </w:r>
      <w:proofErr w:type="spellEnd"/>
      <w:r w:rsidRPr="00EB1968">
        <w:rPr>
          <w:rFonts w:ascii="Encode Sans ExpandedLight" w:hAnsi="Encode Sans ExpandedLight"/>
          <w:sz w:val="21"/>
          <w:szCs w:val="21"/>
        </w:rPr>
        <w:t xml:space="preserve"> </w:t>
      </w:r>
      <w:r w:rsidR="006619B6">
        <w:rPr>
          <w:rFonts w:ascii="Encode Sans ExpandedLight" w:hAnsi="Encode Sans ExpandedLight"/>
          <w:sz w:val="21"/>
          <w:szCs w:val="21"/>
        </w:rPr>
        <w:t>pourra</w:t>
      </w:r>
      <w:r w:rsidR="006619B6" w:rsidRPr="00EB1968">
        <w:rPr>
          <w:rFonts w:ascii="Encode Sans ExpandedLight" w:hAnsi="Encode Sans ExpandedLight"/>
          <w:sz w:val="21"/>
          <w:szCs w:val="21"/>
        </w:rPr>
        <w:t xml:space="preserve"> </w:t>
      </w:r>
      <w:r w:rsidRPr="00EB1968">
        <w:rPr>
          <w:rFonts w:ascii="Encode Sans ExpandedLight" w:hAnsi="Encode Sans ExpandedLight"/>
          <w:sz w:val="21"/>
          <w:szCs w:val="21"/>
        </w:rPr>
        <w:t>être délivré.</w:t>
      </w:r>
      <w:proofErr w:type="gramEnd"/>
      <w:r w:rsidRPr="00EB1968">
        <w:rPr>
          <w:rFonts w:ascii="Encode Sans ExpandedLight" w:hAnsi="Encode Sans ExpandedLight"/>
          <w:sz w:val="21"/>
          <w:szCs w:val="21"/>
        </w:rPr>
        <w:t xml:space="preserve"> </w:t>
      </w:r>
      <w:proofErr w:type="spellStart"/>
      <w:r w:rsidRPr="00EB1968">
        <w:rPr>
          <w:rFonts w:ascii="Encode Sans ExpandedLight" w:hAnsi="Encode Sans ExpandedLight"/>
          <w:sz w:val="21"/>
          <w:szCs w:val="21"/>
        </w:rPr>
        <w:t>Stellantis</w:t>
      </w:r>
      <w:proofErr w:type="spellEnd"/>
      <w:r w:rsidRPr="00EB1968">
        <w:rPr>
          <w:rFonts w:ascii="Encode Sans ExpandedLight" w:hAnsi="Encode Sans ExpandedLight"/>
          <w:sz w:val="21"/>
          <w:szCs w:val="21"/>
        </w:rPr>
        <w:t xml:space="preserve"> ne sera pas en mesure de livrer </w:t>
      </w:r>
      <w:r w:rsidR="00B50E33">
        <w:rPr>
          <w:rFonts w:ascii="Encode Sans ExpandedLight" w:hAnsi="Encode Sans ExpandedLight"/>
          <w:sz w:val="21"/>
          <w:szCs w:val="21"/>
        </w:rPr>
        <w:t xml:space="preserve">des </w:t>
      </w:r>
      <w:r w:rsidRPr="00EB1968">
        <w:rPr>
          <w:rFonts w:ascii="Encode Sans ExpandedLight" w:hAnsi="Encode Sans ExpandedLight"/>
          <w:sz w:val="21"/>
          <w:szCs w:val="21"/>
        </w:rPr>
        <w:t xml:space="preserve">actions ordinaires </w:t>
      </w:r>
      <w:proofErr w:type="spellStart"/>
      <w:r w:rsidRPr="00EB1968">
        <w:rPr>
          <w:rFonts w:ascii="Encode Sans ExpandedLight" w:hAnsi="Encode Sans ExpandedLight"/>
          <w:sz w:val="21"/>
          <w:szCs w:val="21"/>
        </w:rPr>
        <w:t>Faurecia</w:t>
      </w:r>
      <w:proofErr w:type="spellEnd"/>
      <w:r w:rsidRPr="00EB1968">
        <w:rPr>
          <w:rFonts w:ascii="Encode Sans ExpandedLight" w:hAnsi="Encode Sans ExpandedLight"/>
          <w:sz w:val="21"/>
          <w:szCs w:val="21"/>
        </w:rPr>
        <w:t xml:space="preserve"> aux actionnaires détenant des actions ordinaires </w:t>
      </w:r>
      <w:r w:rsidR="006619B6">
        <w:rPr>
          <w:rFonts w:ascii="Encode Sans ExpandedLight" w:hAnsi="Encode Sans ExpandedLight"/>
          <w:sz w:val="21"/>
          <w:szCs w:val="21"/>
        </w:rPr>
        <w:t xml:space="preserve">de </w:t>
      </w:r>
      <w:proofErr w:type="spellStart"/>
      <w:r w:rsidRPr="00EB1968">
        <w:rPr>
          <w:rFonts w:ascii="Encode Sans ExpandedLight" w:hAnsi="Encode Sans ExpandedLight"/>
          <w:sz w:val="21"/>
          <w:szCs w:val="21"/>
        </w:rPr>
        <w:t>Stellantis</w:t>
      </w:r>
      <w:proofErr w:type="spellEnd"/>
      <w:r w:rsidRPr="00EB1968">
        <w:rPr>
          <w:rFonts w:ascii="Encode Sans ExpandedLight" w:hAnsi="Encode Sans ExpandedLight"/>
          <w:sz w:val="21"/>
          <w:szCs w:val="21"/>
        </w:rPr>
        <w:t xml:space="preserve"> dans un compte</w:t>
      </w:r>
      <w:r w:rsidR="008D0927">
        <w:rPr>
          <w:rFonts w:ascii="Encode Sans ExpandedLight" w:hAnsi="Encode Sans ExpandedLight"/>
          <w:sz w:val="21"/>
          <w:szCs w:val="21"/>
        </w:rPr>
        <w:t xml:space="preserve"> de</w:t>
      </w:r>
      <w:r w:rsidRPr="00EB1968">
        <w:rPr>
          <w:rFonts w:ascii="Encode Sans ExpandedLight" w:hAnsi="Encode Sans ExpandedLight"/>
          <w:sz w:val="21"/>
          <w:szCs w:val="21"/>
        </w:rPr>
        <w:t xml:space="preserve"> </w:t>
      </w:r>
      <w:r w:rsidR="006619B6">
        <w:rPr>
          <w:rFonts w:ascii="Encode Sans ExpandedLight" w:hAnsi="Encode Sans ExpandedLight"/>
          <w:sz w:val="21"/>
          <w:szCs w:val="21"/>
        </w:rPr>
        <w:t>«DTC</w:t>
      </w:r>
      <w:r w:rsidRPr="00EB1968">
        <w:rPr>
          <w:rFonts w:ascii="Encode Sans ExpandedLight" w:hAnsi="Encode Sans ExpandedLight"/>
          <w:sz w:val="21"/>
          <w:szCs w:val="21"/>
        </w:rPr>
        <w:t xml:space="preserve"> participant</w:t>
      </w:r>
      <w:r w:rsidR="006619B6">
        <w:rPr>
          <w:rFonts w:ascii="Encode Sans ExpandedLight" w:hAnsi="Encode Sans ExpandedLight"/>
          <w:sz w:val="21"/>
          <w:szCs w:val="21"/>
        </w:rPr>
        <w:t>»</w:t>
      </w:r>
      <w:r w:rsidRPr="00EB1968">
        <w:rPr>
          <w:rFonts w:ascii="Encode Sans ExpandedLight" w:hAnsi="Encode Sans ExpandedLight"/>
          <w:sz w:val="21"/>
          <w:szCs w:val="21"/>
        </w:rPr>
        <w:t xml:space="preserve"> </w:t>
      </w:r>
      <w:r w:rsidR="001E54A0">
        <w:rPr>
          <w:rFonts w:ascii="Encode Sans ExpandedLight" w:hAnsi="Encode Sans ExpandedLight"/>
          <w:sz w:val="21"/>
          <w:szCs w:val="21"/>
        </w:rPr>
        <w:t xml:space="preserve">ou aux </w:t>
      </w:r>
      <w:r w:rsidR="00DD1125">
        <w:rPr>
          <w:rFonts w:ascii="Encode Sans ExpandedLight" w:hAnsi="Encode Sans ExpandedLight"/>
          <w:sz w:val="21"/>
          <w:szCs w:val="21"/>
        </w:rPr>
        <w:t>actionnaire</w:t>
      </w:r>
      <w:r w:rsidR="001E54A0">
        <w:rPr>
          <w:rFonts w:ascii="Encode Sans ExpandedLight" w:hAnsi="Encode Sans ExpandedLight"/>
          <w:sz w:val="21"/>
          <w:szCs w:val="21"/>
        </w:rPr>
        <w:t>s</w:t>
      </w:r>
      <w:r w:rsidRPr="00EB1968">
        <w:rPr>
          <w:rFonts w:ascii="Encode Sans ExpandedLight" w:hAnsi="Encode Sans ExpandedLight"/>
          <w:sz w:val="21"/>
          <w:szCs w:val="21"/>
        </w:rPr>
        <w:t xml:space="preserve"> inscrit</w:t>
      </w:r>
      <w:r w:rsidR="001E54A0">
        <w:rPr>
          <w:rFonts w:ascii="Encode Sans ExpandedLight" w:hAnsi="Encode Sans ExpandedLight"/>
          <w:sz w:val="21"/>
          <w:szCs w:val="21"/>
        </w:rPr>
        <w:t>s</w:t>
      </w:r>
      <w:r w:rsidRPr="00EB1968">
        <w:rPr>
          <w:rFonts w:ascii="Encode Sans ExpandedLight" w:hAnsi="Encode Sans ExpandedLight"/>
          <w:sz w:val="21"/>
          <w:szCs w:val="21"/>
        </w:rPr>
        <w:t xml:space="preserve"> au registre</w:t>
      </w:r>
      <w:r w:rsidR="00112031">
        <w:rPr>
          <w:rFonts w:ascii="Encode Sans ExpandedLight" w:hAnsi="Encode Sans ExpandedLight"/>
          <w:sz w:val="21"/>
          <w:szCs w:val="21"/>
        </w:rPr>
        <w:t xml:space="preserve"> US</w:t>
      </w:r>
      <w:r w:rsidRPr="00EB1968">
        <w:rPr>
          <w:rFonts w:ascii="Encode Sans ExpandedLight" w:hAnsi="Encode Sans ExpandedLight"/>
          <w:sz w:val="21"/>
          <w:szCs w:val="21"/>
        </w:rPr>
        <w:t xml:space="preserve"> des actions de </w:t>
      </w:r>
      <w:proofErr w:type="spellStart"/>
      <w:r w:rsidRPr="00EB1968">
        <w:rPr>
          <w:rFonts w:ascii="Encode Sans ExpandedLight" w:hAnsi="Encode Sans ExpandedLight"/>
          <w:sz w:val="21"/>
          <w:szCs w:val="21"/>
        </w:rPr>
        <w:t>Stellantis</w:t>
      </w:r>
      <w:proofErr w:type="spellEnd"/>
      <w:r w:rsidRPr="00EB1968">
        <w:rPr>
          <w:rFonts w:ascii="Encode Sans ExpandedLight" w:hAnsi="Encode Sans ExpandedLight"/>
          <w:sz w:val="21"/>
          <w:szCs w:val="21"/>
        </w:rPr>
        <w:t xml:space="preserve"> </w:t>
      </w:r>
      <w:r w:rsidR="00112031" w:rsidRPr="00223137">
        <w:rPr>
          <w:rFonts w:ascii="Encode Sans ExpandedLight" w:hAnsi="Encode Sans ExpandedLight"/>
          <w:sz w:val="21"/>
          <w:szCs w:val="21"/>
        </w:rPr>
        <w:t>(«</w:t>
      </w:r>
      <w:proofErr w:type="spellStart"/>
      <w:r w:rsidR="00112031" w:rsidRPr="00223137">
        <w:rPr>
          <w:rFonts w:ascii="Encode Sans ExpandedLight" w:hAnsi="Encode Sans ExpandedLight"/>
          <w:sz w:val="21"/>
          <w:szCs w:val="21"/>
        </w:rPr>
        <w:t>registered</w:t>
      </w:r>
      <w:proofErr w:type="spellEnd"/>
      <w:r w:rsidR="00112031" w:rsidRPr="00223137">
        <w:rPr>
          <w:rFonts w:ascii="Encode Sans ExpandedLight" w:hAnsi="Encode Sans ExpandedLight"/>
          <w:sz w:val="21"/>
          <w:szCs w:val="21"/>
        </w:rPr>
        <w:t xml:space="preserve"> </w:t>
      </w:r>
      <w:proofErr w:type="spellStart"/>
      <w:r w:rsidR="00112031" w:rsidRPr="00223137">
        <w:rPr>
          <w:rFonts w:ascii="Encode Sans ExpandedLight" w:hAnsi="Encode Sans ExpandedLight"/>
          <w:sz w:val="21"/>
          <w:szCs w:val="21"/>
        </w:rPr>
        <w:t>holder</w:t>
      </w:r>
      <w:proofErr w:type="spellEnd"/>
      <w:r w:rsidR="00112031" w:rsidRPr="006619B6">
        <w:rPr>
          <w:rFonts w:ascii="Encode Sans ExpandedLight" w:hAnsi="Encode Sans ExpandedLight"/>
          <w:sz w:val="21"/>
          <w:szCs w:val="21"/>
        </w:rPr>
        <w:t>»)</w:t>
      </w:r>
      <w:r w:rsidR="00112031">
        <w:rPr>
          <w:rFonts w:ascii="Encode Sans ExpandedLight" w:hAnsi="Encode Sans ExpandedLight"/>
          <w:sz w:val="21"/>
          <w:szCs w:val="21"/>
        </w:rPr>
        <w:t xml:space="preserve"> </w:t>
      </w:r>
      <w:r w:rsidRPr="00EB1968">
        <w:rPr>
          <w:rFonts w:ascii="Encode Sans ExpandedLight" w:hAnsi="Encode Sans ExpandedLight"/>
          <w:sz w:val="21"/>
          <w:szCs w:val="21"/>
        </w:rPr>
        <w:t xml:space="preserve">à moins </w:t>
      </w:r>
      <w:r w:rsidR="00DE6A75">
        <w:rPr>
          <w:rFonts w:ascii="Encode Sans ExpandedLight" w:hAnsi="Encode Sans ExpandedLight"/>
          <w:sz w:val="21"/>
          <w:szCs w:val="21"/>
        </w:rPr>
        <w:t>qu’ils n’aient</w:t>
      </w:r>
      <w:r w:rsidRPr="00EB1968">
        <w:rPr>
          <w:rFonts w:ascii="Encode Sans ExpandedLight" w:hAnsi="Encode Sans ExpandedLight"/>
          <w:sz w:val="21"/>
          <w:szCs w:val="21"/>
        </w:rPr>
        <w:t xml:space="preserve"> </w:t>
      </w:r>
      <w:r w:rsidR="008D0927">
        <w:rPr>
          <w:rFonts w:ascii="Encode Sans ExpandedLight" w:hAnsi="Encode Sans ExpandedLight"/>
          <w:sz w:val="21"/>
          <w:szCs w:val="21"/>
        </w:rPr>
        <w:t xml:space="preserve">valablement </w:t>
      </w:r>
      <w:r w:rsidRPr="00EB1968">
        <w:rPr>
          <w:rFonts w:ascii="Encode Sans ExpandedLight" w:hAnsi="Encode Sans ExpandedLight"/>
          <w:sz w:val="21"/>
          <w:szCs w:val="21"/>
        </w:rPr>
        <w:t xml:space="preserve">fait </w:t>
      </w:r>
      <w:r w:rsidR="008D0927">
        <w:rPr>
          <w:rFonts w:ascii="Encode Sans ExpandedLight" w:hAnsi="Encode Sans ExpandedLight"/>
          <w:sz w:val="21"/>
          <w:szCs w:val="21"/>
        </w:rPr>
        <w:t>la démarche susvisée</w:t>
      </w:r>
      <w:r w:rsidRPr="00EB1968">
        <w:rPr>
          <w:rFonts w:ascii="Encode Sans ExpandedLight" w:hAnsi="Encode Sans ExpandedLight"/>
          <w:sz w:val="21"/>
          <w:szCs w:val="21"/>
        </w:rPr>
        <w:t xml:space="preserve"> avant </w:t>
      </w:r>
      <w:r w:rsidR="00E41681">
        <w:rPr>
          <w:rFonts w:ascii="Encode Sans ExpandedLight" w:hAnsi="Encode Sans ExpandedLight"/>
          <w:sz w:val="21"/>
          <w:szCs w:val="21"/>
        </w:rPr>
        <w:t xml:space="preserve">le 26 mars 2021, à </w:t>
      </w:r>
      <w:r w:rsidRPr="00EB1968">
        <w:rPr>
          <w:rFonts w:ascii="Encode Sans ExpandedLight" w:hAnsi="Encode Sans ExpandedLight"/>
          <w:sz w:val="21"/>
          <w:szCs w:val="21"/>
        </w:rPr>
        <w:t xml:space="preserve">16h00 </w:t>
      </w:r>
      <w:r w:rsidRPr="00B50E33">
        <w:rPr>
          <w:rFonts w:ascii="Encode Sans ExpandedLight" w:hAnsi="Encode Sans ExpandedLight"/>
          <w:sz w:val="21"/>
          <w:szCs w:val="21"/>
        </w:rPr>
        <w:t>(</w:t>
      </w:r>
      <w:r w:rsidR="00E41681" w:rsidRPr="00B50E33">
        <w:rPr>
          <w:rFonts w:ascii="Encode Sans ExpandedLight" w:hAnsi="Encode Sans ExpandedLight"/>
          <w:sz w:val="21"/>
          <w:szCs w:val="21"/>
        </w:rPr>
        <w:t>fuseau horaire</w:t>
      </w:r>
      <w:r w:rsidR="008D0927" w:rsidRPr="00B50E33">
        <w:rPr>
          <w:rFonts w:ascii="Encode Sans ExpandedLight" w:hAnsi="Encode Sans ExpandedLight"/>
          <w:sz w:val="21"/>
          <w:szCs w:val="21"/>
        </w:rPr>
        <w:t xml:space="preserve"> US </w:t>
      </w:r>
      <w:proofErr w:type="spellStart"/>
      <w:r w:rsidR="008D0927" w:rsidRPr="00B50E33">
        <w:rPr>
          <w:rFonts w:ascii="Encode Sans ExpandedLight" w:hAnsi="Encode Sans ExpandedLight"/>
          <w:sz w:val="21"/>
          <w:szCs w:val="21"/>
        </w:rPr>
        <w:t>Eastern</w:t>
      </w:r>
      <w:proofErr w:type="spellEnd"/>
      <w:r w:rsidR="008D0927" w:rsidRPr="00B50E33">
        <w:rPr>
          <w:rFonts w:ascii="Encode Sans ExpandedLight" w:hAnsi="Encode Sans ExpandedLight"/>
          <w:sz w:val="21"/>
          <w:szCs w:val="21"/>
        </w:rPr>
        <w:t xml:space="preserve"> Time)</w:t>
      </w:r>
      <w:r w:rsidRPr="00B50E33">
        <w:rPr>
          <w:rFonts w:ascii="Encode Sans ExpandedLight" w:hAnsi="Encode Sans ExpandedLight"/>
          <w:sz w:val="21"/>
          <w:szCs w:val="21"/>
        </w:rPr>
        <w:t xml:space="preserve">. La livraison aux détenteurs qui ont </w:t>
      </w:r>
      <w:r w:rsidR="008D0927" w:rsidRPr="00B50E33">
        <w:rPr>
          <w:rFonts w:ascii="Encode Sans ExpandedLight" w:hAnsi="Encode Sans ExpandedLight"/>
          <w:sz w:val="21"/>
          <w:szCs w:val="21"/>
        </w:rPr>
        <w:t>valablement</w:t>
      </w:r>
      <w:r w:rsidR="008D0927">
        <w:rPr>
          <w:rFonts w:ascii="Encode Sans ExpandedLight" w:hAnsi="Encode Sans ExpandedLight"/>
          <w:sz w:val="21"/>
          <w:szCs w:val="21"/>
        </w:rPr>
        <w:t xml:space="preserve"> </w:t>
      </w:r>
      <w:r w:rsidR="00DD1125">
        <w:rPr>
          <w:rFonts w:ascii="Encode Sans ExpandedLight" w:hAnsi="Encode Sans ExpandedLight"/>
          <w:sz w:val="21"/>
          <w:szCs w:val="21"/>
        </w:rPr>
        <w:t>fait</w:t>
      </w:r>
      <w:r w:rsidR="008D0927">
        <w:rPr>
          <w:rFonts w:ascii="Encode Sans ExpandedLight" w:hAnsi="Encode Sans ExpandedLight"/>
          <w:sz w:val="21"/>
          <w:szCs w:val="21"/>
        </w:rPr>
        <w:t xml:space="preserve"> la démarche susvisée</w:t>
      </w:r>
      <w:r w:rsidRPr="00EB1968">
        <w:rPr>
          <w:rFonts w:ascii="Encode Sans ExpandedLight" w:hAnsi="Encode Sans ExpandedLight"/>
          <w:sz w:val="21"/>
          <w:szCs w:val="21"/>
        </w:rPr>
        <w:t xml:space="preserve"> aura lieu le ou vers le jeudi 1er avril 2021. </w:t>
      </w:r>
      <w:proofErr w:type="spellStart"/>
      <w:r w:rsidRPr="00BB6D3E">
        <w:rPr>
          <w:rFonts w:ascii="Encode Sans ExpandedLight" w:hAnsi="Encode Sans ExpandedLight"/>
          <w:sz w:val="21"/>
          <w:szCs w:val="21"/>
        </w:rPr>
        <w:t>Stellantis</w:t>
      </w:r>
      <w:proofErr w:type="spellEnd"/>
      <w:r w:rsidRPr="00BB6D3E">
        <w:rPr>
          <w:rFonts w:ascii="Encode Sans ExpandedLight" w:hAnsi="Encode Sans ExpandedLight"/>
          <w:sz w:val="21"/>
          <w:szCs w:val="21"/>
        </w:rPr>
        <w:t xml:space="preserve"> mettra à </w:t>
      </w:r>
      <w:r w:rsidR="00E41681" w:rsidRPr="00BB6D3E">
        <w:rPr>
          <w:rFonts w:ascii="Encode Sans ExpandedLight" w:hAnsi="Encode Sans ExpandedLight"/>
          <w:sz w:val="21"/>
          <w:szCs w:val="21"/>
        </w:rPr>
        <w:t xml:space="preserve">disposition un </w:t>
      </w:r>
      <w:r w:rsidR="00112031">
        <w:rPr>
          <w:rFonts w:ascii="Encode Sans ExpandedLight" w:hAnsi="Encode Sans ExpandedLight"/>
          <w:sz w:val="21"/>
          <w:szCs w:val="21"/>
        </w:rPr>
        <w:t>système</w:t>
      </w:r>
      <w:r w:rsidR="00112031" w:rsidRPr="00BB6D3E">
        <w:rPr>
          <w:rFonts w:ascii="Encode Sans ExpandedLight" w:hAnsi="Encode Sans ExpandedLight"/>
          <w:sz w:val="21"/>
          <w:szCs w:val="21"/>
        </w:rPr>
        <w:t xml:space="preserve"> </w:t>
      </w:r>
      <w:r w:rsidRPr="00BB6D3E">
        <w:rPr>
          <w:rFonts w:ascii="Encode Sans ExpandedLight" w:hAnsi="Encode Sans ExpandedLight"/>
          <w:sz w:val="21"/>
          <w:szCs w:val="21"/>
        </w:rPr>
        <w:t xml:space="preserve">en ligne pour </w:t>
      </w:r>
      <w:r w:rsidR="008D0927">
        <w:rPr>
          <w:rFonts w:ascii="Encode Sans ExpandedLight" w:hAnsi="Encode Sans ExpandedLight"/>
          <w:sz w:val="21"/>
          <w:szCs w:val="21"/>
        </w:rPr>
        <w:t>accomplir</w:t>
      </w:r>
      <w:r w:rsidRPr="00BB6D3E">
        <w:rPr>
          <w:rFonts w:ascii="Encode Sans ExpandedLight" w:hAnsi="Encode Sans ExpandedLight"/>
          <w:sz w:val="21"/>
          <w:szCs w:val="21"/>
        </w:rPr>
        <w:t xml:space="preserve"> </w:t>
      </w:r>
      <w:r w:rsidR="00112031">
        <w:rPr>
          <w:rFonts w:ascii="Encode Sans ExpandedLight" w:hAnsi="Encode Sans ExpandedLight"/>
          <w:sz w:val="21"/>
          <w:szCs w:val="21"/>
        </w:rPr>
        <w:t>ce</w:t>
      </w:r>
      <w:r w:rsidR="008D0927">
        <w:rPr>
          <w:rFonts w:ascii="Encode Sans ExpandedLight" w:hAnsi="Encode Sans ExpandedLight"/>
          <w:sz w:val="21"/>
          <w:szCs w:val="21"/>
        </w:rPr>
        <w:t>tte</w:t>
      </w:r>
      <w:r w:rsidR="00112031">
        <w:rPr>
          <w:rFonts w:ascii="Encode Sans ExpandedLight" w:hAnsi="Encode Sans ExpandedLight"/>
          <w:sz w:val="21"/>
          <w:szCs w:val="21"/>
        </w:rPr>
        <w:t xml:space="preserve"> </w:t>
      </w:r>
      <w:r w:rsidR="008D0927">
        <w:rPr>
          <w:rFonts w:ascii="Encode Sans ExpandedLight" w:hAnsi="Encode Sans ExpandedLight"/>
          <w:sz w:val="21"/>
          <w:szCs w:val="21"/>
        </w:rPr>
        <w:t>démarche</w:t>
      </w:r>
      <w:r w:rsidRPr="00BB6D3E">
        <w:rPr>
          <w:rFonts w:ascii="Encode Sans ExpandedLight" w:hAnsi="Encode Sans ExpandedLight"/>
          <w:sz w:val="21"/>
          <w:szCs w:val="21"/>
        </w:rPr>
        <w:t>, et</w:t>
      </w:r>
      <w:r w:rsidRPr="00EB1968">
        <w:rPr>
          <w:rFonts w:ascii="Encode Sans ExpandedLight" w:hAnsi="Encode Sans ExpandedLight"/>
          <w:sz w:val="21"/>
          <w:szCs w:val="21"/>
        </w:rPr>
        <w:t xml:space="preserve"> des informations supplémentaires à cet égard ont été publiées sur le site </w:t>
      </w:r>
      <w:r w:rsidR="00112031">
        <w:rPr>
          <w:rFonts w:ascii="Encode Sans ExpandedLight" w:hAnsi="Encode Sans ExpandedLight"/>
          <w:sz w:val="21"/>
          <w:szCs w:val="21"/>
        </w:rPr>
        <w:t xml:space="preserve">internet </w:t>
      </w:r>
      <w:r w:rsidR="00E41681">
        <w:rPr>
          <w:rFonts w:ascii="Encode Sans ExpandedLight" w:hAnsi="Encode Sans ExpandedLight"/>
          <w:sz w:val="21"/>
          <w:szCs w:val="21"/>
        </w:rPr>
        <w:t xml:space="preserve">de </w:t>
      </w:r>
      <w:proofErr w:type="spellStart"/>
      <w:r w:rsidR="00E41681">
        <w:rPr>
          <w:rFonts w:ascii="Encode Sans ExpandedLight" w:hAnsi="Encode Sans ExpandedLight"/>
          <w:sz w:val="21"/>
          <w:szCs w:val="21"/>
        </w:rPr>
        <w:t>Stellantis</w:t>
      </w:r>
      <w:proofErr w:type="spellEnd"/>
      <w:r w:rsidR="00E41681">
        <w:rPr>
          <w:rFonts w:ascii="Encode Sans ExpandedLight" w:hAnsi="Encode Sans ExpandedLight"/>
          <w:sz w:val="21"/>
          <w:szCs w:val="21"/>
        </w:rPr>
        <w:t xml:space="preserve"> </w:t>
      </w:r>
      <w:r w:rsidRPr="00EB1968">
        <w:rPr>
          <w:rFonts w:ascii="Encode Sans ExpandedLight" w:hAnsi="Encode Sans ExpandedLight"/>
          <w:sz w:val="21"/>
          <w:szCs w:val="21"/>
        </w:rPr>
        <w:t xml:space="preserve">(www.stellantis.com) et dans un </w:t>
      </w:r>
      <w:r w:rsidRPr="00BB6D3E">
        <w:rPr>
          <w:rFonts w:ascii="Encode Sans ExpandedLight" w:hAnsi="Encode Sans ExpandedLight"/>
          <w:sz w:val="21"/>
          <w:szCs w:val="21"/>
        </w:rPr>
        <w:t>document d'information</w:t>
      </w:r>
      <w:r w:rsidR="00112031">
        <w:rPr>
          <w:rFonts w:ascii="Encode Sans ExpandedLight" w:hAnsi="Encode Sans ExpandedLight"/>
          <w:sz w:val="21"/>
          <w:szCs w:val="21"/>
        </w:rPr>
        <w:t xml:space="preserve"> </w:t>
      </w:r>
      <w:r w:rsidR="00112031">
        <w:rPr>
          <w:rFonts w:ascii="Encode Sans ExpandedLight" w:hAnsi="Encode Sans ExpandedLight"/>
          <w:sz w:val="20"/>
        </w:rPr>
        <w:t xml:space="preserve">(«Information </w:t>
      </w:r>
      <w:proofErr w:type="spellStart"/>
      <w:r w:rsidR="00112031">
        <w:rPr>
          <w:rFonts w:ascii="Encode Sans ExpandedLight" w:hAnsi="Encode Sans ExpandedLight"/>
          <w:sz w:val="20"/>
        </w:rPr>
        <w:t>Statement</w:t>
      </w:r>
      <w:proofErr w:type="spellEnd"/>
      <w:r w:rsidR="00112031">
        <w:rPr>
          <w:rFonts w:ascii="Encode Sans ExpandedLight" w:hAnsi="Encode Sans ExpandedLight" w:cs="Times New Roman"/>
          <w:sz w:val="21"/>
          <w:szCs w:val="21"/>
        </w:rPr>
        <w:t>»</w:t>
      </w:r>
      <w:r w:rsidR="00112031">
        <w:rPr>
          <w:rFonts w:ascii="Encode Sans ExpandedLight" w:hAnsi="Encode Sans ExpandedLight"/>
          <w:sz w:val="20"/>
        </w:rPr>
        <w:t>)</w:t>
      </w:r>
      <w:r w:rsidRPr="00BB6D3E">
        <w:rPr>
          <w:rFonts w:ascii="Encode Sans ExpandedLight" w:hAnsi="Encode Sans ExpandedLight"/>
          <w:sz w:val="21"/>
          <w:szCs w:val="21"/>
        </w:rPr>
        <w:t xml:space="preserve"> disponible sur </w:t>
      </w:r>
      <w:r w:rsidR="00E41681" w:rsidRPr="00BB6D3E">
        <w:rPr>
          <w:rFonts w:ascii="Encode Sans ExpandedLight" w:hAnsi="Encode Sans ExpandedLight"/>
          <w:sz w:val="21"/>
          <w:szCs w:val="21"/>
        </w:rPr>
        <w:t xml:space="preserve">https://www.stellantis.com/fr/finance/informations-bourse-et-actionnaires/assemblee-generale-extraordinaire-8-mars-2021 </w:t>
      </w:r>
      <w:r w:rsidRPr="00BB6D3E">
        <w:rPr>
          <w:rFonts w:ascii="Encode Sans ExpandedLight" w:hAnsi="Encode Sans ExpandedLight"/>
          <w:sz w:val="21"/>
          <w:szCs w:val="21"/>
        </w:rPr>
        <w:t>et soumis</w:t>
      </w:r>
      <w:r w:rsidRPr="00EB1968">
        <w:rPr>
          <w:rFonts w:ascii="Encode Sans ExpandedLight" w:hAnsi="Encode Sans ExpandedLight"/>
          <w:sz w:val="21"/>
          <w:szCs w:val="21"/>
        </w:rPr>
        <w:t xml:space="preserve"> à </w:t>
      </w:r>
      <w:proofErr w:type="gramStart"/>
      <w:r w:rsidRPr="00EB1968">
        <w:rPr>
          <w:rFonts w:ascii="Encode Sans ExpandedLight" w:hAnsi="Encode Sans ExpandedLight"/>
          <w:sz w:val="21"/>
          <w:szCs w:val="21"/>
        </w:rPr>
        <w:t>la US</w:t>
      </w:r>
      <w:proofErr w:type="gramEnd"/>
      <w:r w:rsidRPr="00EB1968">
        <w:rPr>
          <w:rFonts w:ascii="Encode Sans ExpandedLight" w:hAnsi="Encode Sans ExpandedLight"/>
          <w:sz w:val="21"/>
          <w:szCs w:val="21"/>
        </w:rPr>
        <w:t xml:space="preserve"> Securities and Exchange Commission sur </w:t>
      </w:r>
      <w:r w:rsidR="00E41681">
        <w:rPr>
          <w:rFonts w:ascii="Encode Sans ExpandedLight" w:hAnsi="Encode Sans ExpandedLight"/>
          <w:sz w:val="21"/>
          <w:szCs w:val="21"/>
        </w:rPr>
        <w:t xml:space="preserve">le </w:t>
      </w:r>
      <w:r w:rsidRPr="00EB1968">
        <w:rPr>
          <w:rFonts w:ascii="Encode Sans ExpandedLight" w:hAnsi="Encode Sans ExpandedLight"/>
          <w:sz w:val="21"/>
          <w:szCs w:val="21"/>
        </w:rPr>
        <w:t>f</w:t>
      </w:r>
      <w:r w:rsidR="00E41681">
        <w:rPr>
          <w:rFonts w:ascii="Encode Sans ExpandedLight" w:hAnsi="Encode Sans ExpandedLight"/>
          <w:sz w:val="21"/>
          <w:szCs w:val="21"/>
        </w:rPr>
        <w:t xml:space="preserve">ormulaire 6-K le 5 mars 2021. </w:t>
      </w:r>
    </w:p>
    <w:p w14:paraId="739F0A24" w14:textId="77777777" w:rsidR="00112031" w:rsidRDefault="00112031" w:rsidP="00EB1968">
      <w:pPr>
        <w:rPr>
          <w:rFonts w:ascii="Encode Sans ExpandedLight" w:hAnsi="Encode Sans ExpandedLight"/>
          <w:sz w:val="21"/>
          <w:szCs w:val="21"/>
        </w:rPr>
      </w:pPr>
    </w:p>
    <w:p w14:paraId="7E95FC48" w14:textId="7C4423EA" w:rsidR="00EB1968" w:rsidRDefault="00E41681" w:rsidP="00EB1968">
      <w:pPr>
        <w:rPr>
          <w:rFonts w:ascii="Encode Sans ExpandedLight" w:hAnsi="Encode Sans ExpandedLight"/>
          <w:sz w:val="21"/>
          <w:szCs w:val="21"/>
        </w:rPr>
      </w:pPr>
      <w:r>
        <w:rPr>
          <w:rFonts w:ascii="Encode Sans ExpandedLight" w:hAnsi="Encode Sans ExpandedLight"/>
          <w:sz w:val="21"/>
          <w:szCs w:val="21"/>
        </w:rPr>
        <w:t xml:space="preserve">En l’absence de </w:t>
      </w:r>
      <w:r w:rsidR="008D0927">
        <w:rPr>
          <w:rFonts w:ascii="Encode Sans ExpandedLight" w:hAnsi="Encode Sans ExpandedLight"/>
          <w:sz w:val="21"/>
          <w:szCs w:val="21"/>
        </w:rPr>
        <w:t>réalisation de la démarche susvisée</w:t>
      </w:r>
      <w:r w:rsidR="00EB1968" w:rsidRPr="00EB1968">
        <w:rPr>
          <w:rFonts w:ascii="Encode Sans ExpandedLight" w:hAnsi="Encode Sans ExpandedLight"/>
          <w:sz w:val="21"/>
          <w:szCs w:val="21"/>
        </w:rPr>
        <w:t xml:space="preserve">, </w:t>
      </w:r>
      <w:proofErr w:type="spellStart"/>
      <w:r w:rsidR="00EB1968" w:rsidRPr="00EB1968">
        <w:rPr>
          <w:rFonts w:ascii="Encode Sans ExpandedLight" w:hAnsi="Encode Sans ExpandedLight"/>
          <w:sz w:val="21"/>
          <w:szCs w:val="21"/>
        </w:rPr>
        <w:t>Stellanti</w:t>
      </w:r>
      <w:r w:rsidR="00BB6D3E">
        <w:rPr>
          <w:rFonts w:ascii="Encode Sans ExpandedLight" w:hAnsi="Encode Sans ExpandedLight"/>
          <w:sz w:val="21"/>
          <w:szCs w:val="21"/>
        </w:rPr>
        <w:t>s</w:t>
      </w:r>
      <w:proofErr w:type="spellEnd"/>
      <w:r w:rsidR="00BB6D3E">
        <w:rPr>
          <w:rFonts w:ascii="Encode Sans ExpandedLight" w:hAnsi="Encode Sans ExpandedLight"/>
          <w:sz w:val="21"/>
          <w:szCs w:val="21"/>
        </w:rPr>
        <w:t xml:space="preserve"> prendra toutes les mesures que l’entreprise </w:t>
      </w:r>
      <w:r w:rsidR="00EB1968" w:rsidRPr="00EB1968">
        <w:rPr>
          <w:rFonts w:ascii="Encode Sans ExpandedLight" w:hAnsi="Encode Sans ExpandedLight"/>
          <w:sz w:val="21"/>
          <w:szCs w:val="21"/>
        </w:rPr>
        <w:t xml:space="preserve">jugera réalisables </w:t>
      </w:r>
      <w:r w:rsidR="00BB6D3E">
        <w:rPr>
          <w:rFonts w:ascii="Encode Sans ExpandedLight" w:hAnsi="Encode Sans ExpandedLight"/>
          <w:sz w:val="21"/>
          <w:szCs w:val="21"/>
        </w:rPr>
        <w:t>concernant l</w:t>
      </w:r>
      <w:r w:rsidR="00EB1968" w:rsidRPr="00EB1968">
        <w:rPr>
          <w:rFonts w:ascii="Encode Sans ExpandedLight" w:hAnsi="Encode Sans ExpandedLight"/>
          <w:sz w:val="21"/>
          <w:szCs w:val="21"/>
        </w:rPr>
        <w:t xml:space="preserve">es actions ordinaires de </w:t>
      </w:r>
      <w:proofErr w:type="spellStart"/>
      <w:r w:rsidR="00EB1968" w:rsidRPr="00EB1968">
        <w:rPr>
          <w:rFonts w:ascii="Encode Sans ExpandedLight" w:hAnsi="Encode Sans ExpandedLight"/>
          <w:sz w:val="21"/>
          <w:szCs w:val="21"/>
        </w:rPr>
        <w:t>Faurecia</w:t>
      </w:r>
      <w:proofErr w:type="spellEnd"/>
      <w:r w:rsidR="008F3E7D">
        <w:rPr>
          <w:rFonts w:ascii="Encode Sans ExpandedLight" w:hAnsi="Encode Sans ExpandedLight"/>
          <w:sz w:val="21"/>
          <w:szCs w:val="21"/>
        </w:rPr>
        <w:t xml:space="preserve"> </w:t>
      </w:r>
      <w:r w:rsidR="00EB1968" w:rsidRPr="00EB1968">
        <w:rPr>
          <w:rFonts w:ascii="Encode Sans ExpandedLight" w:hAnsi="Encode Sans ExpandedLight"/>
          <w:sz w:val="21"/>
          <w:szCs w:val="21"/>
        </w:rPr>
        <w:t xml:space="preserve">que les actionnaires </w:t>
      </w:r>
      <w:r w:rsidR="00343BE2">
        <w:rPr>
          <w:rFonts w:ascii="Encode Sans ExpandedLight" w:hAnsi="Encode Sans ExpandedLight"/>
          <w:sz w:val="21"/>
          <w:szCs w:val="21"/>
        </w:rPr>
        <w:t xml:space="preserve">n’ayant pas </w:t>
      </w:r>
      <w:r w:rsidR="008F3E7D">
        <w:rPr>
          <w:rFonts w:ascii="Encode Sans ExpandedLight" w:hAnsi="Encode Sans ExpandedLight"/>
          <w:sz w:val="21"/>
          <w:szCs w:val="21"/>
        </w:rPr>
        <w:t>réalisé la</w:t>
      </w:r>
      <w:r w:rsidR="00343BE2">
        <w:rPr>
          <w:rFonts w:ascii="Encode Sans ExpandedLight" w:hAnsi="Encode Sans ExpandedLight"/>
          <w:sz w:val="21"/>
          <w:szCs w:val="21"/>
        </w:rPr>
        <w:t xml:space="preserve"> </w:t>
      </w:r>
      <w:r w:rsidR="008F3E7D">
        <w:rPr>
          <w:rFonts w:ascii="Encode Sans ExpandedLight" w:hAnsi="Encode Sans ExpandedLight"/>
          <w:sz w:val="21"/>
          <w:szCs w:val="21"/>
        </w:rPr>
        <w:t>démarche susvisée</w:t>
      </w:r>
      <w:r w:rsidR="00343BE2">
        <w:rPr>
          <w:rFonts w:ascii="Encode Sans ExpandedLight" w:hAnsi="Encode Sans ExpandedLight"/>
          <w:sz w:val="21"/>
          <w:szCs w:val="21"/>
        </w:rPr>
        <w:t xml:space="preserve"> </w:t>
      </w:r>
      <w:r w:rsidR="00EB1968" w:rsidRPr="00EB1968">
        <w:rPr>
          <w:rFonts w:ascii="Encode Sans ExpandedLight" w:hAnsi="Encode Sans ExpandedLight"/>
          <w:sz w:val="21"/>
          <w:szCs w:val="21"/>
        </w:rPr>
        <w:t xml:space="preserve">auraient autrement </w:t>
      </w:r>
      <w:r w:rsidR="00BB6D3E">
        <w:rPr>
          <w:rFonts w:ascii="Encode Sans ExpandedLight" w:hAnsi="Encode Sans ExpandedLight"/>
          <w:sz w:val="21"/>
          <w:szCs w:val="21"/>
        </w:rPr>
        <w:t>eu le droit de recevoir</w:t>
      </w:r>
      <w:r w:rsidR="00EB1968" w:rsidRPr="00EB1968">
        <w:rPr>
          <w:rFonts w:ascii="Encode Sans ExpandedLight" w:hAnsi="Encode Sans ExpandedLight"/>
          <w:sz w:val="21"/>
          <w:szCs w:val="21"/>
        </w:rPr>
        <w:t>, y compris la nomination potentielle d'un courtier pour vendre ces actions sur le marché. Il n'y a aucune garantie quant à savoir si et quand une telle vente sera réalisée</w:t>
      </w:r>
      <w:r w:rsidR="00BB6D3E">
        <w:rPr>
          <w:rFonts w:ascii="Encode Sans ExpandedLight" w:hAnsi="Encode Sans ExpandedLight"/>
          <w:sz w:val="21"/>
          <w:szCs w:val="21"/>
        </w:rPr>
        <w:t xml:space="preserve">, le produit qui en résultera </w:t>
      </w:r>
      <w:r w:rsidR="008F3E7D">
        <w:rPr>
          <w:rFonts w:ascii="Encode Sans ExpandedLight" w:hAnsi="Encode Sans ExpandedLight"/>
          <w:sz w:val="21"/>
          <w:szCs w:val="21"/>
        </w:rPr>
        <w:t xml:space="preserve">et qui sera </w:t>
      </w:r>
      <w:r w:rsidR="00EB1968" w:rsidRPr="00EB1968">
        <w:rPr>
          <w:rFonts w:ascii="Encode Sans ExpandedLight" w:hAnsi="Encode Sans ExpandedLight"/>
          <w:sz w:val="21"/>
          <w:szCs w:val="21"/>
        </w:rPr>
        <w:t xml:space="preserve">distribué, le prix par action qui peut être </w:t>
      </w:r>
      <w:r w:rsidR="00BB6D3E">
        <w:rPr>
          <w:rFonts w:ascii="Encode Sans ExpandedLight" w:hAnsi="Encode Sans ExpandedLight"/>
          <w:sz w:val="21"/>
          <w:szCs w:val="21"/>
        </w:rPr>
        <w:t>obtenu</w:t>
      </w:r>
      <w:r w:rsidR="00EB1968" w:rsidRPr="00EB1968">
        <w:rPr>
          <w:rFonts w:ascii="Encode Sans ExpandedLight" w:hAnsi="Encode Sans ExpandedLight"/>
          <w:sz w:val="21"/>
          <w:szCs w:val="21"/>
        </w:rPr>
        <w:t xml:space="preserve"> sur le marché ou les coûts de transaction qui seront engagés.</w:t>
      </w:r>
    </w:p>
    <w:p w14:paraId="1C625E8E" w14:textId="77777777" w:rsidR="002D4164" w:rsidRPr="00EB1968" w:rsidRDefault="002D4164" w:rsidP="00EB1968">
      <w:pPr>
        <w:rPr>
          <w:rFonts w:ascii="Encode Sans ExpandedLight" w:hAnsi="Encode Sans ExpandedLight"/>
          <w:sz w:val="21"/>
          <w:szCs w:val="21"/>
        </w:rPr>
      </w:pPr>
    </w:p>
    <w:p w14:paraId="278F182F" w14:textId="5D22BEEB" w:rsidR="00EB1968" w:rsidRPr="00E153D5" w:rsidRDefault="00EB1968" w:rsidP="00EB1968">
      <w:pPr>
        <w:rPr>
          <w:rFonts w:ascii="Encode Sans ExpandedLight" w:hAnsi="Encode Sans ExpandedLight"/>
          <w:sz w:val="21"/>
          <w:szCs w:val="21"/>
        </w:rPr>
      </w:pPr>
      <w:r w:rsidRPr="00EB1968">
        <w:rPr>
          <w:rFonts w:ascii="Encode Sans ExpandedLight" w:hAnsi="Encode Sans ExpandedLight"/>
          <w:sz w:val="21"/>
          <w:szCs w:val="21"/>
        </w:rPr>
        <w:t xml:space="preserve">Des informations supplémentaires relatives à la Distribution ont été mises à disposition dans la section Investisseurs du site </w:t>
      </w:r>
      <w:r w:rsidR="00343BE2">
        <w:rPr>
          <w:rFonts w:ascii="Encode Sans ExpandedLight" w:hAnsi="Encode Sans ExpandedLight"/>
          <w:sz w:val="21"/>
          <w:szCs w:val="21"/>
        </w:rPr>
        <w:t>internet</w:t>
      </w:r>
      <w:r w:rsidR="00343BE2" w:rsidRPr="00EB1968">
        <w:rPr>
          <w:rFonts w:ascii="Encode Sans ExpandedLight" w:hAnsi="Encode Sans ExpandedLight"/>
          <w:sz w:val="21"/>
          <w:szCs w:val="21"/>
        </w:rPr>
        <w:t xml:space="preserve"> </w:t>
      </w:r>
      <w:r w:rsidRPr="00EB1968">
        <w:rPr>
          <w:rFonts w:ascii="Encode Sans ExpandedLight" w:hAnsi="Encode Sans ExpandedLight"/>
          <w:sz w:val="21"/>
          <w:szCs w:val="21"/>
        </w:rPr>
        <w:t xml:space="preserve">de </w:t>
      </w:r>
      <w:proofErr w:type="spellStart"/>
      <w:r w:rsidRPr="00EB1968">
        <w:rPr>
          <w:rFonts w:ascii="Encode Sans ExpandedLight" w:hAnsi="Encode Sans ExpandedLight"/>
          <w:sz w:val="21"/>
          <w:szCs w:val="21"/>
        </w:rPr>
        <w:t>Stellantis</w:t>
      </w:r>
      <w:proofErr w:type="spellEnd"/>
      <w:r w:rsidRPr="00EB1968">
        <w:rPr>
          <w:rFonts w:ascii="Encode Sans ExpandedLight" w:hAnsi="Encode Sans ExpandedLight"/>
          <w:sz w:val="21"/>
          <w:szCs w:val="21"/>
        </w:rPr>
        <w:t xml:space="preserve"> à l'adresse www.stellantis.com.</w:t>
      </w:r>
    </w:p>
    <w:p w14:paraId="7205077C" w14:textId="64C4C080" w:rsidR="0091129E" w:rsidRDefault="0091129E" w:rsidP="00BF3FBD">
      <w:pPr>
        <w:rPr>
          <w:rFonts w:ascii="Encode Sans ExpandedLight" w:hAnsi="Encode Sans ExpandedLight"/>
          <w:sz w:val="20"/>
          <w:szCs w:val="20"/>
        </w:rPr>
      </w:pPr>
    </w:p>
    <w:p w14:paraId="6B19E868" w14:textId="51788061" w:rsidR="00073C4C" w:rsidRDefault="00073C4C" w:rsidP="00BF3FBD">
      <w:pPr>
        <w:rPr>
          <w:rFonts w:ascii="Encode Sans ExpandedLight" w:hAnsi="Encode Sans ExpandedLight"/>
          <w:sz w:val="20"/>
          <w:szCs w:val="20"/>
        </w:rPr>
      </w:pPr>
    </w:p>
    <w:p w14:paraId="2800ED65" w14:textId="77777777" w:rsidR="00EB1968" w:rsidRDefault="00EB1968"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w:t>
      </w:r>
      <w:r w:rsidR="00D44999">
        <w:rPr>
          <w:rFonts w:ascii="Encode Sans SemiBold" w:hAnsi="Encode Sans SemiBold"/>
          <w:i/>
          <w:color w:val="243782" w:themeColor="text2"/>
          <w:sz w:val="20"/>
          <w:szCs w:val="20"/>
        </w:rPr>
        <w:t>s</w:t>
      </w:r>
      <w:proofErr w:type="spellEnd"/>
    </w:p>
    <w:p w14:paraId="66367791" w14:textId="5BB220AD" w:rsidR="00D56439" w:rsidRPr="00D56439" w:rsidRDefault="00506CE6" w:rsidP="00D56439">
      <w:pPr>
        <w:rPr>
          <w:rFonts w:ascii="Encode Sans ExpandedLight" w:hAnsi="Encode Sans ExpandedLight"/>
          <w:i/>
          <w:sz w:val="18"/>
          <w:szCs w:val="20"/>
        </w:rPr>
      </w:pPr>
      <w:hyperlink r:id="rId8" w:history="1">
        <w:proofErr w:type="spellStart"/>
        <w:r w:rsidR="00601013" w:rsidRPr="00D56439">
          <w:rPr>
            <w:rStyle w:val="Collegamentoipertestuale"/>
            <w:rFonts w:ascii="Encode Sans SemiBold" w:hAnsi="Encode Sans SemiBold"/>
            <w:i/>
            <w:sz w:val="18"/>
            <w:szCs w:val="20"/>
          </w:rPr>
          <w:t>Stellantis</w:t>
        </w:r>
        <w:proofErr w:type="spellEnd"/>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2.8pt" o:ole="">
                  <v:imagedata r:id="rId9" o:title=""/>
                </v:shape>
                <o:OLEObject Type="Embed" ProgID="PBrush" ShapeID="_x0000_i1025" DrawAspect="Content" ObjectID="_1676829513" r:id="rId10"/>
              </w:object>
            </w:r>
            <w:hyperlink r:id="rId11"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6pt;height:21.6pt" o:ole="">
                  <v:imagedata r:id="rId12" o:title=""/>
                </v:shape>
                <o:OLEObject Type="Embed" ProgID="PBrush" ShapeID="_x0000_i1026" DrawAspect="Content" ObjectID="_1676829514" r:id="rId13"/>
              </w:object>
            </w:r>
            <w:hyperlink r:id="rId14"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0.4pt;height:20.4pt" o:ole="">
                  <v:imagedata r:id="rId15" o:title=""/>
                </v:shape>
                <o:OLEObject Type="Embed" ProgID="PBrush" ShapeID="_x0000_i1027" DrawAspect="Content" ObjectID="_1676829515" r:id="rId16"/>
              </w:object>
            </w:r>
            <w:hyperlink r:id="rId17"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4pt;height:23.4pt" o:ole="">
                  <v:imagedata r:id="rId18" o:title=""/>
                </v:shape>
                <o:OLEObject Type="Embed" ProgID="PBrush" ShapeID="_x0000_i1028" DrawAspect="Content" ObjectID="_1676829516" r:id="rId19"/>
              </w:object>
            </w:r>
            <w:hyperlink r:id="rId20"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14:paraId="16C3E0B6" w14:textId="2E96F5E1" w:rsidR="00294139" w:rsidRDefault="00294139" w:rsidP="00294139">
      <w:pPr>
        <w:spacing w:after="160" w:line="259" w:lineRule="auto"/>
        <w:rPr>
          <w:rFonts w:eastAsia="Calibri" w:cs="Times New Roman"/>
          <w:i/>
          <w:sz w:val="12"/>
          <w:szCs w:val="22"/>
        </w:rPr>
      </w:pPr>
    </w:p>
    <w:p w14:paraId="70637C19" w14:textId="35367B67" w:rsidR="00073C4C" w:rsidRDefault="00073C4C" w:rsidP="00294139">
      <w:pPr>
        <w:spacing w:after="160" w:line="259" w:lineRule="auto"/>
        <w:rPr>
          <w:rFonts w:eastAsia="Calibri" w:cs="Times New Roman"/>
          <w:i/>
          <w:sz w:val="12"/>
          <w:szCs w:val="22"/>
        </w:rPr>
      </w:pPr>
    </w:p>
    <w:p w14:paraId="0628F69D" w14:textId="77777777" w:rsidR="00073C4C" w:rsidRDefault="00073C4C" w:rsidP="00294139">
      <w:pPr>
        <w:spacing w:after="160" w:line="259" w:lineRule="auto"/>
        <w:rPr>
          <w:rFonts w:eastAsia="Calibri" w:cs="Times New Roman"/>
          <w:i/>
          <w:sz w:val="12"/>
          <w:szCs w:val="22"/>
        </w:rPr>
      </w:pPr>
    </w:p>
    <w:p w14:paraId="7A76805E" w14:textId="77777777" w:rsidR="00D621D3" w:rsidRPr="00834AE5" w:rsidRDefault="00D621D3" w:rsidP="00294139">
      <w:pPr>
        <w:spacing w:after="160" w:line="259" w:lineRule="auto"/>
        <w:rPr>
          <w:rFonts w:eastAsia="Calibri" w:cs="Times New Roman"/>
          <w:i/>
          <w:sz w:val="1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val="it-IT" w:eastAsia="it-IT"/>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91129E" w:rsidRPr="00F805D8" w14:paraId="31332BDC" w14:textId="77777777" w:rsidTr="00C77CE7">
              <w:trPr>
                <w:trHeight w:val="307"/>
              </w:trPr>
              <w:tc>
                <w:tcPr>
                  <w:tcW w:w="8647" w:type="dxa"/>
                </w:tcPr>
                <w:p w14:paraId="58C361CA" w14:textId="7677986C" w:rsidR="002A5AE5" w:rsidRPr="00FA23D7" w:rsidRDefault="002A5AE5" w:rsidP="002A5AE5">
                  <w:pPr>
                    <w:spacing w:line="276" w:lineRule="auto"/>
                    <w:rPr>
                      <w:rFonts w:ascii="Encode Sans ExpandedLight" w:hAnsi="Encode Sans ExpandedLight"/>
                      <w:b/>
                      <w:color w:val="002060"/>
                      <w:sz w:val="20"/>
                      <w:lang w:val="en-US"/>
                    </w:rPr>
                  </w:pPr>
                </w:p>
                <w:p w14:paraId="760176B0" w14:textId="194119AB" w:rsidR="002A5AE5" w:rsidRPr="00E14E29" w:rsidRDefault="002A5AE5" w:rsidP="007D24D8">
                  <w:pPr>
                    <w:spacing w:after="120" w:line="288" w:lineRule="auto"/>
                    <w:jc w:val="left"/>
                    <w:rPr>
                      <w:rStyle w:val="Testosegnaposto"/>
                      <w:rFonts w:ascii="Encode Sans SemiBold" w:hAnsi="Encode Sans SemiBold"/>
                      <w:color w:val="243782" w:themeColor="text2"/>
                      <w:sz w:val="10"/>
                      <w:szCs w:val="20"/>
                    </w:rPr>
                  </w:pPr>
                </w:p>
              </w:tc>
            </w:tr>
            <w:tr w:rsidR="0091129E" w:rsidRPr="00020C43" w14:paraId="05EF8AB9" w14:textId="77777777" w:rsidTr="00E15D0C">
              <w:trPr>
                <w:trHeight w:val="71"/>
              </w:trPr>
              <w:tc>
                <w:tcPr>
                  <w:tcW w:w="8647" w:type="dxa"/>
                </w:tcPr>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1129E" w:rsidRPr="00DF07E8" w14:paraId="21FEC4D9" w14:textId="77777777" w:rsidTr="00F80A5C">
                    <w:trPr>
                      <w:trHeight w:val="571"/>
                    </w:trPr>
                    <w:tc>
                      <w:tcPr>
                        <w:tcW w:w="8647" w:type="dxa"/>
                      </w:tcPr>
                      <w:p w14:paraId="5904A36F" w14:textId="77777777" w:rsidR="0091129E" w:rsidRPr="00DF07E8" w:rsidRDefault="0091129E" w:rsidP="0091129E">
                        <w:pPr>
                          <w:rPr>
                            <w:rStyle w:val="Testosegnaposto"/>
                            <w:rFonts w:ascii="Encode Sans SemiBold" w:hAnsi="Encode Sans SemiBold"/>
                            <w:color w:val="243782" w:themeColor="text2"/>
                            <w:sz w:val="20"/>
                            <w:szCs w:val="20"/>
                            <w:lang w:val="it-IT"/>
                          </w:rPr>
                        </w:pPr>
                        <w:r w:rsidRPr="00DF07E8">
                          <w:rPr>
                            <w:rStyle w:val="Testosegnaposto"/>
                            <w:rFonts w:ascii="Encode Sans SemiBold" w:hAnsi="Encode Sans SemiBold"/>
                            <w:color w:val="243782" w:themeColor="text2"/>
                            <w:sz w:val="20"/>
                            <w:szCs w:val="20"/>
                            <w:lang w:val="it-IT"/>
                          </w:rPr>
                          <w:t>Claudio D’AMICO</w:t>
                        </w:r>
                        <w:r w:rsidRPr="00DF07E8">
                          <w:rPr>
                            <w:rStyle w:val="Testosegnaposto"/>
                            <w:rFonts w:ascii="Encode Sans ExpandedLight" w:hAnsi="Encode Sans ExpandedLight"/>
                            <w:color w:val="243782" w:themeColor="text2"/>
                            <w:sz w:val="20"/>
                            <w:szCs w:val="20"/>
                            <w:lang w:val="it-IT"/>
                          </w:rPr>
                          <w:t xml:space="preserve">: +39 334 7107828 - </w:t>
                        </w:r>
                        <w:hyperlink r:id="rId21" w:history="1">
                          <w:r w:rsidRPr="00DF07E8">
                            <w:rPr>
                              <w:rStyle w:val="Collegamentoipertestuale"/>
                              <w:rFonts w:ascii="Encode Sans ExpandedLight" w:hAnsi="Encode Sans ExpandedLight"/>
                              <w:sz w:val="20"/>
                              <w:szCs w:val="20"/>
                              <w:lang w:val="it-IT"/>
                            </w:rPr>
                            <w:t>claudio.damico@stellantis.com</w:t>
                          </w:r>
                        </w:hyperlink>
                      </w:p>
                    </w:tc>
                  </w:tr>
                  <w:tr w:rsidR="0091129E" w:rsidRPr="00DF07E8" w14:paraId="3854D90C" w14:textId="77777777" w:rsidTr="00F80A5C">
                    <w:trPr>
                      <w:trHeight w:val="602"/>
                    </w:trPr>
                    <w:tc>
                      <w:tcPr>
                        <w:tcW w:w="8647" w:type="dxa"/>
                      </w:tcPr>
                      <w:p w14:paraId="45D28569" w14:textId="4ABAB7A4" w:rsidR="0091129E" w:rsidRPr="00DF07E8" w:rsidRDefault="0091129E" w:rsidP="0091129E">
                        <w:pPr>
                          <w:spacing w:after="120"/>
                          <w:jc w:val="left"/>
                          <w:rPr>
                            <w:rStyle w:val="Testosegnaposto"/>
                            <w:rFonts w:ascii="Encode Sans ExpandedLight" w:hAnsi="Encode Sans ExpandedLight"/>
                            <w:b/>
                            <w:color w:val="243782" w:themeColor="text2"/>
                            <w:sz w:val="20"/>
                            <w:szCs w:val="20"/>
                          </w:rPr>
                        </w:pPr>
                        <w:r w:rsidRPr="00DF07E8">
                          <w:rPr>
                            <w:rFonts w:ascii="Encode Sans SemiBold" w:hAnsi="Encode Sans SemiBold"/>
                            <w:color w:val="243782" w:themeColor="text2"/>
                            <w:sz w:val="20"/>
                            <w:szCs w:val="20"/>
                          </w:rPr>
                          <w:t xml:space="preserve">Karine </w:t>
                        </w:r>
                        <w:proofErr w:type="gramStart"/>
                        <w:r w:rsidRPr="00DF07E8">
                          <w:rPr>
                            <w:rFonts w:ascii="Encode Sans SemiBold" w:hAnsi="Encode Sans SemiBold"/>
                            <w:color w:val="243782" w:themeColor="text2"/>
                            <w:sz w:val="20"/>
                            <w:szCs w:val="20"/>
                          </w:rPr>
                          <w:t>DOUET:</w:t>
                        </w:r>
                        <w:proofErr w:type="gramEnd"/>
                        <w:r w:rsidRPr="00DF07E8">
                          <w:rPr>
                            <w:rFonts w:ascii="Encode Sans ExpandedLight" w:hAnsi="Encode Sans ExpandedLight"/>
                            <w:b/>
                            <w:color w:val="243782" w:themeColor="text2"/>
                            <w:sz w:val="20"/>
                            <w:szCs w:val="20"/>
                          </w:rPr>
                          <w:t xml:space="preserve"> </w:t>
                        </w:r>
                        <w:r w:rsidRPr="00DF07E8">
                          <w:rPr>
                            <w:rFonts w:ascii="Encode Sans ExpandedLight" w:hAnsi="Encode Sans ExpandedLight"/>
                            <w:color w:val="243782" w:themeColor="text2"/>
                            <w:sz w:val="20"/>
                            <w:szCs w:val="20"/>
                          </w:rPr>
                          <w:t>+33 6 61 64 03 83 -</w:t>
                        </w:r>
                        <w:r w:rsidR="00400268">
                          <w:rPr>
                            <w:rFonts w:ascii="Encode Sans ExpandedLight" w:hAnsi="Encode Sans ExpandedLight"/>
                            <w:color w:val="243782" w:themeColor="text2"/>
                            <w:sz w:val="20"/>
                            <w:szCs w:val="20"/>
                          </w:rPr>
                          <w:t xml:space="preserve"> </w:t>
                        </w:r>
                        <w:hyperlink r:id="rId22" w:history="1">
                          <w:r w:rsidRPr="00DF07E8">
                            <w:rPr>
                              <w:rFonts w:ascii="Encode Sans ExpandedLight" w:hAnsi="Encode Sans ExpandedLight"/>
                              <w:color w:val="243782" w:themeColor="text2"/>
                              <w:sz w:val="20"/>
                              <w:szCs w:val="20"/>
                            </w:rPr>
                            <w:t>karine.douet@stellantis.com</w:t>
                          </w:r>
                        </w:hyperlink>
                      </w:p>
                    </w:tc>
                  </w:tr>
                  <w:tr w:rsidR="0091129E" w:rsidRPr="009C7FD5" w14:paraId="3E923FB4" w14:textId="77777777" w:rsidTr="00F80A5C">
                    <w:trPr>
                      <w:trHeight w:val="548"/>
                    </w:trPr>
                    <w:tc>
                      <w:tcPr>
                        <w:tcW w:w="8647" w:type="dxa"/>
                      </w:tcPr>
                      <w:p w14:paraId="2A177B46" w14:textId="19032167" w:rsidR="0091129E" w:rsidRPr="00C9031D" w:rsidRDefault="0091129E" w:rsidP="00934B98">
                        <w:pPr>
                          <w:spacing w:after="120"/>
                          <w:jc w:val="left"/>
                          <w:rPr>
                            <w:sz w:val="20"/>
                            <w:szCs w:val="20"/>
                            <w:lang w:val="en-US"/>
                          </w:rPr>
                        </w:pPr>
                        <w:proofErr w:type="spellStart"/>
                        <w:r w:rsidRPr="00C9031D">
                          <w:rPr>
                            <w:rFonts w:ascii="Encode Sans SemiBold" w:hAnsi="Encode Sans SemiBold"/>
                            <w:color w:val="243782" w:themeColor="text2"/>
                            <w:sz w:val="20"/>
                            <w:szCs w:val="20"/>
                            <w:lang w:val="en-US"/>
                          </w:rPr>
                          <w:t>Valérie</w:t>
                        </w:r>
                        <w:proofErr w:type="spellEnd"/>
                        <w:r w:rsidRPr="00C9031D">
                          <w:rPr>
                            <w:rFonts w:ascii="Encode Sans SemiBold" w:hAnsi="Encode Sans SemiBold"/>
                            <w:color w:val="243782" w:themeColor="text2"/>
                            <w:sz w:val="20"/>
                            <w:szCs w:val="20"/>
                            <w:lang w:val="en-US"/>
                          </w:rPr>
                          <w:t xml:space="preserve"> GILLOT</w:t>
                        </w:r>
                        <w:r w:rsidRPr="00C9031D">
                          <w:rPr>
                            <w:sz w:val="20"/>
                            <w:szCs w:val="20"/>
                            <w:lang w:val="en-US"/>
                          </w:rPr>
                          <w:t>: +</w:t>
                        </w:r>
                        <w:r w:rsidRPr="00C9031D">
                          <w:rPr>
                            <w:rFonts w:ascii="Encode Sans ExpandedLight" w:hAnsi="Encode Sans ExpandedLight"/>
                            <w:color w:val="243782" w:themeColor="text2"/>
                            <w:sz w:val="20"/>
                            <w:szCs w:val="20"/>
                            <w:lang w:val="en-US"/>
                          </w:rPr>
                          <w:t xml:space="preserve">33 6 83 92 92 96 - </w:t>
                        </w:r>
                        <w:r w:rsidR="00400268" w:rsidRPr="009C7FD5">
                          <w:rPr>
                            <w:rFonts w:ascii="Encode Sans ExpandedLight" w:hAnsi="Encode Sans ExpandedLight"/>
                            <w:color w:val="243782" w:themeColor="text2"/>
                            <w:sz w:val="20"/>
                            <w:szCs w:val="20"/>
                            <w:lang w:val="en-US"/>
                          </w:rPr>
                          <w:t>valerie.gillot@stellantis.com</w:t>
                        </w:r>
                      </w:p>
                      <w:p w14:paraId="500EFDE9" w14:textId="0B34074E" w:rsidR="00934B98" w:rsidRPr="00C9031D" w:rsidRDefault="00934B98" w:rsidP="00934B98">
                        <w:pPr>
                          <w:spacing w:after="120"/>
                          <w:jc w:val="left"/>
                          <w:rPr>
                            <w:lang w:val="en-US"/>
                          </w:rPr>
                        </w:pPr>
                      </w:p>
                      <w:p w14:paraId="108C58D0" w14:textId="4AD7B386" w:rsidR="0091129E" w:rsidRPr="00C9031D" w:rsidRDefault="0091129E" w:rsidP="00934B98">
                        <w:pPr>
                          <w:spacing w:after="120"/>
                          <w:jc w:val="left"/>
                          <w:rPr>
                            <w:rFonts w:ascii="Encode Sans ExpandedLight" w:hAnsi="Encode Sans ExpandedLight"/>
                            <w:color w:val="243782" w:themeColor="text2"/>
                            <w:sz w:val="20"/>
                            <w:szCs w:val="20"/>
                            <w:lang w:val="en-US"/>
                          </w:rPr>
                        </w:pPr>
                        <w:r w:rsidRPr="00C9031D">
                          <w:rPr>
                            <w:rFonts w:ascii="Encode Sans SemiBold" w:hAnsi="Encode Sans SemiBold"/>
                            <w:color w:val="243782" w:themeColor="text2"/>
                            <w:sz w:val="20"/>
                            <w:szCs w:val="20"/>
                            <w:lang w:val="en-US"/>
                          </w:rPr>
                          <w:t>Shawn MORGAN</w:t>
                        </w:r>
                        <w:r w:rsidRPr="00C9031D">
                          <w:rPr>
                            <w:lang w:val="en-US"/>
                          </w:rPr>
                          <w:t>: +</w:t>
                        </w:r>
                        <w:r w:rsidRPr="00C9031D">
                          <w:rPr>
                            <w:rFonts w:ascii="Encode Sans ExpandedLight" w:hAnsi="Encode Sans ExpandedLight"/>
                            <w:color w:val="243782" w:themeColor="text2"/>
                            <w:sz w:val="20"/>
                            <w:szCs w:val="20"/>
                            <w:lang w:val="en-US"/>
                          </w:rPr>
                          <w:t xml:space="preserve">1 248 760 2621 - </w:t>
                        </w:r>
                        <w:hyperlink r:id="rId23" w:history="1">
                          <w:r w:rsidRPr="00C9031D">
                            <w:rPr>
                              <w:rFonts w:ascii="Encode Sans ExpandedLight" w:hAnsi="Encode Sans ExpandedLight"/>
                              <w:color w:val="243782" w:themeColor="text2"/>
                              <w:sz w:val="20"/>
                              <w:szCs w:val="20"/>
                              <w:lang w:val="en-US"/>
                            </w:rPr>
                            <w:t>shawn.morgan@stellantis.com</w:t>
                          </w:r>
                        </w:hyperlink>
                      </w:p>
                      <w:p w14:paraId="7337CBCC" w14:textId="77777777" w:rsidR="0091129E" w:rsidRPr="00C9031D" w:rsidRDefault="0091129E" w:rsidP="00934B98">
                        <w:pPr>
                          <w:spacing w:after="120"/>
                          <w:jc w:val="left"/>
                          <w:rPr>
                            <w:lang w:val="en-US"/>
                          </w:rPr>
                        </w:pPr>
                      </w:p>
                    </w:tc>
                  </w:tr>
                </w:tbl>
                <w:p w14:paraId="38A82159" w14:textId="4F960FB3" w:rsidR="0091129E" w:rsidRDefault="00506CE6" w:rsidP="0091129E">
                  <w:pPr>
                    <w:rPr>
                      <w:rFonts w:ascii="Encode Sans ExpandedLight" w:hAnsi="Encode Sans ExpandedLight"/>
                      <w:color w:val="243782" w:themeColor="text2"/>
                      <w:sz w:val="20"/>
                      <w:szCs w:val="20"/>
                    </w:rPr>
                  </w:pPr>
                  <w:hyperlink r:id="rId24" w:history="1">
                    <w:r w:rsidR="0065211A" w:rsidRPr="003651D8">
                      <w:rPr>
                        <w:rStyle w:val="Collegamentoipertestuale"/>
                        <w:rFonts w:ascii="Encode Sans ExpandedLight" w:hAnsi="Encode Sans ExpandedLight"/>
                        <w:sz w:val="20"/>
                        <w:szCs w:val="20"/>
                      </w:rPr>
                      <w:t>www.stellantis.com</w:t>
                    </w:r>
                  </w:hyperlink>
                </w:p>
                <w:p w14:paraId="39F4FBD1" w14:textId="77777777" w:rsidR="0065211A" w:rsidRDefault="0065211A" w:rsidP="0091129E">
                  <w:pPr>
                    <w:rPr>
                      <w:rFonts w:ascii="Encode Sans ExpandedLight" w:hAnsi="Encode Sans ExpandedLight"/>
                      <w:color w:val="243782" w:themeColor="text2"/>
                      <w:sz w:val="20"/>
                      <w:szCs w:val="20"/>
                    </w:rPr>
                  </w:pPr>
                </w:p>
                <w:p w14:paraId="78753C8E" w14:textId="77777777" w:rsidR="0065211A" w:rsidRDefault="0065211A" w:rsidP="0091129E">
                  <w:pPr>
                    <w:rPr>
                      <w:rFonts w:ascii="Encode Sans ExpandedLight" w:hAnsi="Encode Sans ExpandedLight"/>
                      <w:color w:val="243782" w:themeColor="text2"/>
                      <w:sz w:val="20"/>
                      <w:szCs w:val="20"/>
                    </w:rPr>
                  </w:pPr>
                </w:p>
                <w:p w14:paraId="651F4CFC" w14:textId="77777777" w:rsidR="00A24B43" w:rsidRDefault="00A24B43" w:rsidP="0091129E">
                  <w:pPr>
                    <w:rPr>
                      <w:rFonts w:ascii="Encode Sans ExpandedLight" w:hAnsi="Encode Sans ExpandedLight"/>
                      <w:color w:val="243782" w:themeColor="text2"/>
                      <w:sz w:val="20"/>
                      <w:szCs w:val="20"/>
                    </w:rPr>
                  </w:pPr>
                  <w:bookmarkStart w:id="0" w:name="_GoBack"/>
                  <w:bookmarkEnd w:id="0"/>
                </w:p>
                <w:p w14:paraId="41B2DDB0" w14:textId="3CD953EB" w:rsidR="0065211A" w:rsidRPr="00020C43" w:rsidRDefault="0065211A" w:rsidP="0091129E">
                  <w:pPr>
                    <w:rPr>
                      <w:rStyle w:val="Testosegnaposto"/>
                      <w:rFonts w:ascii="Encode Sans ExpandedLight" w:hAnsi="Encode Sans ExpandedLight"/>
                      <w:color w:val="243782" w:themeColor="text2"/>
                      <w:sz w:val="20"/>
                      <w:szCs w:val="20"/>
                    </w:rPr>
                  </w:pPr>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58E5404B" w:rsidR="00D56439" w:rsidRDefault="00D56439" w:rsidP="002D4164">
      <w:pPr>
        <w:jc w:val="left"/>
      </w:pPr>
    </w:p>
    <w:p w14:paraId="72C0BC43" w14:textId="77777777" w:rsidR="0065211A" w:rsidRPr="00F77728" w:rsidRDefault="0065211A" w:rsidP="0065211A">
      <w:pPr>
        <w:spacing w:line="276" w:lineRule="auto"/>
        <w:jc w:val="center"/>
        <w:rPr>
          <w:rFonts w:ascii="Encode Sans" w:eastAsia="Encode Sans" w:hAnsi="Encode Sans" w:cs="Encode Sans"/>
          <w:b/>
          <w:sz w:val="18"/>
        </w:rPr>
      </w:pPr>
      <w:r w:rsidRPr="00F77728">
        <w:rPr>
          <w:rFonts w:ascii="Encode Sans" w:eastAsia="Encode Sans" w:hAnsi="Encode Sans" w:cs="Encode Sans"/>
          <w:b/>
          <w:sz w:val="18"/>
        </w:rPr>
        <w:lastRenderedPageBreak/>
        <w:t>AVIS IMPORTANT</w:t>
      </w:r>
    </w:p>
    <w:p w14:paraId="67035318" w14:textId="77777777" w:rsidR="0065211A" w:rsidRDefault="0065211A" w:rsidP="0065211A">
      <w:pPr>
        <w:pStyle w:val="NormaleWeb"/>
        <w:shd w:val="clear" w:color="auto" w:fill="FFFFFF"/>
        <w:jc w:val="both"/>
        <w:textAlignment w:val="baseline"/>
        <w:rPr>
          <w:rFonts w:ascii="inherit" w:hAnsi="inherit"/>
          <w:color w:val="515151"/>
        </w:rPr>
      </w:pPr>
      <w:r w:rsidRPr="00F77728">
        <w:rPr>
          <w:rFonts w:ascii="Encode Sans" w:eastAsia="Encode Sans" w:hAnsi="Encode Sans" w:cs="Encode Sans"/>
          <w:i/>
          <w:iCs/>
          <w:kern w:val="16"/>
          <w:sz w:val="18"/>
          <w:lang w:eastAsia="en-US"/>
        </w:rPr>
        <w:t xml:space="preserve">Ce document, en particulier </w:t>
      </w:r>
      <w:r w:rsidRPr="005678C3">
        <w:rPr>
          <w:rFonts w:ascii="Encode Sans" w:eastAsia="Encode Sans" w:hAnsi="Encode Sans" w:cs="Encode Sans"/>
          <w:i/>
          <w:iCs/>
          <w:kern w:val="16"/>
          <w:sz w:val="18"/>
          <w:lang w:eastAsia="en-US"/>
        </w:rPr>
        <w:t>l’</w:t>
      </w:r>
      <w:r>
        <w:rPr>
          <w:rFonts w:ascii="Encode Sans" w:eastAsia="Encode Sans" w:hAnsi="Encode Sans" w:cs="Encode Sans"/>
          <w:i/>
          <w:iCs/>
          <w:kern w:val="16"/>
          <w:sz w:val="18"/>
          <w:lang w:eastAsia="en-US"/>
        </w:rPr>
        <w:t>« O</w:t>
      </w:r>
      <w:r w:rsidRPr="005678C3">
        <w:rPr>
          <w:rFonts w:ascii="Encode Sans" w:eastAsia="Encode Sans" w:hAnsi="Encode Sans" w:cs="Encode Sans"/>
          <w:i/>
          <w:iCs/>
          <w:kern w:val="16"/>
          <w:sz w:val="18"/>
          <w:lang w:eastAsia="en-US"/>
        </w:rPr>
        <w:t>bjectif opérationnel 2021</w:t>
      </w:r>
      <w:r>
        <w:rPr>
          <w:rFonts w:ascii="Encode Sans" w:eastAsia="Encode Sans" w:hAnsi="Encode Sans" w:cs="Encode Sans"/>
          <w:i/>
          <w:iCs/>
          <w:kern w:val="16"/>
          <w:sz w:val="18"/>
          <w:lang w:eastAsia="en-US"/>
        </w:rPr>
        <w:t> »</w:t>
      </w:r>
      <w:r w:rsidRPr="005678C3">
        <w:rPr>
          <w:rFonts w:ascii="Encode Sans" w:eastAsia="Encode Sans" w:hAnsi="Encode Sans" w:cs="Encode Sans"/>
          <w:i/>
          <w:iCs/>
          <w:kern w:val="16"/>
          <w:sz w:val="18"/>
          <w:lang w:eastAsia="en-US"/>
        </w:rPr>
        <w:t>,</w:t>
      </w:r>
      <w:r w:rsidRPr="00F77728">
        <w:rPr>
          <w:rFonts w:ascii="Encode Sans" w:eastAsia="Encode Sans" w:hAnsi="Encode Sans" w:cs="Encode Sans"/>
          <w:i/>
          <w:iCs/>
          <w:kern w:val="16"/>
          <w:sz w:val="18"/>
          <w:lang w:eastAsia="en-US"/>
        </w:rPr>
        <w:t xml:space="preserve"> contient des déclarations prospectives. En particulier, ces déclarations prospectives comprennent des déclarations concernant les performances financières futures et les attentes de la Société quant à la réalisation de certaines mesures cibles incluant le chiffre d’affaires, les flux de trésoreries industriels disponibles, les livraisons de véhicules, les investissements en capital, les dépenses en recherche et développement et les autres dépenses à toute date future ou pour toute période future sont des déclarations prospectives. Ces déclarations peuvent inclure des termes tels que «peut», «sera», «s’attendre», «pourrait», «devrait», «avoir l’intention», «estimer», «anticiper», «croire», «rester», «sur la bonne voie»,</w:t>
      </w:r>
      <w:r>
        <w:rPr>
          <w:rFonts w:ascii="Encode Sans" w:eastAsia="Encode Sans" w:hAnsi="Encode Sans" w:cs="Encode Sans"/>
          <w:i/>
          <w:iCs/>
          <w:kern w:val="16"/>
          <w:sz w:val="18"/>
          <w:lang w:eastAsia="en-US"/>
        </w:rPr>
        <w:t xml:space="preserve"> </w:t>
      </w:r>
      <w:r w:rsidRPr="00F77728">
        <w:rPr>
          <w:rFonts w:ascii="Encode Sans" w:eastAsia="Encode Sans" w:hAnsi="Encode Sans" w:cs="Encode Sans"/>
          <w:i/>
          <w:iCs/>
          <w:kern w:val="16"/>
          <w:sz w:val="18"/>
          <w:lang w:eastAsia="en-US"/>
        </w:rPr>
        <w:t>«conception »,« cible »,« objectif »,« objectif »,« prévision »,« projection »,« perspectives »,« perspectives »,« plan »</w:t>
      </w:r>
      <w:r>
        <w:rPr>
          <w:rFonts w:ascii="Encode Sans" w:eastAsia="Encode Sans" w:hAnsi="Encode Sans" w:cs="Encode Sans"/>
          <w:i/>
          <w:iCs/>
          <w:kern w:val="16"/>
          <w:sz w:val="18"/>
          <w:lang w:eastAsia="en-US"/>
        </w:rPr>
        <w:t xml:space="preserve"> </w:t>
      </w:r>
      <w:r w:rsidRPr="00F77728">
        <w:rPr>
          <w:rFonts w:ascii="Encode Sans" w:eastAsia="Encode Sans" w:hAnsi="Encode Sans" w:cs="Encode Sans"/>
          <w:i/>
          <w:iCs/>
          <w:kern w:val="16"/>
          <w:sz w:val="18"/>
          <w:lang w:eastAsia="en-US"/>
        </w:rPr>
        <w:t>ou des termes similaires. Les déclarations prospectives ne sont pas des garanties de performances futures. Ils sont plutôt fondés sur l’état actuel des connaissances du Groupe, les attentes futures et les projections concernant les événements futurs et sont, par leur nature, soumis à des risques et incertitudes inhérents. Ils se rapportent à des événements et dépendent de circonstances qui peuvent ou non se produire ou exister à l’avenir et, à ce titre, il ne faut pas s’y fier indûment</w:t>
      </w:r>
      <w:r>
        <w:rPr>
          <w:rStyle w:val="Enfasicorsivo"/>
          <w:rFonts w:ascii="inherit" w:hAnsi="inherit"/>
          <w:color w:val="1E2336"/>
          <w:bdr w:val="none" w:sz="0" w:space="0" w:color="auto" w:frame="1"/>
        </w:rPr>
        <w:t>. </w:t>
      </w:r>
    </w:p>
    <w:p w14:paraId="0597AA32" w14:textId="77777777" w:rsidR="0065211A" w:rsidRPr="00B86DD8" w:rsidRDefault="0065211A" w:rsidP="0065211A">
      <w:pPr>
        <w:spacing w:line="276" w:lineRule="auto"/>
        <w:rPr>
          <w:rFonts w:ascii="Encode Sans" w:eastAsia="Encode Sans" w:hAnsi="Encode Sans" w:cs="Encode Sans"/>
          <w:i/>
          <w:iCs/>
          <w:sz w:val="18"/>
        </w:rPr>
      </w:pPr>
      <w:proofErr w:type="gramStart"/>
      <w:r w:rsidRPr="00F77728">
        <w:rPr>
          <w:rFonts w:ascii="Encode Sans" w:eastAsia="Encode Sans" w:hAnsi="Encode Sans" w:cs="Encode Sans"/>
          <w:i/>
          <w:iCs/>
          <w:sz w:val="18"/>
        </w:rPr>
        <w:t>Les résultats réels peuvent différer sensiblement de ceux exprimés dans les déclarations prospectives en raison de divers facteurs, notamment : l’impact de la pandémie de Covid-19,  la capacité du Groupe à lancer avec succès de nouveaux produits, maintenir les volumes de livraison de véhicules; faire face aux évolutions des marchés financiers mondiaux, de l’environnement économique général et aux évolutions de la demande de produits automobiles, qui sont soumis à la cycles; aux changements des conditions économiques et politiques locales, aux changements de politique commerciale et d’imposition de tarifs mondiaux et régionaux ou de tarifs ciblant l’industrie automobile, à la promulgation de réformes fiscales ou d’autres changements dans les lois et réglementations fiscales; à la capacité des sociétés à étendre certaines de leurs marques à l’échelle mondiale; à la capacité des entreprises à proposer des produits innovants et attractifs; à la capacité des sociétés à développer, fabriquer et vendre des véhicules dotés de fonctionnalités avancées, notamment des caractéristiques d’électrification, de connectivité et de conduite autonome améliorées; divers types de réclamations, poursuites, enquêtes gouvernementales et autres éventualités, y compris les réclamations en matière de responsabilité du fait des produits et de garantie et les réclamations, enquêtes et poursuites environnementales; les dépenses d’exploitation importantes liées au respect des réglementations en matière d’environnement, de santé et de sécurité; à l’intense niveau de concurrence dans l’industrie automobile, qui pourrait augmenter en raison de la consolidation; à l’exposition aux déficits de financement des régimes de retraite à prestations définies du Groupe; à la capacité de fournir ou d’organiser l’accès à un financement adéquat pour les concessionnaires et les clients de détail et les risques associés liés à la création et à l’exploitation de sociétés de services financiers; à la capacité d’accéder au financement pour exécuter les plans d’affaires du Groupe et améliorer leurs activités, leur situation financière et leurs résultats d’exploitation; un dysfonctionnement important, une perturbation ou une violation de la sécurité compromettant les systèmes informatiques ou les systèmes de contrôle électronique contenus dans les véhicules du Groupe; la capacité du Groupe à réaliser les avantages escomptés des accords de coentreprise; les perturbations résultant de l’instabilité politique, sociale et économique; les risques associés à nos relations avec les employés, les concessionnaires et les fournisseurs; augmentation des coûts, interruption de l’approvisionnement ou pénurie de matières premières; évolution des relations de travail et du travail et évolution des lois du travail applicables; les fluctuations des taux de change, les variations des taux d’intérêt, le risque de crédit et les autres risques de marché; troubles politiques et civils; tremblements de terre ou autres cat</w:t>
      </w:r>
      <w:r w:rsidRPr="00B86DD8">
        <w:rPr>
          <w:rFonts w:ascii="Encode Sans" w:eastAsia="Encode Sans" w:hAnsi="Encode Sans" w:cs="Encode Sans"/>
          <w:i/>
          <w:iCs/>
          <w:sz w:val="18"/>
        </w:rPr>
        <w:t>astrophes; le risque que les opérations de Groupe PSA et de FCA ne soient pas intégrées avec succès et d’autres risques et incertitudes.</w:t>
      </w:r>
      <w:proofErr w:type="gramEnd"/>
    </w:p>
    <w:p w14:paraId="2668F7EA" w14:textId="77777777" w:rsidR="0065211A" w:rsidRPr="00B86DD8" w:rsidRDefault="0065211A" w:rsidP="0065211A">
      <w:pPr>
        <w:spacing w:line="276" w:lineRule="auto"/>
        <w:rPr>
          <w:rFonts w:ascii="Encode Sans" w:eastAsia="Encode Sans" w:hAnsi="Encode Sans" w:cs="Encode Sans"/>
          <w:sz w:val="18"/>
        </w:rPr>
      </w:pPr>
    </w:p>
    <w:p w14:paraId="23FB84E1" w14:textId="77777777" w:rsidR="0065211A" w:rsidRPr="00F77728" w:rsidRDefault="0065211A" w:rsidP="0065211A">
      <w:pPr>
        <w:spacing w:line="276" w:lineRule="auto"/>
        <w:rPr>
          <w:rFonts w:ascii="Encode Sans" w:eastAsia="Encode Sans" w:hAnsi="Encode Sans" w:cs="Encode Sans"/>
          <w:sz w:val="18"/>
        </w:rPr>
      </w:pPr>
      <w:r w:rsidRPr="00F77728">
        <w:rPr>
          <w:rFonts w:ascii="Encode Sans" w:eastAsia="Encode Sans" w:hAnsi="Encode Sans" w:cs="Encode Sans"/>
          <w:i/>
          <w:iCs/>
          <w:sz w:val="18"/>
        </w:rPr>
        <w:t>Les déclarations prospectives contenues dans ce document ne sont valables qu’à la date de ce document et le Groupe décline toute obligation de mettre à jour ou de réviser publiquement les déclarations prospectives. De plus amples informations concernant le Groupe et ses activités, y compris les facteurs susceptibles d’affecter sensiblement les résultats financiers des parties, sont incluses dans les rapports et dépôts de FCA auprès de la Securities and Exchange Commission des États-Unis (y compris la déclaration d’enregistrement sur formulaire F-4 qui a été déclarée effective par la SEC le 20 novembre 2020), de l’AFM et de la CONSOB et des dépôts de PSA auprès de l’AMF.</w:t>
      </w:r>
    </w:p>
    <w:p w14:paraId="03258069" w14:textId="77777777" w:rsidR="0065211A" w:rsidRPr="00F77728" w:rsidRDefault="0065211A" w:rsidP="0065211A">
      <w:pPr>
        <w:spacing w:line="276" w:lineRule="auto"/>
        <w:rPr>
          <w:rFonts w:ascii="Encode Sans" w:hAnsi="Encode Sans"/>
          <w:sz w:val="18"/>
          <w:szCs w:val="18"/>
        </w:rPr>
      </w:pPr>
    </w:p>
    <w:p w14:paraId="50BBF95C" w14:textId="77777777" w:rsidR="0065211A" w:rsidRPr="00F77728" w:rsidRDefault="0065211A" w:rsidP="0065211A">
      <w:pPr>
        <w:spacing w:line="276" w:lineRule="auto"/>
        <w:jc w:val="center"/>
        <w:rPr>
          <w:rFonts w:ascii="Encode Sans" w:eastAsia="Encode Sans" w:hAnsi="Encode Sans" w:cs="Encode Sans"/>
          <w:b/>
          <w:sz w:val="18"/>
        </w:rPr>
      </w:pPr>
    </w:p>
    <w:p w14:paraId="6DE06DB6" w14:textId="77777777" w:rsidR="0065211A" w:rsidRDefault="0065211A" w:rsidP="002D4164">
      <w:pPr>
        <w:jc w:val="left"/>
      </w:pPr>
    </w:p>
    <w:sectPr w:rsidR="0065211A" w:rsidSect="00BE6DB5">
      <w:footerReference w:type="default" r:id="rId25"/>
      <w:headerReference w:type="first" r:id="rId26"/>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BBF89" w14:textId="77777777" w:rsidR="00506CE6" w:rsidRDefault="00506CE6" w:rsidP="005F2120">
      <w:r>
        <w:separator/>
      </w:r>
    </w:p>
  </w:endnote>
  <w:endnote w:type="continuationSeparator" w:id="0">
    <w:p w14:paraId="45E1A3B0" w14:textId="77777777" w:rsidR="00506CE6" w:rsidRDefault="00506CE6"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fontKey="{49413624-F6B0-49E0-9D36-9E565CF20FCE}"/>
    <w:embedBold r:id="rId2" w:fontKey="{F1912702-68D0-4FE2-9BB9-903972D42398}"/>
    <w:embedItalic r:id="rId3" w:fontKey="{B67F5EBC-46A1-406F-A4A0-02487256E67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ncode Sans SemiBold">
    <w:altName w:val="Calibri"/>
    <w:panose1 w:val="00000000000000000000"/>
    <w:charset w:val="00"/>
    <w:family w:val="auto"/>
    <w:pitch w:val="variable"/>
    <w:sig w:usb0="A00000FF" w:usb1="4000207B" w:usb2="00000000" w:usb3="00000000" w:csb0="00000193" w:csb1="00000000"/>
    <w:embedRegular r:id="rId4" w:fontKey="{F79A28D0-EDE8-48E9-AD89-228F47967BE5}"/>
    <w:embedBold r:id="rId5" w:fontKey="{7DDB9D35-A52B-4E66-BF84-B7CB5DD0BA11}"/>
    <w:embedItalic r:id="rId6" w:fontKey="{ED92E11D-7C13-4D8A-BBBA-5DDF2345192E}"/>
  </w:font>
  <w:font w:name="Encode Sans ExpandedLight">
    <w:altName w:val="Times New Roman"/>
    <w:panose1 w:val="00000000000000000000"/>
    <w:charset w:val="00"/>
    <w:family w:val="auto"/>
    <w:pitch w:val="variable"/>
    <w:sig w:usb0="A00000FF" w:usb1="4000207B" w:usb2="00000000" w:usb3="00000000" w:csb0="00000193" w:csb1="00000000"/>
    <w:embedRegular r:id="rId7" w:fontKey="{DC49BF9F-1284-456A-8C7D-948A93EF9E0E}"/>
    <w:embedBold r:id="rId8" w:fontKey="{55937025-5FF6-4232-9DF4-40BCA80E0AD9}"/>
    <w:embedItalic r:id="rId9" w:fontKey="{9E4D4591-784E-49FE-81C6-2B67421858F6}"/>
  </w:font>
  <w:font w:name="Calibri">
    <w:panose1 w:val="020F0502020204030204"/>
    <w:charset w:val="00"/>
    <w:family w:val="swiss"/>
    <w:pitch w:val="variable"/>
    <w:sig w:usb0="E0002EFF" w:usb1="C000247B" w:usb2="00000009" w:usb3="00000000" w:csb0="000001FF" w:csb1="00000000"/>
  </w:font>
  <w:font w:name="inherit">
    <w:altName w:val="Times New Roman"/>
    <w:charset w:val="00"/>
    <w:family w:val="auto"/>
    <w:pitch w:val="default"/>
    <w:embedItalic r:id="rId10" w:subsetted="1" w:fontKey="{0F0C6718-F25E-4213-A6CD-AB86CDC3D2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05BE9F95"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A24B43">
      <w:rPr>
        <w:rStyle w:val="Numeropagina"/>
        <w:noProof/>
      </w:rPr>
      <w:t>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F6CA" w14:textId="77777777" w:rsidR="00506CE6" w:rsidRDefault="00506CE6" w:rsidP="005F2120">
      <w:r>
        <w:separator/>
      </w:r>
    </w:p>
  </w:footnote>
  <w:footnote w:type="continuationSeparator" w:id="0">
    <w:p w14:paraId="5E7F8E51" w14:textId="77777777" w:rsidR="00506CE6" w:rsidRDefault="00506CE6" w:rsidP="005F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77777777" w:rsidR="005F2120" w:rsidRDefault="00A33E8D" w:rsidP="0086416D">
    <w:pPr>
      <w:pStyle w:val="Intestazione"/>
      <w:spacing w:after="320"/>
    </w:pPr>
    <w:r>
      <w:rPr>
        <w:noProof/>
        <w:lang w:val="it-IT"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it-IT"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3C4C"/>
    <w:rsid w:val="00076F38"/>
    <w:rsid w:val="00087566"/>
    <w:rsid w:val="000B36BE"/>
    <w:rsid w:val="000E1A0C"/>
    <w:rsid w:val="00100317"/>
    <w:rsid w:val="00112031"/>
    <w:rsid w:val="001149BE"/>
    <w:rsid w:val="001221EC"/>
    <w:rsid w:val="00122B9E"/>
    <w:rsid w:val="00133001"/>
    <w:rsid w:val="00192356"/>
    <w:rsid w:val="001A6508"/>
    <w:rsid w:val="001B272D"/>
    <w:rsid w:val="001B4263"/>
    <w:rsid w:val="001B591C"/>
    <w:rsid w:val="001D03F6"/>
    <w:rsid w:val="001D444B"/>
    <w:rsid w:val="001E54A0"/>
    <w:rsid w:val="002159D0"/>
    <w:rsid w:val="00261DB6"/>
    <w:rsid w:val="002632FE"/>
    <w:rsid w:val="0027145D"/>
    <w:rsid w:val="00273C6F"/>
    <w:rsid w:val="002836DD"/>
    <w:rsid w:val="00293E0C"/>
    <w:rsid w:val="00294139"/>
    <w:rsid w:val="002A10AC"/>
    <w:rsid w:val="002A5AE5"/>
    <w:rsid w:val="002B1966"/>
    <w:rsid w:val="002C4082"/>
    <w:rsid w:val="002C409D"/>
    <w:rsid w:val="002C508D"/>
    <w:rsid w:val="002D4164"/>
    <w:rsid w:val="002F0B82"/>
    <w:rsid w:val="002F19BC"/>
    <w:rsid w:val="002F4229"/>
    <w:rsid w:val="00307156"/>
    <w:rsid w:val="00316465"/>
    <w:rsid w:val="00321DBE"/>
    <w:rsid w:val="00326132"/>
    <w:rsid w:val="00340A03"/>
    <w:rsid w:val="00343BE2"/>
    <w:rsid w:val="00352F73"/>
    <w:rsid w:val="00384173"/>
    <w:rsid w:val="003864AD"/>
    <w:rsid w:val="003A217E"/>
    <w:rsid w:val="003A3CCA"/>
    <w:rsid w:val="003A5D8C"/>
    <w:rsid w:val="003C401D"/>
    <w:rsid w:val="003C7160"/>
    <w:rsid w:val="003D5352"/>
    <w:rsid w:val="003E68CC"/>
    <w:rsid w:val="003E6D1D"/>
    <w:rsid w:val="003F4716"/>
    <w:rsid w:val="00400268"/>
    <w:rsid w:val="004022B4"/>
    <w:rsid w:val="004132EE"/>
    <w:rsid w:val="004205A7"/>
    <w:rsid w:val="004215EC"/>
    <w:rsid w:val="00423AE0"/>
    <w:rsid w:val="00425677"/>
    <w:rsid w:val="00433EDD"/>
    <w:rsid w:val="00437AFB"/>
    <w:rsid w:val="0044219E"/>
    <w:rsid w:val="00442E14"/>
    <w:rsid w:val="00444037"/>
    <w:rsid w:val="0045216F"/>
    <w:rsid w:val="00454CAA"/>
    <w:rsid w:val="004626A2"/>
    <w:rsid w:val="004729DF"/>
    <w:rsid w:val="004A2B09"/>
    <w:rsid w:val="004A430E"/>
    <w:rsid w:val="004C3ECB"/>
    <w:rsid w:val="004D4EBE"/>
    <w:rsid w:val="004D61EA"/>
    <w:rsid w:val="004D6FF4"/>
    <w:rsid w:val="004E15DE"/>
    <w:rsid w:val="004E720B"/>
    <w:rsid w:val="004F765A"/>
    <w:rsid w:val="00500CE8"/>
    <w:rsid w:val="00506CE6"/>
    <w:rsid w:val="00521368"/>
    <w:rsid w:val="005309F6"/>
    <w:rsid w:val="0053700F"/>
    <w:rsid w:val="00542A43"/>
    <w:rsid w:val="00544345"/>
    <w:rsid w:val="00553088"/>
    <w:rsid w:val="00556237"/>
    <w:rsid w:val="00585CE1"/>
    <w:rsid w:val="00587EF7"/>
    <w:rsid w:val="005948AC"/>
    <w:rsid w:val="00594C18"/>
    <w:rsid w:val="005A2170"/>
    <w:rsid w:val="005C775F"/>
    <w:rsid w:val="005D205C"/>
    <w:rsid w:val="005E14FE"/>
    <w:rsid w:val="005F2120"/>
    <w:rsid w:val="00601013"/>
    <w:rsid w:val="006049F1"/>
    <w:rsid w:val="00611803"/>
    <w:rsid w:val="0061682B"/>
    <w:rsid w:val="006325CE"/>
    <w:rsid w:val="00640728"/>
    <w:rsid w:val="00646166"/>
    <w:rsid w:val="0065211A"/>
    <w:rsid w:val="00655A10"/>
    <w:rsid w:val="006619B6"/>
    <w:rsid w:val="00665C9F"/>
    <w:rsid w:val="00666243"/>
    <w:rsid w:val="00677170"/>
    <w:rsid w:val="00682310"/>
    <w:rsid w:val="006826F0"/>
    <w:rsid w:val="006944C6"/>
    <w:rsid w:val="006A5907"/>
    <w:rsid w:val="006A6D23"/>
    <w:rsid w:val="006B5C7E"/>
    <w:rsid w:val="006D5640"/>
    <w:rsid w:val="006D68DD"/>
    <w:rsid w:val="006E27BF"/>
    <w:rsid w:val="006F0906"/>
    <w:rsid w:val="006F3C46"/>
    <w:rsid w:val="00700861"/>
    <w:rsid w:val="00725625"/>
    <w:rsid w:val="00726427"/>
    <w:rsid w:val="00737F2D"/>
    <w:rsid w:val="00741196"/>
    <w:rsid w:val="007429B6"/>
    <w:rsid w:val="00772863"/>
    <w:rsid w:val="007770AC"/>
    <w:rsid w:val="0078134D"/>
    <w:rsid w:val="007A46E2"/>
    <w:rsid w:val="007A52B6"/>
    <w:rsid w:val="007B1AE9"/>
    <w:rsid w:val="007D24D8"/>
    <w:rsid w:val="007D5DA4"/>
    <w:rsid w:val="007E317D"/>
    <w:rsid w:val="0080313B"/>
    <w:rsid w:val="00805FAA"/>
    <w:rsid w:val="00811145"/>
    <w:rsid w:val="008116E3"/>
    <w:rsid w:val="008124BD"/>
    <w:rsid w:val="00812EFA"/>
    <w:rsid w:val="00815B14"/>
    <w:rsid w:val="0082757F"/>
    <w:rsid w:val="00830AE3"/>
    <w:rsid w:val="00834408"/>
    <w:rsid w:val="00834AE5"/>
    <w:rsid w:val="00844956"/>
    <w:rsid w:val="00851429"/>
    <w:rsid w:val="00863AE2"/>
    <w:rsid w:val="0086416D"/>
    <w:rsid w:val="00874366"/>
    <w:rsid w:val="00877117"/>
    <w:rsid w:val="008B4CD5"/>
    <w:rsid w:val="008D0927"/>
    <w:rsid w:val="008D5816"/>
    <w:rsid w:val="008D5AFE"/>
    <w:rsid w:val="008E6450"/>
    <w:rsid w:val="008F0F07"/>
    <w:rsid w:val="008F2A13"/>
    <w:rsid w:val="008F3049"/>
    <w:rsid w:val="008F3E7D"/>
    <w:rsid w:val="0091129E"/>
    <w:rsid w:val="00917535"/>
    <w:rsid w:val="00934B98"/>
    <w:rsid w:val="00952DA4"/>
    <w:rsid w:val="00992BE1"/>
    <w:rsid w:val="009968C5"/>
    <w:rsid w:val="009A23AB"/>
    <w:rsid w:val="009A5102"/>
    <w:rsid w:val="009C7FD5"/>
    <w:rsid w:val="009D180E"/>
    <w:rsid w:val="009D4862"/>
    <w:rsid w:val="009F1C29"/>
    <w:rsid w:val="009F7A92"/>
    <w:rsid w:val="00A17E67"/>
    <w:rsid w:val="00A21C49"/>
    <w:rsid w:val="00A242CE"/>
    <w:rsid w:val="00A24479"/>
    <w:rsid w:val="00A24B43"/>
    <w:rsid w:val="00A33E8D"/>
    <w:rsid w:val="00A37FC1"/>
    <w:rsid w:val="00A51C07"/>
    <w:rsid w:val="00A57465"/>
    <w:rsid w:val="00A71966"/>
    <w:rsid w:val="00A8551F"/>
    <w:rsid w:val="00A87390"/>
    <w:rsid w:val="00A95CDE"/>
    <w:rsid w:val="00AA0F19"/>
    <w:rsid w:val="00AA27D3"/>
    <w:rsid w:val="00AA5F4B"/>
    <w:rsid w:val="00AA6F62"/>
    <w:rsid w:val="00AB283F"/>
    <w:rsid w:val="00AB6288"/>
    <w:rsid w:val="00AC2618"/>
    <w:rsid w:val="00B01374"/>
    <w:rsid w:val="00B13A02"/>
    <w:rsid w:val="00B32F4C"/>
    <w:rsid w:val="00B451AD"/>
    <w:rsid w:val="00B50E33"/>
    <w:rsid w:val="00B51FC8"/>
    <w:rsid w:val="00B56F08"/>
    <w:rsid w:val="00B64010"/>
    <w:rsid w:val="00B64F18"/>
    <w:rsid w:val="00B70082"/>
    <w:rsid w:val="00B92FB1"/>
    <w:rsid w:val="00BB6D3E"/>
    <w:rsid w:val="00BC154B"/>
    <w:rsid w:val="00BC19DA"/>
    <w:rsid w:val="00BE6DB5"/>
    <w:rsid w:val="00BF3FBD"/>
    <w:rsid w:val="00C10E75"/>
    <w:rsid w:val="00C14BD4"/>
    <w:rsid w:val="00C21B90"/>
    <w:rsid w:val="00C31F14"/>
    <w:rsid w:val="00C60A64"/>
    <w:rsid w:val="00C63CC0"/>
    <w:rsid w:val="00C71992"/>
    <w:rsid w:val="00C723A9"/>
    <w:rsid w:val="00C7353E"/>
    <w:rsid w:val="00C77CE7"/>
    <w:rsid w:val="00C8594B"/>
    <w:rsid w:val="00C9031D"/>
    <w:rsid w:val="00CC064F"/>
    <w:rsid w:val="00CC4D09"/>
    <w:rsid w:val="00CD3A42"/>
    <w:rsid w:val="00CD556C"/>
    <w:rsid w:val="00CD6CE2"/>
    <w:rsid w:val="00D12EEC"/>
    <w:rsid w:val="00D25497"/>
    <w:rsid w:val="00D265D9"/>
    <w:rsid w:val="00D327F7"/>
    <w:rsid w:val="00D3384B"/>
    <w:rsid w:val="00D35611"/>
    <w:rsid w:val="00D44999"/>
    <w:rsid w:val="00D5456A"/>
    <w:rsid w:val="00D54C2A"/>
    <w:rsid w:val="00D56439"/>
    <w:rsid w:val="00D621D3"/>
    <w:rsid w:val="00D70183"/>
    <w:rsid w:val="00D72E4E"/>
    <w:rsid w:val="00D90756"/>
    <w:rsid w:val="00D9097F"/>
    <w:rsid w:val="00D92963"/>
    <w:rsid w:val="00D95FC1"/>
    <w:rsid w:val="00DA27E1"/>
    <w:rsid w:val="00DA7C83"/>
    <w:rsid w:val="00DB1346"/>
    <w:rsid w:val="00DB6FDE"/>
    <w:rsid w:val="00DB702B"/>
    <w:rsid w:val="00DD1125"/>
    <w:rsid w:val="00DE6A75"/>
    <w:rsid w:val="00DE72B9"/>
    <w:rsid w:val="00E039AB"/>
    <w:rsid w:val="00E14E29"/>
    <w:rsid w:val="00E153D5"/>
    <w:rsid w:val="00E3102A"/>
    <w:rsid w:val="00E41681"/>
    <w:rsid w:val="00E54FC6"/>
    <w:rsid w:val="00E64C88"/>
    <w:rsid w:val="00E825A9"/>
    <w:rsid w:val="00E86320"/>
    <w:rsid w:val="00EA5430"/>
    <w:rsid w:val="00EA5C35"/>
    <w:rsid w:val="00EB1968"/>
    <w:rsid w:val="00ED3376"/>
    <w:rsid w:val="00EE2100"/>
    <w:rsid w:val="00EE25B8"/>
    <w:rsid w:val="00EE5067"/>
    <w:rsid w:val="00EF4409"/>
    <w:rsid w:val="00F03AE5"/>
    <w:rsid w:val="00F058CA"/>
    <w:rsid w:val="00F12D59"/>
    <w:rsid w:val="00F16456"/>
    <w:rsid w:val="00F233A0"/>
    <w:rsid w:val="00F3717F"/>
    <w:rsid w:val="00F432B3"/>
    <w:rsid w:val="00F453A4"/>
    <w:rsid w:val="00F5284E"/>
    <w:rsid w:val="00F562D3"/>
    <w:rsid w:val="00F71143"/>
    <w:rsid w:val="00F72C03"/>
    <w:rsid w:val="00F805D8"/>
    <w:rsid w:val="00FA2E37"/>
    <w:rsid w:val="00FA7844"/>
    <w:rsid w:val="00FB03AA"/>
    <w:rsid w:val="00FD3433"/>
    <w:rsid w:val="00FD6CFC"/>
    <w:rsid w:val="00FF1520"/>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fr-FR"/>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fr-FR"/>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fr-FR"/>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fr-FR"/>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fr-FR"/>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fr-FR"/>
    </w:rPr>
  </w:style>
  <w:style w:type="table" w:customStyle="1" w:styleId="Grilledutableau2">
    <w:name w:val="Grille du tableau2"/>
    <w:basedOn w:val="Tabellanormale"/>
    <w:next w:val="Grigliatabella"/>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049F1"/>
  </w:style>
  <w:style w:type="paragraph" w:styleId="PreformattatoHTML">
    <w:name w:val="HTML Preformatted"/>
    <w:basedOn w:val="Normale"/>
    <w:link w:val="PreformattatoHTMLCarattere"/>
    <w:uiPriority w:val="99"/>
    <w:semiHidden/>
    <w:unhideWhenUsed/>
    <w:rsid w:val="00E1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eformattatoHTMLCarattere">
    <w:name w:val="Preformattato HTML Carattere"/>
    <w:basedOn w:val="Carpredefinitoparagrafo"/>
    <w:link w:val="PreformattatoHTML"/>
    <w:uiPriority w:val="99"/>
    <w:semiHidden/>
    <w:rsid w:val="00E153D5"/>
    <w:rPr>
      <w:rFonts w:ascii="Courier New" w:eastAsia="Times New Roman" w:hAnsi="Courier New" w:cs="Courier New"/>
      <w:sz w:val="20"/>
      <w:szCs w:val="20"/>
      <w:lang w:eastAsia="fr-FR"/>
    </w:rPr>
  </w:style>
  <w:style w:type="character" w:styleId="Enfasicorsivo">
    <w:name w:val="Emphasis"/>
    <w:uiPriority w:val="20"/>
    <w:qFormat/>
    <w:rsid w:val="00652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398015975">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26222649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783575332">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laudio.damico@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hyperlink" Target="http://www.stellanti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shawn.morgan@stellantis.com"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mailto:karine.douet@stellantis.com"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1F91-3653-4FA5-96D4-35C10E2A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Template>
  <TotalTime>0</TotalTime>
  <Pages>4</Pages>
  <Words>1644</Words>
  <Characters>9371</Characters>
  <Application>Microsoft Office Word</Application>
  <DocSecurity>0</DocSecurity>
  <Lines>78</Lines>
  <Paragraphs>21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Claudio D'Amico</cp:lastModifiedBy>
  <cp:revision>3</cp:revision>
  <dcterms:created xsi:type="dcterms:W3CDTF">2021-03-09T17:28:00Z</dcterms:created>
  <dcterms:modified xsi:type="dcterms:W3CDTF">2021-03-09T20:12:00Z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