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F7" w:rsidRPr="001836EE" w:rsidRDefault="00CA333A">
      <w:pPr>
        <w:pStyle w:val="SSubject"/>
        <w:widowControl/>
        <w:spacing w:before="0" w:after="0"/>
        <w:contextualSpacing w:val="0"/>
        <w:jc w:val="both"/>
        <w:rPr>
          <w:rFonts w:ascii="Encode Sans SemiBold" w:hAnsi="Encode Sans SemiBold" w:cs="Times New Roman"/>
          <w:szCs w:val="18"/>
        </w:rPr>
      </w:pPr>
      <w:r w:rsidRPr="001836EE">
        <w:rPr>
          <w:lang w:eastAsia="it-IT"/>
        </w:rP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page">
                  <wp:posOffset>1691640</wp:posOffset>
                </wp:positionV>
                <wp:extent cx="429895" cy="64135"/>
                <wp:effectExtent l="0" t="0" r="0" b="0"/>
                <wp:wrapNone/>
                <wp:docPr id="17" name="Freeform 27"/>
                <wp:cNvGraphicFramePr/>
                <a:graphic xmlns:a="http://schemas.openxmlformats.org/drawingml/2006/main">
                  <a:graphicData uri="http://schemas.microsoft.com/office/word/2010/wordprocessingShape">
                    <wps:wsp>
                      <wps:cNvSpPr/>
                      <wps:spPr bwMode="auto">
                        <a:xfrm>
                          <a:off x="0" y="0"/>
                          <a:ext cx="429895" cy="64135"/>
                        </a:xfrm>
                        <a:custGeom>
                          <a:avLst/>
                          <a:gdLst>
                            <a:gd name="T0" fmla="*/ 399417 w 354"/>
                            <a:gd name="T1" fmla="*/ 64008 h 39"/>
                            <a:gd name="T2" fmla="*/ 0 w 354"/>
                            <a:gd name="T3" fmla="*/ 64008 h 39"/>
                            <a:gd name="T4" fmla="*/ 32779 w 354"/>
                            <a:gd name="T5" fmla="*/ 0 h 39"/>
                            <a:gd name="T6" fmla="*/ 429768 w 354"/>
                            <a:gd name="T7" fmla="*/ 0 h 39"/>
                            <a:gd name="T8" fmla="*/ 399417 w 354"/>
                            <a:gd name="T9" fmla="*/ 64008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Freeform 27" o:spid="_x0000_s1025" style="width:33.85pt;height:5.05pt;margin-top:133.2pt;margin-left:0;mso-height-percent:0;mso-height-relative:margin;mso-position-horizontal-relative:margin;mso-position-vertical-relative:page;mso-width-percent:0;mso-width-relative:margin;mso-wrap-distance-bottom:0;mso-wrap-distance-left:9pt;mso-wrap-distance-right:9pt;mso-wrap-distance-top:0;mso-wrap-style:square;position:absolute;visibility:visible;v-text-anchor:top;z-index:251659264" coordsize="354,39" path="m329,39l,39,27,,354,,329,39xe" fillcolor="#243782" stroked="f">
                <v:path arrowok="t" o:connecttype="custom" o:connectlocs="485049071,105260335;0,105260335;39806577,0;521907103,0;485049071,105260335" o:connectangles="0,0,0,0,0"/>
                <w10:wrap anchorx="margin"/>
                <w10:anchorlock/>
              </v:shape>
            </w:pict>
          </mc:Fallback>
        </mc:AlternateContent>
      </w:r>
    </w:p>
    <w:p w:rsidR="00495EF7" w:rsidRPr="001836EE" w:rsidRDefault="00495EF7">
      <w:pPr>
        <w:pStyle w:val="OpelHeadlineArial"/>
        <w:widowControl/>
        <w:rPr>
          <w:rFonts w:cs="Arial"/>
          <w:lang w:val="en-GB"/>
        </w:rPr>
      </w:pPr>
    </w:p>
    <w:p w:rsidR="002726B7" w:rsidRPr="001836EE" w:rsidRDefault="002726B7" w:rsidP="002726B7">
      <w:pPr>
        <w:pStyle w:val="SSubject"/>
        <w:widowControl/>
        <w:spacing w:before="0" w:after="0"/>
        <w:contextualSpacing w:val="0"/>
        <w:jc w:val="both"/>
        <w:rPr>
          <w:rFonts w:ascii="Encode Sans SemiBold" w:eastAsia="Times New Roman" w:hAnsi="Encode Sans SemiBold" w:cs="Times New Roman"/>
          <w:szCs w:val="18"/>
        </w:rPr>
      </w:pPr>
      <w:r w:rsidRPr="001836EE">
        <w:rPr>
          <w:rFonts w:ascii="Encode Sans SemiBold" w:hAnsi="Encode Sans SemiBold"/>
          <w:szCs w:val="18"/>
        </w:rPr>
        <w:t>La distribuzione di azioni e liquidità Faurecia diventa incondizionata</w:t>
      </w:r>
    </w:p>
    <w:p w:rsidR="002726B7" w:rsidRPr="001836EE" w:rsidRDefault="002726B7" w:rsidP="002726B7">
      <w:pPr>
        <w:widowControl/>
        <w:rPr>
          <w:rFonts w:eastAsia="Times New Roman" w:cs="Arial"/>
          <w:b/>
          <w:sz w:val="22"/>
        </w:rPr>
      </w:pPr>
    </w:p>
    <w:p w:rsidR="002726B7" w:rsidRPr="001836EE" w:rsidRDefault="002726B7" w:rsidP="002726B7">
      <w:pPr>
        <w:widowControl/>
        <w:rPr>
          <w:rFonts w:eastAsia="Times New Roman" w:cs="Times New Roman"/>
          <w:sz w:val="21"/>
          <w:szCs w:val="21"/>
        </w:rPr>
      </w:pPr>
      <w:r w:rsidRPr="001836EE">
        <w:rPr>
          <w:sz w:val="21"/>
          <w:szCs w:val="21"/>
        </w:rPr>
        <w:t xml:space="preserve">Amsterdam, 10 marzo 2021 – Stellantis N.V. (NYSE / MTA / </w:t>
      </w:r>
      <w:proofErr w:type="spellStart"/>
      <w:r w:rsidRPr="001836EE">
        <w:rPr>
          <w:sz w:val="21"/>
          <w:szCs w:val="21"/>
        </w:rPr>
        <w:t>Euronext</w:t>
      </w:r>
      <w:proofErr w:type="spellEnd"/>
      <w:r w:rsidRPr="001836EE">
        <w:rPr>
          <w:sz w:val="21"/>
          <w:szCs w:val="21"/>
        </w:rPr>
        <w:t xml:space="preserve"> Paris: STLA) (“</w:t>
      </w:r>
      <w:proofErr w:type="spellStart"/>
      <w:r w:rsidRPr="001836EE">
        <w:rPr>
          <w:sz w:val="21"/>
          <w:szCs w:val="21"/>
        </w:rPr>
        <w:t>Stellantis</w:t>
      </w:r>
      <w:proofErr w:type="spellEnd"/>
      <w:r w:rsidRPr="001836EE">
        <w:rPr>
          <w:sz w:val="21"/>
          <w:szCs w:val="21"/>
        </w:rPr>
        <w:t xml:space="preserve">”) ha annunciato oggi che la </w:t>
      </w:r>
      <w:r w:rsidR="00B065FE">
        <w:rPr>
          <w:sz w:val="21"/>
          <w:szCs w:val="21"/>
        </w:rPr>
        <w:t xml:space="preserve">già annunciata </w:t>
      </w:r>
      <w:r w:rsidRPr="001836EE">
        <w:rPr>
          <w:sz w:val="21"/>
          <w:szCs w:val="21"/>
        </w:rPr>
        <w:t xml:space="preserve">distribuzione condizionata (la “Distribuzione”) , a seguito di riduzione di capitale, da parte di </w:t>
      </w:r>
      <w:proofErr w:type="spellStart"/>
      <w:r w:rsidRPr="001836EE">
        <w:rPr>
          <w:sz w:val="21"/>
          <w:szCs w:val="21"/>
        </w:rPr>
        <w:t>Stellantis</w:t>
      </w:r>
      <w:proofErr w:type="spellEnd"/>
      <w:r w:rsidRPr="001836EE">
        <w:rPr>
          <w:sz w:val="21"/>
          <w:szCs w:val="21"/>
        </w:rPr>
        <w:t xml:space="preserve"> ai detentori </w:t>
      </w:r>
      <w:r w:rsidR="000C5708" w:rsidRPr="000C5708">
        <w:rPr>
          <w:sz w:val="21"/>
          <w:szCs w:val="21"/>
        </w:rPr>
        <w:t>delle sue azioni ordinarie</w:t>
      </w:r>
      <w:r w:rsidR="000C5708">
        <w:rPr>
          <w:sz w:val="21"/>
          <w:szCs w:val="21"/>
        </w:rPr>
        <w:t xml:space="preserve">, </w:t>
      </w:r>
      <w:r w:rsidRPr="001836EE">
        <w:rPr>
          <w:sz w:val="21"/>
          <w:szCs w:val="21"/>
        </w:rPr>
        <w:t xml:space="preserve">di un massimo di 54.297.006 azioni ordinarie di </w:t>
      </w:r>
      <w:proofErr w:type="spellStart"/>
      <w:r w:rsidRPr="001836EE">
        <w:rPr>
          <w:sz w:val="21"/>
          <w:szCs w:val="21"/>
        </w:rPr>
        <w:t>Faurecia</w:t>
      </w:r>
      <w:proofErr w:type="spellEnd"/>
      <w:r w:rsidRPr="001836EE">
        <w:rPr>
          <w:sz w:val="21"/>
          <w:szCs w:val="21"/>
        </w:rPr>
        <w:t xml:space="preserve"> S.E. (“</w:t>
      </w:r>
      <w:proofErr w:type="spellStart"/>
      <w:r w:rsidRPr="001836EE">
        <w:rPr>
          <w:sz w:val="21"/>
          <w:szCs w:val="21"/>
        </w:rPr>
        <w:t>Faurecia</w:t>
      </w:r>
      <w:proofErr w:type="spellEnd"/>
      <w:r w:rsidRPr="001836EE">
        <w:rPr>
          <w:sz w:val="21"/>
          <w:szCs w:val="21"/>
        </w:rPr>
        <w:t xml:space="preserve">”) e di un massimo di 308 milioni di euro in contanti, che rappresentano i proventi ricevuti da Peugeot S.A. per la vendita di azioni ordinarie di </w:t>
      </w:r>
      <w:proofErr w:type="spellStart"/>
      <w:r w:rsidRPr="001836EE">
        <w:rPr>
          <w:sz w:val="21"/>
          <w:szCs w:val="21"/>
        </w:rPr>
        <w:t>Faurecia</w:t>
      </w:r>
      <w:proofErr w:type="spellEnd"/>
      <w:r w:rsidRPr="001836EE">
        <w:rPr>
          <w:sz w:val="21"/>
          <w:szCs w:val="21"/>
        </w:rPr>
        <w:t xml:space="preserve"> nell’ottobre 2020, è diventata incondizionata.</w:t>
      </w:r>
    </w:p>
    <w:p w:rsidR="002726B7" w:rsidRPr="001836EE" w:rsidRDefault="002726B7" w:rsidP="002726B7">
      <w:pPr>
        <w:widowControl/>
        <w:rPr>
          <w:rFonts w:eastAsia="Times New Roman" w:cs="Times New Roman"/>
          <w:sz w:val="21"/>
          <w:szCs w:val="21"/>
        </w:rPr>
      </w:pPr>
      <w:r w:rsidRPr="001836EE">
        <w:rPr>
          <w:sz w:val="21"/>
          <w:szCs w:val="21"/>
        </w:rPr>
        <w:t>Come già annunciato, il calendario della Distribuzione sarà</w:t>
      </w:r>
      <w:r w:rsidR="006E0761">
        <w:rPr>
          <w:sz w:val="21"/>
          <w:szCs w:val="21"/>
        </w:rPr>
        <w:t xml:space="preserve"> il seguente: (i) ex-date</w:t>
      </w:r>
      <w:r w:rsidRPr="001836EE">
        <w:rPr>
          <w:sz w:val="21"/>
          <w:szCs w:val="21"/>
        </w:rPr>
        <w:t xml:space="preserve"> lunedì 1</w:t>
      </w:r>
      <w:r w:rsidR="006E0761">
        <w:rPr>
          <w:sz w:val="21"/>
          <w:szCs w:val="21"/>
        </w:rPr>
        <w:t>5 marzo 2021; e (ii) record date</w:t>
      </w:r>
      <w:r w:rsidRPr="001836EE">
        <w:rPr>
          <w:sz w:val="21"/>
          <w:szCs w:val="21"/>
        </w:rPr>
        <w:t xml:space="preserve"> martedì 16 marzo 2021. I titolari di azioni ordinarie Stellantis avranno diritto a: (i) 0,017029 azioni ordinarie di </w:t>
      </w:r>
      <w:proofErr w:type="spellStart"/>
      <w:r w:rsidRPr="001836EE">
        <w:rPr>
          <w:sz w:val="21"/>
          <w:szCs w:val="21"/>
        </w:rPr>
        <w:t>Faurecia</w:t>
      </w:r>
      <w:proofErr w:type="spellEnd"/>
      <w:r w:rsidRPr="001836EE">
        <w:rPr>
          <w:sz w:val="21"/>
          <w:szCs w:val="21"/>
        </w:rPr>
        <w:t xml:space="preserve">; e (ii) 0,096677 euro per ogni azione ordinaria di Stellantis in loro possesso alla </w:t>
      </w:r>
      <w:r w:rsidR="00074A1E" w:rsidRPr="00B673B1">
        <w:rPr>
          <w:i/>
          <w:sz w:val="21"/>
          <w:szCs w:val="21"/>
        </w:rPr>
        <w:t>record date</w:t>
      </w:r>
      <w:r w:rsidR="00074A1E">
        <w:rPr>
          <w:sz w:val="21"/>
          <w:szCs w:val="21"/>
        </w:rPr>
        <w:t xml:space="preserve"> </w:t>
      </w:r>
      <w:r w:rsidRPr="001836EE">
        <w:rPr>
          <w:sz w:val="21"/>
          <w:szCs w:val="21"/>
        </w:rPr>
        <w:t xml:space="preserve">della Distribuzione. La parte in contanti della Distribuzione sarà corrisposta lunedì 22 marzo 2021 e i detentori di azioni ordinarie Stellantis scambiate alla Borsa di New York la riceveranno in dollari statunitensi al tasso di cambio ufficiale USD/EUR </w:t>
      </w:r>
      <w:r w:rsidR="000C5708">
        <w:rPr>
          <w:sz w:val="21"/>
          <w:szCs w:val="21"/>
        </w:rPr>
        <w:t>pubblicato</w:t>
      </w:r>
      <w:r w:rsidR="000C5708" w:rsidRPr="001836EE">
        <w:rPr>
          <w:sz w:val="21"/>
          <w:szCs w:val="21"/>
        </w:rPr>
        <w:t xml:space="preserve"> </w:t>
      </w:r>
      <w:r w:rsidR="00505AE5">
        <w:rPr>
          <w:sz w:val="21"/>
          <w:szCs w:val="21"/>
        </w:rPr>
        <w:t xml:space="preserve">dalla Banca Centrale Europea </w:t>
      </w:r>
      <w:bookmarkStart w:id="0" w:name="_GoBack"/>
      <w:bookmarkEnd w:id="0"/>
      <w:r w:rsidRPr="001836EE">
        <w:rPr>
          <w:sz w:val="21"/>
          <w:szCs w:val="21"/>
        </w:rPr>
        <w:t xml:space="preserve">l’11 marzo 2021. </w:t>
      </w:r>
    </w:p>
    <w:p w:rsidR="003E1F02" w:rsidRPr="001836EE" w:rsidRDefault="002726B7" w:rsidP="002726B7">
      <w:pPr>
        <w:widowControl/>
        <w:rPr>
          <w:rFonts w:eastAsia="Times New Roman" w:cs="Times New Roman"/>
          <w:sz w:val="21"/>
          <w:szCs w:val="21"/>
        </w:rPr>
      </w:pPr>
      <w:r w:rsidRPr="001836EE">
        <w:rPr>
          <w:sz w:val="21"/>
          <w:szCs w:val="21"/>
        </w:rPr>
        <w:t xml:space="preserve">In generale, lunedì 22 marzo 2021 le azioni ordinarie di </w:t>
      </w:r>
      <w:proofErr w:type="spellStart"/>
      <w:r w:rsidRPr="001836EE">
        <w:rPr>
          <w:sz w:val="21"/>
          <w:szCs w:val="21"/>
        </w:rPr>
        <w:t>Faurecia</w:t>
      </w:r>
      <w:proofErr w:type="spellEnd"/>
      <w:r w:rsidRPr="001836EE">
        <w:rPr>
          <w:sz w:val="21"/>
          <w:szCs w:val="21"/>
        </w:rPr>
        <w:t xml:space="preserve"> saranno consegnate ai titolari di azioni ordinarie </w:t>
      </w:r>
      <w:proofErr w:type="spellStart"/>
      <w:r w:rsidRPr="001836EE">
        <w:rPr>
          <w:sz w:val="21"/>
          <w:szCs w:val="21"/>
        </w:rPr>
        <w:t>Stellantis</w:t>
      </w:r>
      <w:proofErr w:type="spellEnd"/>
      <w:r w:rsidRPr="001836EE">
        <w:rPr>
          <w:sz w:val="21"/>
          <w:szCs w:val="21"/>
        </w:rPr>
        <w:t xml:space="preserve"> aventi diritto, </w:t>
      </w:r>
      <w:r w:rsidR="000C5708">
        <w:rPr>
          <w:sz w:val="21"/>
          <w:szCs w:val="21"/>
        </w:rPr>
        <w:t>subordinatamente al</w:t>
      </w:r>
      <w:r w:rsidRPr="001836EE">
        <w:rPr>
          <w:sz w:val="21"/>
          <w:szCs w:val="21"/>
        </w:rPr>
        <w:t xml:space="preserve">le </w:t>
      </w:r>
      <w:r w:rsidR="00074A1E">
        <w:rPr>
          <w:sz w:val="21"/>
          <w:szCs w:val="21"/>
        </w:rPr>
        <w:t xml:space="preserve">limitazioni </w:t>
      </w:r>
      <w:r w:rsidRPr="001836EE">
        <w:rPr>
          <w:sz w:val="21"/>
          <w:szCs w:val="21"/>
        </w:rPr>
        <w:t>e</w:t>
      </w:r>
      <w:r w:rsidR="000C5708">
        <w:rPr>
          <w:sz w:val="21"/>
          <w:szCs w:val="21"/>
        </w:rPr>
        <w:t>d</w:t>
      </w:r>
      <w:r w:rsidRPr="001836EE">
        <w:rPr>
          <w:sz w:val="21"/>
          <w:szCs w:val="21"/>
        </w:rPr>
        <w:t xml:space="preserve"> </w:t>
      </w:r>
      <w:r w:rsidR="000C5708">
        <w:rPr>
          <w:sz w:val="21"/>
          <w:szCs w:val="21"/>
        </w:rPr>
        <w:t>a</w:t>
      </w:r>
      <w:r w:rsidRPr="001836EE">
        <w:rPr>
          <w:sz w:val="21"/>
          <w:szCs w:val="21"/>
        </w:rPr>
        <w:t xml:space="preserve">i requisiti di seguito indicati. </w:t>
      </w:r>
    </w:p>
    <w:p w:rsidR="003E1F02" w:rsidRPr="001836EE" w:rsidRDefault="002726B7" w:rsidP="002726B7">
      <w:pPr>
        <w:widowControl/>
        <w:rPr>
          <w:rFonts w:eastAsia="Times New Roman" w:cs="Times New Roman"/>
          <w:sz w:val="21"/>
          <w:szCs w:val="21"/>
        </w:rPr>
      </w:pPr>
      <w:r w:rsidRPr="001836EE">
        <w:rPr>
          <w:sz w:val="21"/>
          <w:szCs w:val="21"/>
        </w:rPr>
        <w:t xml:space="preserve">Poiché le azioni ordinarie di </w:t>
      </w:r>
      <w:proofErr w:type="spellStart"/>
      <w:r w:rsidRPr="001836EE">
        <w:rPr>
          <w:sz w:val="21"/>
          <w:szCs w:val="21"/>
        </w:rPr>
        <w:t>Faurecia</w:t>
      </w:r>
      <w:proofErr w:type="spellEnd"/>
      <w:r w:rsidRPr="001836EE">
        <w:rPr>
          <w:sz w:val="21"/>
          <w:szCs w:val="21"/>
        </w:rPr>
        <w:t xml:space="preserve"> non sono attualmente idonee alla compensazione e al regolamento attraverso la </w:t>
      </w:r>
      <w:proofErr w:type="spellStart"/>
      <w:r w:rsidRPr="001836EE">
        <w:rPr>
          <w:sz w:val="21"/>
          <w:szCs w:val="21"/>
        </w:rPr>
        <w:t>Depository</w:t>
      </w:r>
      <w:proofErr w:type="spellEnd"/>
      <w:r w:rsidRPr="001836EE">
        <w:rPr>
          <w:sz w:val="21"/>
          <w:szCs w:val="21"/>
        </w:rPr>
        <w:t xml:space="preserve"> Trust Company (DTC) o su un registro mantenuto negli Stati Uniti, al fine di ricevere le azioni ordinarie </w:t>
      </w:r>
      <w:proofErr w:type="spellStart"/>
      <w:r w:rsidRPr="001836EE">
        <w:rPr>
          <w:sz w:val="21"/>
          <w:szCs w:val="21"/>
        </w:rPr>
        <w:t>Faurecia</w:t>
      </w:r>
      <w:proofErr w:type="spellEnd"/>
      <w:r w:rsidRPr="001836EE">
        <w:rPr>
          <w:sz w:val="21"/>
          <w:szCs w:val="21"/>
        </w:rPr>
        <w:t xml:space="preserve"> ai sensi della Distribuzione, gli azionisti che detengono azioni ordinarie Stellantis in un conto partecipante </w:t>
      </w:r>
      <w:r w:rsidR="00074A1E">
        <w:rPr>
          <w:sz w:val="21"/>
          <w:szCs w:val="21"/>
        </w:rPr>
        <w:t xml:space="preserve">in </w:t>
      </w:r>
      <w:r w:rsidRPr="001836EE">
        <w:rPr>
          <w:sz w:val="21"/>
          <w:szCs w:val="21"/>
        </w:rPr>
        <w:t xml:space="preserve">DTC o </w:t>
      </w:r>
      <w:r w:rsidR="00074A1E" w:rsidRPr="00074A1E">
        <w:rPr>
          <w:sz w:val="21"/>
          <w:szCs w:val="21"/>
        </w:rPr>
        <w:t xml:space="preserve">quali titolari iscritti nel registro statunitense degli azionisti di </w:t>
      </w:r>
      <w:proofErr w:type="spellStart"/>
      <w:r w:rsidR="00074A1E" w:rsidRPr="00074A1E">
        <w:rPr>
          <w:sz w:val="21"/>
          <w:szCs w:val="21"/>
        </w:rPr>
        <w:t>Stellantis</w:t>
      </w:r>
      <w:proofErr w:type="spellEnd"/>
      <w:r w:rsidR="00074A1E" w:rsidRPr="00074A1E" w:rsidDel="00074A1E">
        <w:rPr>
          <w:sz w:val="21"/>
          <w:szCs w:val="21"/>
        </w:rPr>
        <w:t xml:space="preserve"> </w:t>
      </w:r>
      <w:r w:rsidR="000C5708">
        <w:rPr>
          <w:sz w:val="21"/>
          <w:szCs w:val="21"/>
        </w:rPr>
        <w:t xml:space="preserve">debbono </w:t>
      </w:r>
      <w:r w:rsidRPr="001836EE">
        <w:rPr>
          <w:sz w:val="21"/>
          <w:szCs w:val="21"/>
        </w:rPr>
        <w:t xml:space="preserve">fornire i dettagli di un conto titoli presso un intermediario partecipante a </w:t>
      </w:r>
      <w:proofErr w:type="spellStart"/>
      <w:r w:rsidRPr="001836EE">
        <w:rPr>
          <w:sz w:val="21"/>
          <w:szCs w:val="21"/>
        </w:rPr>
        <w:t>Euroclear</w:t>
      </w:r>
      <w:proofErr w:type="spellEnd"/>
      <w:r w:rsidRPr="001836EE">
        <w:rPr>
          <w:sz w:val="21"/>
          <w:szCs w:val="21"/>
        </w:rPr>
        <w:t xml:space="preserve"> France, sul quale le azioni ordinarie </w:t>
      </w:r>
      <w:proofErr w:type="spellStart"/>
      <w:r w:rsidRPr="001836EE">
        <w:rPr>
          <w:sz w:val="21"/>
          <w:szCs w:val="21"/>
        </w:rPr>
        <w:t>Faurecia</w:t>
      </w:r>
      <w:proofErr w:type="spellEnd"/>
      <w:r w:rsidRPr="001836EE">
        <w:rPr>
          <w:sz w:val="21"/>
          <w:szCs w:val="21"/>
        </w:rPr>
        <w:t xml:space="preserve"> </w:t>
      </w:r>
      <w:r w:rsidR="000C5708">
        <w:rPr>
          <w:sz w:val="21"/>
          <w:szCs w:val="21"/>
        </w:rPr>
        <w:t xml:space="preserve">cui hanno diritto </w:t>
      </w:r>
      <w:r w:rsidRPr="001836EE">
        <w:rPr>
          <w:sz w:val="21"/>
          <w:szCs w:val="21"/>
        </w:rPr>
        <w:t>possa</w:t>
      </w:r>
      <w:r w:rsidR="000C5708">
        <w:rPr>
          <w:sz w:val="21"/>
          <w:szCs w:val="21"/>
        </w:rPr>
        <w:t>no</w:t>
      </w:r>
      <w:r w:rsidRPr="001836EE">
        <w:rPr>
          <w:sz w:val="21"/>
          <w:szCs w:val="21"/>
        </w:rPr>
        <w:t xml:space="preserve"> essere depositat</w:t>
      </w:r>
      <w:r w:rsidR="000C5708">
        <w:rPr>
          <w:sz w:val="21"/>
          <w:szCs w:val="21"/>
        </w:rPr>
        <w:t>e</w:t>
      </w:r>
      <w:r w:rsidRPr="001836EE">
        <w:rPr>
          <w:sz w:val="21"/>
          <w:szCs w:val="21"/>
        </w:rPr>
        <w:t xml:space="preserve">. Stellantis non sarà in grado di consegnare le azioni ordinarie </w:t>
      </w:r>
      <w:proofErr w:type="spellStart"/>
      <w:r w:rsidRPr="001836EE">
        <w:rPr>
          <w:sz w:val="21"/>
          <w:szCs w:val="21"/>
        </w:rPr>
        <w:t>Faurecia</w:t>
      </w:r>
      <w:proofErr w:type="spellEnd"/>
      <w:r w:rsidRPr="001836EE">
        <w:rPr>
          <w:sz w:val="21"/>
          <w:szCs w:val="21"/>
        </w:rPr>
        <w:t xml:space="preserve"> agli azionisti che detengono azioni ordinarie Stellantis in un conto partecipante DTC o </w:t>
      </w:r>
      <w:r w:rsidR="00074A1E" w:rsidRPr="00074A1E">
        <w:rPr>
          <w:sz w:val="21"/>
          <w:szCs w:val="21"/>
        </w:rPr>
        <w:t xml:space="preserve">quali titolari iscritti nel registro statunitense degli azionisti di </w:t>
      </w:r>
      <w:proofErr w:type="spellStart"/>
      <w:r w:rsidR="00074A1E" w:rsidRPr="00074A1E">
        <w:rPr>
          <w:sz w:val="21"/>
          <w:szCs w:val="21"/>
        </w:rPr>
        <w:t>Stellantis</w:t>
      </w:r>
      <w:proofErr w:type="spellEnd"/>
      <w:r w:rsidRPr="001836EE">
        <w:rPr>
          <w:sz w:val="21"/>
          <w:szCs w:val="21"/>
        </w:rPr>
        <w:t xml:space="preserve">, a meno che non abbiano </w:t>
      </w:r>
      <w:r w:rsidR="000C5708">
        <w:rPr>
          <w:sz w:val="21"/>
          <w:szCs w:val="21"/>
        </w:rPr>
        <w:t xml:space="preserve">validamente </w:t>
      </w:r>
      <w:proofErr w:type="spellStart"/>
      <w:r w:rsidR="000C5708">
        <w:rPr>
          <w:sz w:val="21"/>
          <w:szCs w:val="21"/>
        </w:rPr>
        <w:t>effetuato</w:t>
      </w:r>
      <w:proofErr w:type="spellEnd"/>
      <w:r w:rsidR="000C5708">
        <w:rPr>
          <w:sz w:val="21"/>
          <w:szCs w:val="21"/>
        </w:rPr>
        <w:t xml:space="preserve"> tale </w:t>
      </w:r>
      <w:r w:rsidRPr="001836EE">
        <w:rPr>
          <w:sz w:val="21"/>
          <w:szCs w:val="21"/>
        </w:rPr>
        <w:t xml:space="preserve">scelta entro le 16:00 (ora orientale degli Stati Uniti) di venerdì 26 marzo 2021. </w:t>
      </w:r>
    </w:p>
    <w:p w:rsidR="003E1F02" w:rsidRPr="001836EE" w:rsidRDefault="002726B7" w:rsidP="002726B7">
      <w:pPr>
        <w:widowControl/>
        <w:rPr>
          <w:rFonts w:eastAsia="Times New Roman" w:cs="Times New Roman"/>
          <w:sz w:val="21"/>
          <w:szCs w:val="21"/>
        </w:rPr>
      </w:pPr>
      <w:r w:rsidRPr="001836EE">
        <w:rPr>
          <w:sz w:val="21"/>
          <w:szCs w:val="21"/>
        </w:rPr>
        <w:t xml:space="preserve">La consegna ai titolari che hanno operato una </w:t>
      </w:r>
      <w:r w:rsidR="000C5708">
        <w:rPr>
          <w:sz w:val="21"/>
          <w:szCs w:val="21"/>
        </w:rPr>
        <w:t xml:space="preserve">valida </w:t>
      </w:r>
      <w:r w:rsidRPr="001836EE">
        <w:rPr>
          <w:sz w:val="21"/>
          <w:szCs w:val="21"/>
        </w:rPr>
        <w:t xml:space="preserve">scelta avverrà giovedì 1° aprile 2021 o nei giorni </w:t>
      </w:r>
      <w:r w:rsidR="00074A1E">
        <w:rPr>
          <w:sz w:val="21"/>
          <w:szCs w:val="21"/>
        </w:rPr>
        <w:t>prossimi</w:t>
      </w:r>
      <w:r w:rsidR="00074A1E" w:rsidRPr="001836EE">
        <w:rPr>
          <w:sz w:val="21"/>
          <w:szCs w:val="21"/>
        </w:rPr>
        <w:t xml:space="preserve"> </w:t>
      </w:r>
      <w:r w:rsidRPr="001836EE">
        <w:rPr>
          <w:sz w:val="21"/>
          <w:szCs w:val="21"/>
        </w:rPr>
        <w:t>a tale data. Stellantis metterà a disposizione uno strumento online per effettuare tale scelta e ulteriori informazioni a</w:t>
      </w:r>
      <w:r w:rsidR="00074A1E">
        <w:rPr>
          <w:sz w:val="21"/>
          <w:szCs w:val="21"/>
        </w:rPr>
        <w:t>l</w:t>
      </w:r>
      <w:r w:rsidRPr="001836EE">
        <w:rPr>
          <w:sz w:val="21"/>
          <w:szCs w:val="21"/>
        </w:rPr>
        <w:t xml:space="preserve"> riguardo sono state pubblicate nella sezione </w:t>
      </w:r>
      <w:proofErr w:type="spellStart"/>
      <w:r w:rsidRPr="001836EE">
        <w:rPr>
          <w:sz w:val="21"/>
          <w:szCs w:val="21"/>
        </w:rPr>
        <w:t>Investors</w:t>
      </w:r>
      <w:proofErr w:type="spellEnd"/>
      <w:r w:rsidRPr="001836EE">
        <w:rPr>
          <w:sz w:val="21"/>
          <w:szCs w:val="21"/>
        </w:rPr>
        <w:t xml:space="preserve"> del sito web aziendale di Stellantis (</w:t>
      </w:r>
      <w:hyperlink r:id="rId7" w:history="1">
        <w:r w:rsidRPr="00403668">
          <w:rPr>
            <w:rStyle w:val="Collegamentoipertestuale"/>
            <w:sz w:val="21"/>
            <w:szCs w:val="21"/>
          </w:rPr>
          <w:t>www.stellantis.com</w:t>
        </w:r>
      </w:hyperlink>
      <w:r w:rsidRPr="001836EE">
        <w:rPr>
          <w:sz w:val="21"/>
          <w:szCs w:val="21"/>
        </w:rPr>
        <w:t xml:space="preserve">) e in un Information Statement disponibile all'indirizzo </w:t>
      </w:r>
      <w:hyperlink r:id="rId8" w:history="1">
        <w:r w:rsidRPr="00403668">
          <w:rPr>
            <w:rStyle w:val="Collegamentoipertestuale"/>
            <w:sz w:val="21"/>
            <w:szCs w:val="21"/>
          </w:rPr>
          <w:t>www.stellantis.com/en/investors/stock-and-shareholder-info/egm-8-march-2021</w:t>
        </w:r>
      </w:hyperlink>
      <w:r w:rsidRPr="001836EE">
        <w:rPr>
          <w:sz w:val="21"/>
          <w:szCs w:val="21"/>
        </w:rPr>
        <w:t xml:space="preserve"> e presentato alla U.S. Securities and Exchange </w:t>
      </w:r>
      <w:proofErr w:type="spellStart"/>
      <w:r w:rsidRPr="001836EE">
        <w:rPr>
          <w:sz w:val="21"/>
          <w:szCs w:val="21"/>
        </w:rPr>
        <w:t>Commission</w:t>
      </w:r>
      <w:proofErr w:type="spellEnd"/>
      <w:r w:rsidRPr="001836EE">
        <w:rPr>
          <w:sz w:val="21"/>
          <w:szCs w:val="21"/>
        </w:rPr>
        <w:t xml:space="preserve"> mediante il Form 6-K venerdì 5 marzo 2021. </w:t>
      </w:r>
    </w:p>
    <w:p w:rsidR="002726B7" w:rsidRPr="001836EE" w:rsidRDefault="002726B7" w:rsidP="002726B7">
      <w:pPr>
        <w:widowControl/>
        <w:rPr>
          <w:rFonts w:eastAsia="Times New Roman" w:cs="Times New Roman"/>
          <w:sz w:val="21"/>
          <w:szCs w:val="21"/>
        </w:rPr>
      </w:pPr>
      <w:r w:rsidRPr="001836EE">
        <w:rPr>
          <w:sz w:val="21"/>
          <w:szCs w:val="21"/>
        </w:rPr>
        <w:lastRenderedPageBreak/>
        <w:t xml:space="preserve">In assenza di una </w:t>
      </w:r>
      <w:r w:rsidR="000C5708">
        <w:rPr>
          <w:sz w:val="21"/>
          <w:szCs w:val="21"/>
        </w:rPr>
        <w:t xml:space="preserve">valida </w:t>
      </w:r>
      <w:r w:rsidRPr="001836EE">
        <w:rPr>
          <w:sz w:val="21"/>
          <w:szCs w:val="21"/>
        </w:rPr>
        <w:t xml:space="preserve">scelta da parte degli azionisti, Stellantis adotterà tutte le misure che riterrà opportune riguardo alle azioni ordinarie </w:t>
      </w:r>
      <w:proofErr w:type="spellStart"/>
      <w:r w:rsidRPr="001836EE">
        <w:rPr>
          <w:sz w:val="21"/>
          <w:szCs w:val="21"/>
        </w:rPr>
        <w:t>Faurecia</w:t>
      </w:r>
      <w:proofErr w:type="spellEnd"/>
      <w:r w:rsidRPr="001836EE">
        <w:rPr>
          <w:sz w:val="21"/>
          <w:szCs w:val="21"/>
        </w:rPr>
        <w:t xml:space="preserve"> che gli azionisti avrebbero avuto diritto a ricevere, </w:t>
      </w:r>
      <w:r w:rsidR="000C5708">
        <w:rPr>
          <w:sz w:val="21"/>
          <w:szCs w:val="21"/>
        </w:rPr>
        <w:t>quali</w:t>
      </w:r>
      <w:r w:rsidRPr="001836EE">
        <w:rPr>
          <w:sz w:val="21"/>
          <w:szCs w:val="21"/>
        </w:rPr>
        <w:t>, potenzialmente, la nomina di un broker per vendere tali azioni sul mercato. Non vi è alcuna garanzia in merito a se e quando tale vendita sarà effettuata, o ai proventi distribuiti, al prezzo per azione realizzabile sul mercato o ai costi di transazione che saranno sostenuti.</w:t>
      </w:r>
    </w:p>
    <w:p w:rsidR="002726B7" w:rsidRDefault="002726B7" w:rsidP="002726B7">
      <w:pPr>
        <w:widowControl/>
        <w:rPr>
          <w:sz w:val="21"/>
          <w:szCs w:val="21"/>
        </w:rPr>
      </w:pPr>
      <w:r w:rsidRPr="001836EE">
        <w:rPr>
          <w:sz w:val="21"/>
          <w:szCs w:val="21"/>
        </w:rPr>
        <w:t xml:space="preserve">Ulteriori informazioni relative alla distribuzione sono state rese disponibili nella sezione </w:t>
      </w:r>
      <w:proofErr w:type="spellStart"/>
      <w:r w:rsidRPr="001836EE">
        <w:rPr>
          <w:sz w:val="21"/>
          <w:szCs w:val="21"/>
        </w:rPr>
        <w:t>Investors</w:t>
      </w:r>
      <w:proofErr w:type="spellEnd"/>
      <w:r w:rsidRPr="001836EE">
        <w:rPr>
          <w:sz w:val="21"/>
          <w:szCs w:val="21"/>
        </w:rPr>
        <w:t xml:space="preserve"> del sito web di Stellantis all'indirizzo </w:t>
      </w:r>
      <w:hyperlink r:id="rId9" w:history="1">
        <w:r w:rsidR="00090E85" w:rsidRPr="005A2E6E">
          <w:rPr>
            <w:rStyle w:val="Collegamentoipertestuale"/>
            <w:sz w:val="21"/>
            <w:szCs w:val="21"/>
          </w:rPr>
          <w:t>www.stellantis.com</w:t>
        </w:r>
      </w:hyperlink>
      <w:r w:rsidRPr="001836EE">
        <w:rPr>
          <w:sz w:val="21"/>
          <w:szCs w:val="21"/>
        </w:rPr>
        <w:t>.</w:t>
      </w:r>
    </w:p>
    <w:p w:rsidR="00090E85" w:rsidRDefault="00090E85" w:rsidP="002726B7">
      <w:pPr>
        <w:widowControl/>
        <w:rPr>
          <w:sz w:val="21"/>
          <w:szCs w:val="21"/>
        </w:rPr>
      </w:pPr>
    </w:p>
    <w:p w:rsidR="00090E85" w:rsidRDefault="00090E85" w:rsidP="00090E85">
      <w:pPr>
        <w:spacing w:after="360" w:line="288" w:lineRule="auto"/>
        <w:jc w:val="left"/>
        <w:rPr>
          <w:rFonts w:ascii="Calibri" w:hAnsi="Calibri" w:cs="Calibri"/>
          <w:b/>
          <w:i/>
          <w:color w:val="44546A" w:themeColor="text2"/>
          <w:sz w:val="22"/>
          <w:szCs w:val="22"/>
        </w:rPr>
      </w:pPr>
      <w:r>
        <w:rPr>
          <w:rFonts w:ascii="Calibri" w:hAnsi="Calibri"/>
          <w:b/>
          <w:i/>
          <w:color w:val="44546A" w:themeColor="text2"/>
          <w:sz w:val="22"/>
          <w:szCs w:val="22"/>
        </w:rPr>
        <w:t>Informazioni su Stellantis</w:t>
      </w:r>
    </w:p>
    <w:p w:rsidR="00090E85" w:rsidRDefault="00617097" w:rsidP="00090E85">
      <w:pPr>
        <w:spacing w:after="160" w:line="256" w:lineRule="auto"/>
        <w:rPr>
          <w:rFonts w:cs="Calibri"/>
          <w:i/>
          <w:sz w:val="18"/>
          <w:szCs w:val="22"/>
        </w:rPr>
      </w:pPr>
      <w:hyperlink r:id="rId10" w:history="1">
        <w:r w:rsidR="00090E85">
          <w:rPr>
            <w:rStyle w:val="Collegamentoipertestuale"/>
            <w:rFonts w:ascii="Calibri" w:hAnsi="Calibri"/>
            <w:b/>
            <w:i/>
            <w:iCs/>
            <w:sz w:val="22"/>
            <w:szCs w:val="22"/>
          </w:rPr>
          <w:t>Stellantis</w:t>
        </w:r>
      </w:hyperlink>
      <w:r w:rsidR="00090E85">
        <w:rPr>
          <w:rStyle w:val="Collegamentoipertestuale"/>
          <w:rFonts w:ascii="Calibri" w:hAnsi="Calibri"/>
          <w:b/>
          <w:i/>
          <w:iCs/>
          <w:sz w:val="22"/>
          <w:szCs w:val="22"/>
        </w:rPr>
        <w:t xml:space="preserve"> </w:t>
      </w:r>
      <w:r w:rsidR="00090E85">
        <w:rPr>
          <w:rFonts w:cs="Calibri"/>
          <w:i/>
          <w:sz w:val="18"/>
          <w:szCs w:val="22"/>
        </w:rPr>
        <w:t xml:space="preserve">è una delle principali case automobilistiche al mondo. Protagonista della nuova era della mobilità, è guidata da una visione chiara: offrire libertà di movimento con soluzioni di mobilità esclusive, convenienti e affidabili. Oltre al ricco know-how e all'ampia presenza geografica del Gruppo, i suoi maggiori punti di forza sono la performance sostenibile, la profonda esperienza e il grande talento dei suoi dipendenti che lavorano in tutto il mondo. Stellantis farà leva sul suo ampio e iconico portafoglio di marchi creato da visionari, che hanno trasmesso ai vari brand la passione che ispira dipendenti e clienti. Stellantis punta all’eccellenza, non alla grandezza, e si pone l’obiettivo di creare valore aggiunto per tutti gli stakeholder e le comunità in cui opera. </w:t>
      </w:r>
    </w:p>
    <w:p w:rsidR="00495EF7" w:rsidRPr="00D17BC0" w:rsidRDefault="00495EF7">
      <w:pPr>
        <w:widowControl/>
        <w:spacing w:after="160" w:line="259" w:lineRule="auto"/>
        <w:rPr>
          <w:rFonts w:eastAsia="Times New Roman" w:cs="Calibri"/>
          <w:i/>
          <w:color w:val="1F497D"/>
          <w:sz w:val="18"/>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023"/>
        <w:gridCol w:w="1967"/>
        <w:gridCol w:w="1968"/>
        <w:gridCol w:w="1968"/>
      </w:tblGrid>
      <w:tr w:rsidR="00495EF7" w:rsidRPr="001836EE">
        <w:tc>
          <w:tcPr>
            <w:tcW w:w="2265" w:type="dxa"/>
            <w:vAlign w:val="bottom"/>
          </w:tcPr>
          <w:p w:rsidR="00495EF7" w:rsidRPr="001836EE" w:rsidRDefault="00CA333A">
            <w:pPr>
              <w:widowControl/>
              <w:jc w:val="center"/>
              <w:rPr>
                <w:rFonts w:eastAsia="Times New Roman" w:cs="Times New Roman"/>
                <w:sz w:val="20"/>
                <w:szCs w:val="22"/>
              </w:rPr>
            </w:pPr>
            <w:r w:rsidRPr="001836EE">
              <w:rPr>
                <w:noProof/>
                <w:szCs w:val="22"/>
                <w:lang w:eastAsia="it-IT"/>
              </w:rPr>
              <w:drawing>
                <wp:inline distT="0" distB="0" distL="0" distR="0">
                  <wp:extent cx="285750" cy="28575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724179"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5750" cy="285750"/>
                          </a:xfrm>
                          <a:prstGeom prst="rect">
                            <a:avLst/>
                          </a:prstGeom>
                          <a:noFill/>
                          <a:ln>
                            <a:noFill/>
                          </a:ln>
                        </pic:spPr>
                      </pic:pic>
                    </a:graphicData>
                  </a:graphic>
                </wp:inline>
              </w:drawing>
            </w:r>
            <w:r w:rsidRPr="001836EE">
              <w:rPr>
                <w:sz w:val="20"/>
                <w:szCs w:val="22"/>
              </w:rPr>
              <w:t>@Stellantis</w:t>
            </w:r>
          </w:p>
        </w:tc>
        <w:tc>
          <w:tcPr>
            <w:tcW w:w="2265" w:type="dxa"/>
            <w:vAlign w:val="bottom"/>
          </w:tcPr>
          <w:p w:rsidR="00495EF7" w:rsidRPr="001836EE" w:rsidRDefault="00CA333A">
            <w:pPr>
              <w:widowControl/>
              <w:jc w:val="center"/>
              <w:rPr>
                <w:rFonts w:eastAsia="Times New Roman" w:cs="Times New Roman"/>
                <w:sz w:val="20"/>
                <w:szCs w:val="22"/>
              </w:rPr>
            </w:pPr>
            <w:r w:rsidRPr="001836EE">
              <w:rPr>
                <w:noProof/>
                <w:sz w:val="22"/>
                <w:szCs w:val="22"/>
                <w:lang w:eastAsia="it-IT"/>
              </w:rPr>
              <w:drawing>
                <wp:inline distT="0" distB="0" distL="0" distR="0">
                  <wp:extent cx="285750" cy="28575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5737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5750" cy="285750"/>
                          </a:xfrm>
                          <a:prstGeom prst="rect">
                            <a:avLst/>
                          </a:prstGeom>
                          <a:noFill/>
                          <a:ln>
                            <a:noFill/>
                          </a:ln>
                        </pic:spPr>
                      </pic:pic>
                    </a:graphicData>
                  </a:graphic>
                </wp:inline>
              </w:drawing>
            </w:r>
            <w:r w:rsidRPr="001836EE">
              <w:rPr>
                <w:sz w:val="20"/>
                <w:szCs w:val="22"/>
              </w:rPr>
              <w:t>Stellantis</w:t>
            </w:r>
          </w:p>
        </w:tc>
        <w:tc>
          <w:tcPr>
            <w:tcW w:w="2266" w:type="dxa"/>
            <w:vAlign w:val="bottom"/>
          </w:tcPr>
          <w:p w:rsidR="00495EF7" w:rsidRPr="001836EE" w:rsidRDefault="00CA333A">
            <w:pPr>
              <w:widowControl/>
              <w:jc w:val="center"/>
              <w:rPr>
                <w:rFonts w:eastAsia="Times New Roman" w:cs="Times New Roman"/>
                <w:sz w:val="20"/>
                <w:szCs w:val="22"/>
              </w:rPr>
            </w:pPr>
            <w:r w:rsidRPr="001836EE">
              <w:rPr>
                <w:noProof/>
                <w:sz w:val="22"/>
                <w:szCs w:val="22"/>
                <w:lang w:eastAsia="it-IT"/>
              </w:rPr>
              <w:drawing>
                <wp:inline distT="0" distB="0" distL="0" distR="0">
                  <wp:extent cx="276225" cy="27622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06926"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76225" cy="276225"/>
                          </a:xfrm>
                          <a:prstGeom prst="rect">
                            <a:avLst/>
                          </a:prstGeom>
                          <a:noFill/>
                          <a:ln>
                            <a:noFill/>
                          </a:ln>
                        </pic:spPr>
                      </pic:pic>
                    </a:graphicData>
                  </a:graphic>
                </wp:inline>
              </w:drawing>
            </w:r>
            <w:r w:rsidRPr="001836EE">
              <w:rPr>
                <w:sz w:val="20"/>
                <w:szCs w:val="22"/>
              </w:rPr>
              <w:t>Stellantis</w:t>
            </w:r>
          </w:p>
        </w:tc>
        <w:tc>
          <w:tcPr>
            <w:tcW w:w="2266" w:type="dxa"/>
            <w:vAlign w:val="bottom"/>
          </w:tcPr>
          <w:p w:rsidR="00495EF7" w:rsidRPr="001836EE" w:rsidRDefault="00CA333A">
            <w:pPr>
              <w:widowControl/>
              <w:jc w:val="center"/>
              <w:rPr>
                <w:rFonts w:eastAsia="Times New Roman" w:cs="Times New Roman"/>
                <w:sz w:val="20"/>
                <w:szCs w:val="22"/>
              </w:rPr>
            </w:pPr>
            <w:r w:rsidRPr="001836EE">
              <w:rPr>
                <w:noProof/>
                <w:sz w:val="22"/>
                <w:szCs w:val="22"/>
                <w:lang w:eastAsia="it-IT"/>
              </w:rPr>
              <w:drawing>
                <wp:inline distT="0" distB="0" distL="0" distR="0">
                  <wp:extent cx="304800" cy="30480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057961"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04800" cy="304800"/>
                          </a:xfrm>
                          <a:prstGeom prst="rect">
                            <a:avLst/>
                          </a:prstGeom>
                          <a:noFill/>
                          <a:ln>
                            <a:noFill/>
                          </a:ln>
                        </pic:spPr>
                      </pic:pic>
                    </a:graphicData>
                  </a:graphic>
                </wp:inline>
              </w:drawing>
            </w:r>
            <w:r w:rsidRPr="001836EE">
              <w:rPr>
                <w:sz w:val="20"/>
                <w:szCs w:val="22"/>
              </w:rPr>
              <w:t>Stellantis</w:t>
            </w:r>
          </w:p>
        </w:tc>
      </w:tr>
    </w:tbl>
    <w:p w:rsidR="00495EF7" w:rsidRPr="001836EE" w:rsidRDefault="00495EF7">
      <w:pPr>
        <w:widowControl/>
        <w:spacing w:after="0"/>
        <w:jc w:val="left"/>
        <w:rPr>
          <w:rFonts w:eastAsia="Times New Roman" w:cs="Times New Roman"/>
        </w:rPr>
      </w:pPr>
    </w:p>
    <w:tbl>
      <w:tblPr>
        <w:tblW w:w="8647" w:type="dxa"/>
        <w:tblLook w:val="0000" w:firstRow="0" w:lastRow="0" w:firstColumn="0" w:lastColumn="0" w:noHBand="0" w:noVBand="0"/>
      </w:tblPr>
      <w:tblGrid>
        <w:gridCol w:w="8647"/>
      </w:tblGrid>
      <w:tr w:rsidR="00495EF7" w:rsidRPr="001836EE">
        <w:trPr>
          <w:trHeight w:val="571"/>
        </w:trPr>
        <w:tc>
          <w:tcPr>
            <w:tcW w:w="8647" w:type="dxa"/>
          </w:tcPr>
          <w:bookmarkStart w:id="1" w:name="_FLD_SHAPE"/>
          <w:p w:rsidR="00495EF7" w:rsidRPr="001836EE" w:rsidRDefault="00CA333A">
            <w:pPr>
              <w:widowControl/>
              <w:spacing w:after="360" w:line="288" w:lineRule="auto"/>
              <w:jc w:val="left"/>
              <w:rPr>
                <w:rFonts w:eastAsia="Times New Roman" w:cs="Times New Roman"/>
                <w:noProof/>
                <w:color w:val="000000"/>
                <w:sz w:val="20"/>
              </w:rPr>
            </w:pPr>
            <w:r w:rsidRPr="001836EE">
              <w:rPr>
                <w:noProof/>
                <w:lang w:eastAsia="it-IT"/>
              </w:rPr>
              <mc:AlternateContent>
                <mc:Choice Requires="wps">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431800" cy="62230"/>
                      <wp:effectExtent l="0" t="0" r="0" b="0"/>
                      <wp:wrapNone/>
                      <wp:docPr id="16" name="Freeform 27"/>
                      <wp:cNvGraphicFramePr/>
                      <a:graphic xmlns:a="http://schemas.openxmlformats.org/drawingml/2006/main">
                        <a:graphicData uri="http://schemas.microsoft.com/office/word/2010/wordprocessingShape">
                          <wps:wsp>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27" o:spid="_x0000_s1026" style="width:34pt;height:4.9pt;margin-top:0;margin-left:0;mso-height-percent:0;mso-height-relative:page;mso-position-horizontal-relative:char;mso-position-vertical-relative:line;mso-width-percent:0;mso-width-relative:page;mso-wrap-distance-bottom:0;mso-wrap-distance-left:9pt;mso-wrap-distance-right:9pt;mso-wrap-distance-top:0;mso-wrap-style:square;position:absolute;visibility:visible;v-text-anchor:top;z-index:251661312" coordsize="354,39" path="m329,39l,39,27,,354,,329,39xe" fillcolor="#243782" stroked="f">
                      <v:path arrowok="t" o:connecttype="custom" o:connectlocs="489729507,98790923;0,98790923;40190334,0;526942373,0;489729507,98790923" o:connectangles="0,0,0,0,0"/>
                    </v:shape>
                  </w:pict>
                </mc:Fallback>
              </mc:AlternateContent>
            </w:r>
          </w:p>
        </w:tc>
      </w:tr>
    </w:tbl>
    <w:p w:rsidR="00495EF7" w:rsidRPr="001836EE" w:rsidRDefault="00495EF7">
      <w:pPr>
        <w:widowControl/>
        <w:spacing w:after="0"/>
        <w:jc w:val="left"/>
        <w:rPr>
          <w:rFonts w:eastAsia="Times New Roman" w:cs="Times New Roman"/>
          <w:noProof/>
          <w:color w:val="000000"/>
          <w:sz w:val="20"/>
        </w:rPr>
      </w:pPr>
    </w:p>
    <w:tbl>
      <w:tblPr>
        <w:tblW w:w="0" w:type="auto"/>
        <w:tblCellMar>
          <w:left w:w="0" w:type="dxa"/>
          <w:right w:w="57" w:type="dxa"/>
        </w:tblCellMar>
        <w:tblLook w:val="0000" w:firstRow="0" w:lastRow="0" w:firstColumn="0" w:lastColumn="0" w:noHBand="0" w:noVBand="0"/>
      </w:tblPr>
      <w:tblGrid>
        <w:gridCol w:w="7936"/>
      </w:tblGrid>
      <w:tr w:rsidR="00495EF7" w:rsidRPr="001836EE">
        <w:trPr>
          <w:trHeight w:val="1276"/>
        </w:trPr>
        <w:tc>
          <w:tcPr>
            <w:tcW w:w="7936" w:type="dxa"/>
            <w:tcBorders>
              <w:top w:val="nil"/>
              <w:left w:val="nil"/>
              <w:bottom w:val="nil"/>
              <w:right w:val="nil"/>
            </w:tcBorders>
          </w:tcPr>
          <w:p w:rsidR="00495EF7" w:rsidRPr="001836EE" w:rsidRDefault="00CA333A">
            <w:pPr>
              <w:widowControl/>
              <w:spacing w:after="360" w:line="288" w:lineRule="auto"/>
              <w:jc w:val="left"/>
              <w:rPr>
                <w:rFonts w:eastAsia="Times New Roman" w:cs="Times New Roman"/>
                <w:color w:val="243782"/>
                <w:sz w:val="20"/>
                <w:szCs w:val="20"/>
              </w:rPr>
            </w:pPr>
            <w:r w:rsidRPr="001836EE">
              <w:rPr>
                <w:noProof/>
                <w:color w:val="000000"/>
                <w:sz w:val="20"/>
                <w:lang w:eastAsia="it-IT"/>
              </w:rPr>
              <mc:AlternateContent>
                <mc:Choice Requires="wps">
                  <w:drawing>
                    <wp:inline distT="0" distB="0" distL="0" distR="0">
                      <wp:extent cx="428625" cy="66675"/>
                      <wp:effectExtent l="0" t="0" r="0" b="0"/>
                      <wp:docPr id="10" name="AutoShape 8"/>
                      <wp:cNvGraphicFramePr>
                        <a:graphicFrameLocks xmlns:a="http://schemas.openxmlformats.org/drawingml/2006/main" noChangeAspect="1" noMove="1"/>
                      </wp:cNvGraphicFramePr>
                      <a:graphic xmlns:a="http://schemas.openxmlformats.org/drawingml/2006/main">
                        <a:graphicData uri="http://schemas.microsoft.com/office/word/2010/wordprocessingShape">
                          <wps:wsp>
                            <wps:cNvSpPr>
                              <a:spLocks noRot="1" noChangeAspect="1" noMove="1" noChangeArrowheads="1"/>
                            </wps:cNvSpPr>
                            <wps:spPr bwMode="auto">
                              <a:xfrm>
                                <a:off x="0" y="0"/>
                                <a:ext cx="428625" cy="6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a:graphicData>
                      </a:graphic>
                    </wp:inline>
                  </w:drawing>
                </mc:Choice>
                <mc:Fallback>
                  <w:pict>
                    <v:rect id="AutoShape 8" o:spid="_x0000_i1027" style="width:33.75pt;height:5.25pt;mso-left-percent:-10001;mso-position-horizontal-relative:char;mso-position-vertical-relative:line;mso-top-percent:-10001;mso-wrap-style:square;visibility:visible;v-text-anchor:top" filled="f" stroked="f">
                      <o:lock v:ext="edit" aspectratio="t"/>
                      <w10:wrap type="none"/>
                      <w10:anchorlock/>
                    </v:rect>
                  </w:pict>
                </mc:Fallback>
              </mc:AlternateContent>
            </w:r>
            <w:bookmarkEnd w:id="1"/>
          </w:p>
          <w:p w:rsidR="00495EF7" w:rsidRPr="001836EE" w:rsidRDefault="00CA333A">
            <w:pPr>
              <w:widowControl/>
              <w:spacing w:after="120" w:line="288" w:lineRule="auto"/>
              <w:jc w:val="left"/>
              <w:rPr>
                <w:rFonts w:ascii="Encode Sans SemiBold" w:eastAsia="Times New Roman" w:hAnsi="Encode Sans SemiBold" w:cs="Times New Roman"/>
                <w:color w:val="243782"/>
                <w:sz w:val="20"/>
                <w:szCs w:val="20"/>
              </w:rPr>
            </w:pPr>
            <w:r w:rsidRPr="001836EE">
              <w:rPr>
                <w:rFonts w:ascii="Encode Sans SemiBold" w:hAnsi="Encode Sans SemiBold"/>
                <w:color w:val="243782"/>
                <w:sz w:val="20"/>
                <w:szCs w:val="20"/>
              </w:rPr>
              <w:t>Per maggiori informazioni, contattare:</w:t>
            </w:r>
          </w:p>
          <w:p w:rsidR="00495EF7" w:rsidRPr="001836EE" w:rsidRDefault="00495EF7">
            <w:pPr>
              <w:widowControl/>
              <w:spacing w:after="120" w:line="288" w:lineRule="auto"/>
              <w:jc w:val="left"/>
              <w:rPr>
                <w:rFonts w:ascii="Encode Sans SemiBold" w:eastAsia="Times New Roman" w:hAnsi="Encode Sans SemiBold" w:cs="Times New Roman"/>
                <w:color w:val="243782"/>
                <w:sz w:val="20"/>
                <w:szCs w:val="20"/>
              </w:rPr>
            </w:pPr>
          </w:p>
          <w:tbl>
            <w:tblPr>
              <w:tblW w:w="8647" w:type="dxa"/>
              <w:tblLook w:val="0000" w:firstRow="0" w:lastRow="0" w:firstColumn="0" w:lastColumn="0" w:noHBand="0" w:noVBand="0"/>
            </w:tblPr>
            <w:tblGrid>
              <w:gridCol w:w="8647"/>
            </w:tblGrid>
            <w:tr w:rsidR="00495EF7" w:rsidRPr="001836EE">
              <w:trPr>
                <w:trHeight w:val="571"/>
              </w:trPr>
              <w:tc>
                <w:tcPr>
                  <w:tcW w:w="8647" w:type="dxa"/>
                </w:tcPr>
                <w:p w:rsidR="00495EF7" w:rsidRPr="001836EE" w:rsidRDefault="00CA333A">
                  <w:pPr>
                    <w:widowControl/>
                    <w:rPr>
                      <w:rFonts w:eastAsia="Times New Roman" w:cs="Times New Roman"/>
                      <w:sz w:val="20"/>
                      <w:szCs w:val="20"/>
                    </w:rPr>
                  </w:pPr>
                  <w:r w:rsidRPr="001836EE">
                    <w:rPr>
                      <w:rStyle w:val="Testosegnaposto"/>
                      <w:rFonts w:ascii="Encode Sans SemiBold" w:hAnsi="Encode Sans SemiBold"/>
                      <w:color w:val="243782"/>
                      <w:sz w:val="20"/>
                      <w:szCs w:val="20"/>
                    </w:rPr>
                    <w:t>Claudio D’AMICO</w:t>
                  </w:r>
                  <w:r w:rsidRPr="001836EE">
                    <w:rPr>
                      <w:rStyle w:val="Testosegnaposto"/>
                      <w:color w:val="243782"/>
                      <w:sz w:val="20"/>
                      <w:szCs w:val="20"/>
                    </w:rPr>
                    <w:t xml:space="preserve">: +39 334 7107828 - </w:t>
                  </w:r>
                  <w:r w:rsidRPr="001836EE">
                    <w:rPr>
                      <w:color w:val="243782"/>
                      <w:sz w:val="20"/>
                      <w:szCs w:val="20"/>
                    </w:rPr>
                    <w:t>claudio.damico@stellantis.com</w:t>
                  </w:r>
                  <w:r w:rsidRPr="001836EE">
                    <w:rPr>
                      <w:sz w:val="20"/>
                      <w:szCs w:val="20"/>
                    </w:rPr>
                    <w:t xml:space="preserve"> </w:t>
                  </w:r>
                </w:p>
              </w:tc>
            </w:tr>
            <w:tr w:rsidR="00495EF7" w:rsidRPr="00B065FE">
              <w:trPr>
                <w:trHeight w:val="602"/>
              </w:trPr>
              <w:tc>
                <w:tcPr>
                  <w:tcW w:w="8647" w:type="dxa"/>
                </w:tcPr>
                <w:p w:rsidR="00495EF7" w:rsidRPr="00D17BC0" w:rsidRDefault="00CA333A">
                  <w:pPr>
                    <w:widowControl/>
                    <w:spacing w:after="120"/>
                    <w:jc w:val="left"/>
                    <w:rPr>
                      <w:rFonts w:eastAsia="Times New Roman" w:cs="Times New Roman"/>
                      <w:color w:val="243782"/>
                      <w:sz w:val="20"/>
                      <w:szCs w:val="20"/>
                      <w:lang w:val="fr-FR"/>
                    </w:rPr>
                  </w:pPr>
                  <w:r w:rsidRPr="00D17BC0">
                    <w:rPr>
                      <w:rFonts w:ascii="Encode Sans SemiBold" w:hAnsi="Encode Sans SemiBold"/>
                      <w:color w:val="243782"/>
                      <w:sz w:val="20"/>
                      <w:szCs w:val="20"/>
                      <w:lang w:val="fr-FR"/>
                    </w:rPr>
                    <w:t xml:space="preserve">Karine </w:t>
                  </w:r>
                  <w:proofErr w:type="gramStart"/>
                  <w:r w:rsidRPr="00D17BC0">
                    <w:rPr>
                      <w:rFonts w:ascii="Encode Sans SemiBold" w:hAnsi="Encode Sans SemiBold"/>
                      <w:color w:val="243782"/>
                      <w:sz w:val="20"/>
                      <w:szCs w:val="20"/>
                      <w:lang w:val="fr-FR"/>
                    </w:rPr>
                    <w:t>DOUET:</w:t>
                  </w:r>
                  <w:proofErr w:type="gramEnd"/>
                  <w:r w:rsidRPr="00D17BC0">
                    <w:rPr>
                      <w:b/>
                      <w:color w:val="243782"/>
                      <w:sz w:val="20"/>
                      <w:szCs w:val="20"/>
                      <w:lang w:val="fr-FR"/>
                    </w:rPr>
                    <w:t xml:space="preserve"> </w:t>
                  </w:r>
                  <w:r w:rsidRPr="00D17BC0">
                    <w:rPr>
                      <w:color w:val="243782"/>
                      <w:sz w:val="20"/>
                      <w:szCs w:val="20"/>
                      <w:lang w:val="fr-FR"/>
                    </w:rPr>
                    <w:t>+33 6 61 64 03 83 -karine.douet@stellantis.com</w:t>
                  </w:r>
                </w:p>
              </w:tc>
            </w:tr>
            <w:tr w:rsidR="00495EF7" w:rsidRPr="00505AE5">
              <w:trPr>
                <w:trHeight w:val="548"/>
              </w:trPr>
              <w:tc>
                <w:tcPr>
                  <w:tcW w:w="8647" w:type="dxa"/>
                </w:tcPr>
                <w:p w:rsidR="00495EF7" w:rsidRPr="001836EE" w:rsidRDefault="00CA333A">
                  <w:pPr>
                    <w:widowControl/>
                    <w:spacing w:after="120"/>
                    <w:jc w:val="left"/>
                    <w:rPr>
                      <w:rFonts w:eastAsia="Times New Roman" w:cs="Times New Roman"/>
                      <w:color w:val="243782"/>
                      <w:sz w:val="20"/>
                      <w:szCs w:val="20"/>
                      <w:lang w:val="en-US"/>
                    </w:rPr>
                  </w:pPr>
                  <w:proofErr w:type="spellStart"/>
                  <w:r w:rsidRPr="001836EE">
                    <w:rPr>
                      <w:rFonts w:ascii="Encode Sans SemiBold" w:hAnsi="Encode Sans SemiBold"/>
                      <w:color w:val="243782"/>
                      <w:sz w:val="20"/>
                      <w:szCs w:val="20"/>
                      <w:lang w:val="en-US"/>
                    </w:rPr>
                    <w:t>Valérie</w:t>
                  </w:r>
                  <w:proofErr w:type="spellEnd"/>
                  <w:r w:rsidRPr="001836EE">
                    <w:rPr>
                      <w:rFonts w:ascii="Encode Sans SemiBold" w:hAnsi="Encode Sans SemiBold"/>
                      <w:color w:val="243782"/>
                      <w:sz w:val="20"/>
                      <w:szCs w:val="20"/>
                      <w:lang w:val="en-US"/>
                    </w:rPr>
                    <w:t xml:space="preserve"> GILLOT</w:t>
                  </w:r>
                  <w:r w:rsidRPr="001836EE">
                    <w:rPr>
                      <w:b/>
                      <w:color w:val="243782"/>
                      <w:sz w:val="20"/>
                      <w:szCs w:val="20"/>
                      <w:lang w:val="en-US"/>
                    </w:rPr>
                    <w:t xml:space="preserve">: </w:t>
                  </w:r>
                  <w:r w:rsidRPr="001836EE">
                    <w:rPr>
                      <w:color w:val="243782"/>
                      <w:sz w:val="20"/>
                      <w:szCs w:val="20"/>
                      <w:lang w:val="en-US"/>
                    </w:rPr>
                    <w:t>+33 6 83 92 92 96 - valerie.gillot@stellantis.com</w:t>
                  </w:r>
                </w:p>
                <w:p w:rsidR="00495EF7" w:rsidRPr="001836EE" w:rsidRDefault="00495EF7">
                  <w:pPr>
                    <w:widowControl/>
                    <w:spacing w:after="120"/>
                    <w:jc w:val="left"/>
                    <w:rPr>
                      <w:rStyle w:val="Collegamentoipertestuale"/>
                      <w:rFonts w:eastAsia="Times New Roman" w:cs="Times New Roman"/>
                      <w:sz w:val="20"/>
                      <w:szCs w:val="20"/>
                      <w:lang w:val="en-US"/>
                    </w:rPr>
                  </w:pPr>
                </w:p>
                <w:p w:rsidR="00495EF7" w:rsidRPr="001836EE" w:rsidRDefault="00CA333A">
                  <w:pPr>
                    <w:widowControl/>
                    <w:spacing w:after="120"/>
                    <w:jc w:val="left"/>
                    <w:rPr>
                      <w:rStyle w:val="Testosegnaposto"/>
                      <w:rFonts w:eastAsia="Times New Roman" w:cs="Times New Roman"/>
                      <w:color w:val="243782"/>
                      <w:sz w:val="20"/>
                      <w:szCs w:val="20"/>
                      <w:lang w:val="en-US"/>
                    </w:rPr>
                  </w:pPr>
                  <w:r w:rsidRPr="001836EE">
                    <w:rPr>
                      <w:rStyle w:val="Testosegnaposto"/>
                      <w:rFonts w:ascii="Encode Sans SemiBold" w:hAnsi="Encode Sans SemiBold"/>
                      <w:color w:val="243782"/>
                      <w:sz w:val="20"/>
                      <w:szCs w:val="20"/>
                      <w:lang w:val="en-US"/>
                    </w:rPr>
                    <w:t>Shawn MORGAN</w:t>
                  </w:r>
                  <w:r w:rsidRPr="001836EE">
                    <w:rPr>
                      <w:rStyle w:val="Testosegnaposto"/>
                      <w:color w:val="243782"/>
                      <w:sz w:val="20"/>
                      <w:szCs w:val="20"/>
                      <w:lang w:val="en-US"/>
                    </w:rPr>
                    <w:t>:</w:t>
                  </w:r>
                  <w:r w:rsidRPr="001836EE">
                    <w:rPr>
                      <w:rStyle w:val="Testosegnaposto"/>
                      <w:b/>
                      <w:color w:val="243782"/>
                      <w:sz w:val="20"/>
                      <w:szCs w:val="20"/>
                      <w:lang w:val="en-US"/>
                    </w:rPr>
                    <w:t xml:space="preserve"> </w:t>
                  </w:r>
                  <w:r w:rsidRPr="001836EE">
                    <w:rPr>
                      <w:rStyle w:val="Testosegnaposto"/>
                      <w:color w:val="243782"/>
                      <w:sz w:val="20"/>
                      <w:szCs w:val="20"/>
                      <w:lang w:val="en-US"/>
                    </w:rPr>
                    <w:t xml:space="preserve">+1 248 760 2621 - </w:t>
                  </w:r>
                  <w:r w:rsidRPr="001836EE">
                    <w:rPr>
                      <w:color w:val="243782"/>
                      <w:sz w:val="20"/>
                      <w:szCs w:val="20"/>
                      <w:lang w:val="en-US"/>
                    </w:rPr>
                    <w:t>shawn.morgan@stellantis.com</w:t>
                  </w:r>
                </w:p>
                <w:p w:rsidR="00495EF7" w:rsidRPr="001836EE" w:rsidRDefault="00495EF7">
                  <w:pPr>
                    <w:widowControl/>
                    <w:spacing w:after="120"/>
                    <w:jc w:val="left"/>
                    <w:rPr>
                      <w:rFonts w:eastAsia="Times New Roman" w:cs="Times New Roman"/>
                      <w:color w:val="243782"/>
                      <w:sz w:val="20"/>
                      <w:szCs w:val="20"/>
                      <w:lang w:val="en-US"/>
                    </w:rPr>
                  </w:pPr>
                </w:p>
              </w:tc>
            </w:tr>
          </w:tbl>
          <w:p w:rsidR="00495EF7" w:rsidRPr="001836EE" w:rsidRDefault="00CA333A">
            <w:pPr>
              <w:widowControl/>
              <w:spacing w:line="288" w:lineRule="auto"/>
              <w:jc w:val="left"/>
              <w:rPr>
                <w:rFonts w:eastAsia="Times New Roman" w:cs="Times New Roman"/>
                <w:color w:val="243782"/>
                <w:sz w:val="20"/>
                <w:szCs w:val="20"/>
              </w:rPr>
            </w:pPr>
            <w:r w:rsidRPr="001836EE">
              <w:rPr>
                <w:color w:val="243782"/>
                <w:sz w:val="20"/>
                <w:szCs w:val="20"/>
              </w:rPr>
              <w:t>www.stellantis.com</w:t>
            </w:r>
          </w:p>
        </w:tc>
      </w:tr>
    </w:tbl>
    <w:p w:rsidR="00090E85" w:rsidRDefault="00090E85" w:rsidP="00090E85">
      <w:pPr>
        <w:spacing w:line="288" w:lineRule="auto"/>
        <w:rPr>
          <w:rFonts w:eastAsia="Times New Roman" w:cs="Times New Roman"/>
          <w:sz w:val="21"/>
          <w:szCs w:val="21"/>
        </w:rPr>
      </w:pPr>
    </w:p>
    <w:p w:rsidR="00090E85" w:rsidRPr="00AA7DAA" w:rsidRDefault="00090E85" w:rsidP="00090E85">
      <w:pPr>
        <w:spacing w:line="288" w:lineRule="auto"/>
        <w:rPr>
          <w:b/>
          <w:bCs/>
          <w:color w:val="1B365E"/>
          <w:sz w:val="20"/>
        </w:rPr>
      </w:pPr>
      <w:r w:rsidRPr="00AA7DAA">
        <w:rPr>
          <w:b/>
          <w:bCs/>
          <w:color w:val="1B365E"/>
          <w:sz w:val="20"/>
        </w:rPr>
        <w:lastRenderedPageBreak/>
        <w:t xml:space="preserve">DICHIARAZIONI PREVISIONALI </w:t>
      </w:r>
    </w:p>
    <w:p w:rsidR="00090E85" w:rsidRPr="00D33506" w:rsidRDefault="00090E85" w:rsidP="00090E85">
      <w:pPr>
        <w:spacing w:before="100" w:beforeAutospacing="1" w:after="100" w:afterAutospacing="1"/>
        <w:rPr>
          <w:rFonts w:cs="Arial"/>
          <w:bCs/>
          <w:i/>
          <w:sz w:val="18"/>
        </w:rPr>
      </w:pPr>
      <w:r w:rsidRPr="00D33506">
        <w:rPr>
          <w:rFonts w:cs="Arial"/>
          <w:bCs/>
          <w:i/>
          <w:sz w:val="18"/>
        </w:rPr>
        <w:t>La presente comunicazione contiene dichiarazioni previsionali. In particolare, dichiarazioni relative alla performance finanziaria futura e le aspettative del gruppo congiunto (il “Gruppo”) risultante dalla fusione di FCA e Groupe PSA, relativamente al raggiungimento di determinate grandezze obiettivo in date future o in periodi futuri sono dichiarazioni previsionali. In alcuni casi, tali dichiarazioni possono essere caratterizzate da termini quali “può”, “sarà”, “ci si attende”, “potrebbe”, “dovrebbe”, “intende”, “stima”, “prevede”, “crede”, “rimane”, “in linea”, “pianifica”, “target”, “obiettivo”, “scopo”, “previsione”, “proiezione”, “aspettativa”, “prospettiva”, “piano”, o termini simili. Le dichiarazioni previsionali non costituiscono una garanzia o promessa riguardo ai risultati futuri. Piuttosto, sono basate sulla conoscenza attuale a disposizione del Gruppo, sulle aspettative e proiezioni future circa eventi futuri e, per loro stessa natura, sono soggette a rischi inerenti e incertezze. Tali dichiarazioni si riferiscono a eventi, e dipendono da circostanze, che potrebbero effettivamente verificarsi in futuro oppure no. Pertanto, è opportuno non fare indebito affidamento su tali affermazioni.</w:t>
      </w:r>
    </w:p>
    <w:p w:rsidR="00090E85" w:rsidRPr="00D33506" w:rsidRDefault="00090E85" w:rsidP="00090E85">
      <w:pPr>
        <w:spacing w:before="100" w:beforeAutospacing="1" w:after="100" w:afterAutospacing="1"/>
        <w:rPr>
          <w:rFonts w:cs="Arial"/>
          <w:bCs/>
          <w:i/>
          <w:sz w:val="18"/>
        </w:rPr>
      </w:pPr>
      <w:r w:rsidRPr="00D33506">
        <w:rPr>
          <w:rFonts w:cs="Arial"/>
          <w:bCs/>
          <w:i/>
          <w:sz w:val="18"/>
        </w:rPr>
        <w:t xml:space="preserve">I risultati futuri potrebbero differire significativamente da quelli contenuti nelle dichiarazioni previsionali a causa di una molteplicità di fattori, tra cui: l’impatto della pandemia da COVID-19, la capacità del Gruppo di lanciare nuovi prodotti con successo e di mantenere determinati volumi di consegne di veicoli; cambiamenti nei mercati finanziari globali, nel contesto economico generale e variazioni della domanda nel settore automobilistico, che è soggetto a ciclicità; variazioni delle condizioni economiche e politiche locali, variazioni delle politiche commerciali e l’imposizione di dazi a livello globale e regionale o dazi mirati all’industria automobilistica, l’adozione di riforme fiscali o altri cambiamenti nelle normative e regolamentazioni fiscali; la capacità del Gruppo di ampliare il livello di penetrazione di alcuni dei propri marchi nei mercati globali; la sua capacità di offrire prodotti innovativi e attraenti; la sua capacità di sviluppare, produrre e vendere veicoli con caratteristiche avanzate tra cui potenziate funzionalità di elettrificazione, connettività e guida autonoma; vari tipi di reclami, azioni legali, indagini governative e altre potenziali fonti di responsabilità, inclusi procedimenti concernenti responsabilità da prodotto, garanzie sui prodotti e questioni, indagini e altre azioni legali in ambito di tutela dell’ambiente; costi operativi di importo significativo correlati alla conformità con le normative di tutela dell’ambiente, della salute e della sicurezza sul lavoro; l'intenso livello di concorrenza nel settore automobilistico, che potrebbe aumentare a causa di consolidamenti; l’eventuale incapacità del Gruppo di finanziare taluni piani pensionistici; la capacità di fornire o organizzare accesso ad adeguate fonti di finanziamento per i concessionari e per la clientela finale e rischi correlati alla costituzione e gestione di società di servizi finanziari; la capacità di accedere a fonti di finanziamento al fine di realizzare i piani industriali del Gruppo e migliorare le attività, la situazione finanziaria e i risultati operativi; significativi malfunzionamenti, interruzioni o violazioni della sicurezza dei sistemi di information </w:t>
      </w:r>
      <w:proofErr w:type="spellStart"/>
      <w:r w:rsidRPr="00D33506">
        <w:rPr>
          <w:rFonts w:cs="Arial"/>
          <w:bCs/>
          <w:i/>
          <w:sz w:val="18"/>
        </w:rPr>
        <w:t>technology</w:t>
      </w:r>
      <w:proofErr w:type="spellEnd"/>
      <w:r w:rsidRPr="00D33506">
        <w:rPr>
          <w:rFonts w:cs="Arial"/>
          <w:bCs/>
          <w:i/>
          <w:sz w:val="18"/>
        </w:rPr>
        <w:t xml:space="preserve"> o dei sistemi di controllo elettronici contenuti nei veicoli del Gruppo; la capacità del Gruppo di realizzare benefici previsti da joint venture; interruzioni dovute a instabilità di natura politica, sociale ed economica; rischi correlati ai nostri rapporti con dipendenti, concessionari e fornitori; aumento dei costi, interruzioni delle forniture o carenza di materie prime; sviluppi nelle relazioni sindacali, industriali e nella normativa </w:t>
      </w:r>
      <w:proofErr w:type="spellStart"/>
      <w:r w:rsidRPr="00D33506">
        <w:rPr>
          <w:rFonts w:cs="Arial"/>
          <w:bCs/>
          <w:i/>
          <w:sz w:val="18"/>
        </w:rPr>
        <w:t>giuslavoristica</w:t>
      </w:r>
      <w:proofErr w:type="spellEnd"/>
      <w:r w:rsidRPr="00D33506">
        <w:rPr>
          <w:rFonts w:cs="Arial"/>
          <w:bCs/>
          <w:i/>
          <w:sz w:val="18"/>
        </w:rPr>
        <w:t>; fluttuazioni dei tassi di cambio, variazioni dei tassi d'interesse, rischio di credito e altri rischi di mercato; rischi di natura politica e tensioni sociali; terremoti o altri disastri il rischio che le attività di Groupe PSA ed FCA non siano integrate con successo e altri rischi e incertezze.</w:t>
      </w:r>
    </w:p>
    <w:p w:rsidR="00090E85" w:rsidRPr="00D33506" w:rsidRDefault="00090E85" w:rsidP="00090E85">
      <w:pPr>
        <w:spacing w:before="100" w:beforeAutospacing="1" w:after="100" w:afterAutospacing="1"/>
        <w:rPr>
          <w:rFonts w:cs="Arial"/>
          <w:bCs/>
          <w:i/>
          <w:sz w:val="18"/>
        </w:rPr>
      </w:pPr>
    </w:p>
    <w:p w:rsidR="00495EF7" w:rsidRPr="00234574" w:rsidRDefault="00090E85" w:rsidP="00234574">
      <w:pPr>
        <w:spacing w:before="100" w:beforeAutospacing="1" w:after="100" w:afterAutospacing="1"/>
        <w:rPr>
          <w:rFonts w:cs="Arial"/>
          <w:bCs/>
          <w:i/>
          <w:sz w:val="18"/>
        </w:rPr>
      </w:pPr>
      <w:r w:rsidRPr="00D33506">
        <w:rPr>
          <w:rFonts w:cs="Arial"/>
          <w:bCs/>
          <w:i/>
          <w:sz w:val="18"/>
        </w:rPr>
        <w:t xml:space="preserve">Le dichiarazioni previsionali contenute nel presente documento devono considerarsi valide solo alla data del presente documento e le Parti non si assumono alcun obbligo di aggiornare o emendare pubblicamente tali dichiarazioni. Ulteriori informazioni riguardanti il Gruppo inclusi taluni fattori in grado di influenzare significativamente i risultati delle del Gruppo, sono contenute nei documenti depositati da FCA presso la Securities and Exchange </w:t>
      </w:r>
      <w:proofErr w:type="spellStart"/>
      <w:r w:rsidRPr="00D33506">
        <w:rPr>
          <w:rFonts w:cs="Arial"/>
          <w:bCs/>
          <w:i/>
          <w:sz w:val="18"/>
        </w:rPr>
        <w:t>Commission</w:t>
      </w:r>
      <w:proofErr w:type="spellEnd"/>
      <w:r w:rsidRPr="00D33506">
        <w:rPr>
          <w:rFonts w:cs="Arial"/>
          <w:bCs/>
          <w:i/>
          <w:sz w:val="18"/>
        </w:rPr>
        <w:t xml:space="preserve"> </w:t>
      </w:r>
      <w:r>
        <w:rPr>
          <w:rFonts w:cs="Arial"/>
          <w:bCs/>
          <w:i/>
          <w:sz w:val="18"/>
        </w:rPr>
        <w:t xml:space="preserve">statunitense </w:t>
      </w:r>
      <w:r w:rsidRPr="00D33506">
        <w:rPr>
          <w:rFonts w:cs="Arial"/>
          <w:bCs/>
          <w:i/>
          <w:sz w:val="18"/>
        </w:rPr>
        <w:t>(inclusa la dichiarazione di reg</w:t>
      </w:r>
      <w:r>
        <w:rPr>
          <w:rFonts w:cs="Arial"/>
          <w:bCs/>
          <w:i/>
          <w:sz w:val="18"/>
        </w:rPr>
        <w:t xml:space="preserve">istrazione sul modulo F-4 </w:t>
      </w:r>
      <w:r w:rsidRPr="00D33506">
        <w:rPr>
          <w:rFonts w:cs="Arial"/>
          <w:bCs/>
          <w:i/>
          <w:sz w:val="18"/>
        </w:rPr>
        <w:t>dichiarata efficace dalla SEC il 20 novembre 2020), l’AFM e la CONSOB e nei documenti depositati da Groupe PSA presso l’AMF.</w:t>
      </w:r>
    </w:p>
    <w:sectPr w:rsidR="00495EF7" w:rsidRPr="00234574">
      <w:headerReference w:type="even" r:id="rId15"/>
      <w:headerReference w:type="default" r:id="rId16"/>
      <w:footerReference w:type="even" r:id="rId17"/>
      <w:footerReference w:type="default" r:id="rId18"/>
      <w:headerReference w:type="first" r:id="rId19"/>
      <w:footerReference w:type="first" r:id="rId20"/>
      <w:pgSz w:w="11906" w:h="16838" w:code="9"/>
      <w:pgMar w:top="1134" w:right="1985" w:bottom="1134" w:left="1985" w:header="1021" w:footer="442"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097" w:rsidRDefault="00617097">
      <w:pPr>
        <w:spacing w:after="0"/>
      </w:pPr>
      <w:r>
        <w:separator/>
      </w:r>
    </w:p>
  </w:endnote>
  <w:endnote w:type="continuationSeparator" w:id="0">
    <w:p w:rsidR="00617097" w:rsidRDefault="00617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ncode Sans ExpandedLight">
    <w:altName w:val="Times New Roman"/>
    <w:panose1 w:val="00000000000000000000"/>
    <w:charset w:val="00"/>
    <w:family w:val="auto"/>
    <w:pitch w:val="variable"/>
    <w:sig w:usb0="A00000FF" w:usb1="4000207B" w:usb2="00000000" w:usb3="00000000" w:csb0="00000193" w:csb1="00000000"/>
  </w:font>
  <w:font w:name="Encode Sans ExpandedSemiBold">
    <w:altName w:val="Times New Roman"/>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code Sans SemiBold">
    <w:altName w:val="Calibri"/>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7" w:rsidRDefault="00495EF7">
    <w:pPr>
      <w:pStyle w:val="Pidipagina"/>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7" w:rsidRDefault="00CA333A">
    <w:pPr>
      <w:pStyle w:val="SPagination"/>
      <w:widowControl/>
      <w:rPr>
        <w:rFonts w:eastAsia="Times New Roman" w:cs="Times New Roman"/>
        <w:szCs w:val="16"/>
      </w:rPr>
    </w:pPr>
    <w:r>
      <w:t xml:space="preserve">- </w:t>
    </w:r>
    <w:r>
      <w:rPr>
        <w:rStyle w:val="Numeropagina"/>
        <w:rFonts w:eastAsia="Times New Roman" w:cs="Times New Roman"/>
        <w:szCs w:val="16"/>
      </w:rPr>
      <w:fldChar w:fldCharType="begin"/>
    </w:r>
    <w:r>
      <w:rPr>
        <w:rStyle w:val="Numeropagina"/>
        <w:rFonts w:eastAsia="Times New Roman" w:cs="Times New Roman"/>
        <w:szCs w:val="16"/>
      </w:rPr>
      <w:instrText xml:space="preserve"> PAGE </w:instrText>
    </w:r>
    <w:r>
      <w:rPr>
        <w:rStyle w:val="Numeropagina"/>
        <w:rFonts w:eastAsia="Times New Roman" w:cs="Times New Roman"/>
        <w:szCs w:val="16"/>
      </w:rPr>
      <w:fldChar w:fldCharType="separate"/>
    </w:r>
    <w:r w:rsidR="00B56334">
      <w:rPr>
        <w:rStyle w:val="Numeropagina"/>
        <w:rFonts w:eastAsia="Times New Roman" w:cs="Times New Roman"/>
        <w:noProof/>
        <w:szCs w:val="16"/>
      </w:rPr>
      <w:t>3</w:t>
    </w:r>
    <w:r>
      <w:rPr>
        <w:rStyle w:val="Numeropagina"/>
        <w:rFonts w:eastAsia="Times New Roman" w:cs="Times New Roman"/>
        <w:szCs w:val="16"/>
      </w:rPr>
      <w:fldChar w:fldCharType="end"/>
    </w:r>
    <w:r>
      <w:rPr>
        <w:rStyle w:val="Numeropagina"/>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7" w:rsidRDefault="00495EF7">
    <w:pPr>
      <w:pStyle w:val="Pidipagina"/>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097" w:rsidRDefault="00617097">
      <w:pPr>
        <w:spacing w:after="0"/>
      </w:pPr>
      <w:r>
        <w:separator/>
      </w:r>
    </w:p>
  </w:footnote>
  <w:footnote w:type="continuationSeparator" w:id="0">
    <w:p w:rsidR="00617097" w:rsidRDefault="0061709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7" w:rsidRDefault="00495EF7">
    <w:pPr>
      <w:pStyle w:val="Intestazione"/>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7" w:rsidRDefault="00495EF7">
    <w:pPr>
      <w:pStyle w:val="Intestazione"/>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EF7" w:rsidRDefault="00CA333A">
    <w:pPr>
      <w:widowControl/>
    </w:pPr>
    <w:r>
      <w:rPr>
        <w:noProof/>
        <w:lang w:eastAsia="it-IT"/>
      </w:rPr>
      <mc:AlternateContent>
        <mc:Choice Requires="wpg">
          <w:drawing>
            <wp:anchor distT="0" distB="0" distL="114300" distR="114300" simplePos="0" relativeHeight="251658240" behindDoc="1" locked="1" layoutInCell="1" allowOverlap="1">
              <wp:simplePos x="0" y="0"/>
              <wp:positionH relativeFrom="page">
                <wp:posOffset>446405</wp:posOffset>
              </wp:positionH>
              <wp:positionV relativeFrom="page">
                <wp:posOffset>54610</wp:posOffset>
              </wp:positionV>
              <wp:extent cx="269875" cy="2341245"/>
              <wp:effectExtent l="0" t="0" r="0" b="0"/>
              <wp:wrapNone/>
              <wp:docPr id="1" name="Groupe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 cy="27463"/>
                      </a:xfrm>
                    </wpg:grpSpPr>
                    <wps:wsp>
                      <wps:cNvPr id="4" name="AutoShape 7"/>
                      <wps:cNvSpPr>
                        <a:spLocks noChangeAspect="1" noChangeArrowheads="1" noTextEdit="1"/>
                      </wps:cNvSpPr>
                      <wps:spPr bwMode="auto">
                        <a:xfrm>
                          <a:off x="0" y="31"/>
                          <a:ext cx="3159" cy="27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anchor="t" anchorCtr="0" upright="1"/>
                    </wps:wsp>
                    <wps:wsp>
                      <wps:cNvPr id="5" name="Oval 9"/>
                      <wps:cNvSpPr>
                        <a:spLocks noChangeArrowheads="1"/>
                      </wps:cNvSpPr>
                      <wps:spPr bwMode="auto">
                        <a:xfrm>
                          <a:off x="539" y="26638"/>
                          <a:ext cx="350" cy="333"/>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Oval 10"/>
                      <wps:cNvSpPr>
                        <a:spLocks noChangeArrowheads="1"/>
                      </wps:cNvSpPr>
                      <wps:spPr bwMode="auto">
                        <a:xfrm>
                          <a:off x="1444" y="26638"/>
                          <a:ext cx="349" cy="333"/>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Oval 11"/>
                      <wps:cNvSpPr>
                        <a:spLocks noChangeArrowheads="1"/>
                      </wps:cNvSpPr>
                      <wps:spPr bwMode="auto">
                        <a:xfrm>
                          <a:off x="2333" y="26638"/>
                          <a:ext cx="349" cy="333"/>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Oval 12"/>
                      <wps:cNvSpPr>
                        <a:spLocks noChangeArrowheads="1"/>
                      </wps:cNvSpPr>
                      <wps:spPr bwMode="auto">
                        <a:xfrm>
                          <a:off x="1016" y="27241"/>
                          <a:ext cx="238" cy="222"/>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Oval 13"/>
                      <wps:cNvSpPr>
                        <a:spLocks noChangeArrowheads="1"/>
                      </wps:cNvSpPr>
                      <wps:spPr bwMode="auto">
                        <a:xfrm>
                          <a:off x="1952" y="27241"/>
                          <a:ext cx="238" cy="222"/>
                        </a:xfrm>
                        <a:prstGeom prst="ellipse">
                          <a:avLst/>
                        </a:pr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8" name="Freeform 14"/>
                      <wps:cNvSpPr/>
                      <wps:spPr bwMode="auto">
                        <a:xfrm>
                          <a:off x="0" y="0"/>
                          <a:ext cx="3159" cy="26400"/>
                        </a:xfrm>
                        <a:custGeom>
                          <a:avLst/>
                          <a:gdLst>
                            <a:gd name="T0" fmla="*/ 315912 w 81"/>
                            <a:gd name="T1" fmla="*/ 0 h 699"/>
                            <a:gd name="T2" fmla="*/ 0 w 81"/>
                            <a:gd name="T3" fmla="*/ 0 h 699"/>
                            <a:gd name="T4" fmla="*/ 0 w 81"/>
                            <a:gd name="T5" fmla="*/ 2617352 h 699"/>
                            <a:gd name="T6" fmla="*/ 0 w 81"/>
                            <a:gd name="T7" fmla="*/ 2617352 h 699"/>
                            <a:gd name="T8" fmla="*/ 0 w 81"/>
                            <a:gd name="T9" fmla="*/ 2617352 h 699"/>
                            <a:gd name="T10" fmla="*/ 23401 w 81"/>
                            <a:gd name="T11" fmla="*/ 2640013 h 699"/>
                            <a:gd name="T12" fmla="*/ 46802 w 81"/>
                            <a:gd name="T13" fmla="*/ 2617352 h 699"/>
                            <a:gd name="T14" fmla="*/ 46802 w 81"/>
                            <a:gd name="T15" fmla="*/ 2617352 h 699"/>
                            <a:gd name="T16" fmla="*/ 50702 w 81"/>
                            <a:gd name="T17" fmla="*/ 2617352 h 699"/>
                            <a:gd name="T18" fmla="*/ 70203 w 81"/>
                            <a:gd name="T19" fmla="*/ 2598468 h 699"/>
                            <a:gd name="T20" fmla="*/ 89703 w 81"/>
                            <a:gd name="T21" fmla="*/ 2617352 h 699"/>
                            <a:gd name="T22" fmla="*/ 89703 w 81"/>
                            <a:gd name="T23" fmla="*/ 2617352 h 699"/>
                            <a:gd name="T24" fmla="*/ 89703 w 81"/>
                            <a:gd name="T25" fmla="*/ 2617352 h 699"/>
                            <a:gd name="T26" fmla="*/ 113104 w 81"/>
                            <a:gd name="T27" fmla="*/ 2640013 h 699"/>
                            <a:gd name="T28" fmla="*/ 136505 w 81"/>
                            <a:gd name="T29" fmla="*/ 2617352 h 699"/>
                            <a:gd name="T30" fmla="*/ 136505 w 81"/>
                            <a:gd name="T31" fmla="*/ 2617352 h 699"/>
                            <a:gd name="T32" fmla="*/ 136505 w 81"/>
                            <a:gd name="T33" fmla="*/ 2617352 h 699"/>
                            <a:gd name="T34" fmla="*/ 159906 w 81"/>
                            <a:gd name="T35" fmla="*/ 2598468 h 699"/>
                            <a:gd name="T36" fmla="*/ 179407 w 81"/>
                            <a:gd name="T37" fmla="*/ 2617352 h 699"/>
                            <a:gd name="T38" fmla="*/ 179407 w 81"/>
                            <a:gd name="T39" fmla="*/ 2617352 h 699"/>
                            <a:gd name="T40" fmla="*/ 179407 w 81"/>
                            <a:gd name="T41" fmla="*/ 2617352 h 699"/>
                            <a:gd name="T42" fmla="*/ 179407 w 81"/>
                            <a:gd name="T43" fmla="*/ 2617352 h 699"/>
                            <a:gd name="T44" fmla="*/ 179407 w 81"/>
                            <a:gd name="T45" fmla="*/ 2617352 h 699"/>
                            <a:gd name="T46" fmla="*/ 202808 w 81"/>
                            <a:gd name="T47" fmla="*/ 2640013 h 699"/>
                            <a:gd name="T48" fmla="*/ 226209 w 81"/>
                            <a:gd name="T49" fmla="*/ 2617352 h 699"/>
                            <a:gd name="T50" fmla="*/ 226209 w 81"/>
                            <a:gd name="T51" fmla="*/ 2617352 h 699"/>
                            <a:gd name="T52" fmla="*/ 226209 w 81"/>
                            <a:gd name="T53" fmla="*/ 2617352 h 699"/>
                            <a:gd name="T54" fmla="*/ 245709 w 81"/>
                            <a:gd name="T55" fmla="*/ 2598468 h 699"/>
                            <a:gd name="T56" fmla="*/ 269110 w 81"/>
                            <a:gd name="T57" fmla="*/ 2617352 h 699"/>
                            <a:gd name="T58" fmla="*/ 269110 w 81"/>
                            <a:gd name="T59" fmla="*/ 2617352 h 699"/>
                            <a:gd name="T60" fmla="*/ 269110 w 81"/>
                            <a:gd name="T61" fmla="*/ 2617352 h 699"/>
                            <a:gd name="T62" fmla="*/ 292511 w 81"/>
                            <a:gd name="T63" fmla="*/ 2640013 h 699"/>
                            <a:gd name="T64" fmla="*/ 315912 w 81"/>
                            <a:gd name="T65" fmla="*/ 2617352 h 699"/>
                            <a:gd name="T66" fmla="*/ 315912 w 81"/>
                            <a:gd name="T67" fmla="*/ 2617352 h 699"/>
                            <a:gd name="T68" fmla="*/ 315912 w 81"/>
                            <a:gd name="T69" fmla="*/ 2617352 h 699"/>
                            <a:gd name="T70" fmla="*/ 315912 w 81"/>
                            <a:gd name="T71" fmla="*/ 0 h 699"/>
                            <a:gd name="T72" fmla="*/ 0 w 81"/>
                            <a:gd name="T73" fmla="*/ 0 h 699"/>
                            <a:gd name="T74" fmla="*/ 81 w 81"/>
                            <a:gd name="T75" fmla="*/ 699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lose/>
                            </a:path>
                          </a:pathLst>
                        </a:custGeom>
                        <a:solidFill>
                          <a:srgbClr val="24378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95EF7" w:rsidRDefault="00CA333A">
                            <w:pPr>
                              <w:pStyle w:val="SPRESSRELEASE-TITLE"/>
                              <w:widowControl/>
                              <w:rPr>
                                <w:rFonts w:eastAsia="Times New Roman" w:cs="Times New Roman"/>
                              </w:rPr>
                            </w:pPr>
                            <w:r>
                              <w:t>COMUNICATO STAMPA</w:t>
                            </w:r>
                          </w:p>
                        </w:txbxContent>
                      </wps:txbx>
                      <wps:bodyPr rot="0" vert="vert270" wrap="square" lIns="25146" tIns="0" rIns="35941" bIns="179959" anchor="ctr" anchorCtr="0" upright="1"/>
                    </wps:wsp>
                  </wpg:wgp>
                </a:graphicData>
              </a:graphic>
              <wp14:sizeRelH relativeFrom="margin">
                <wp14:pctWidth>0</wp14:pctWidth>
              </wp14:sizeRelH>
              <wp14:sizeRelV relativeFrom="margin">
                <wp14:pctHeight>0</wp14:pctHeight>
              </wp14:sizeRelV>
            </wp:anchor>
          </w:drawing>
        </mc:Choice>
        <mc:Fallback>
          <w:pict>
            <v:group id="Groupe 29" o:spid="_x0000_s1026" style="position:absolute;left:0;text-align:left;margin-left:35.15pt;margin-top:4.3pt;width:21.25pt;height:184.35pt;z-index:-251658240;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8OgsIA&#10;AADaAAAADwAAAGRycy9kb3ducmV2LnhtbESPQWvCQBSE70L/w/IEb7pRMITUVUQoKMFDU9vzI/ua&#10;DWbfhuxqor++Wyj0OMzMN8xmN9pW3Kn3jWMFy0UCgrhyuuFaweXjbZ6B8AFZY+uYFDzIw277Mtlg&#10;rt3A73QvQy0ihH2OCkwIXS6lrwxZ9AvXEUfv2/UWQ5R9LXWPQ4TbVq6SJJUWG44LBjs6GKqu5c0q&#10;qM6hMBfMCt08v5LjKd1j+zkoNZuO+1cQgcbwH/5rH7WCNfxei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7w6CwgAAANoAAAAPAAAAAAAAAAAAAAAAAJgCAABkcnMvZG93&#10;bnJldi54bWxQSwUGAAAAAAQABAD1AAAAhwMAAAAA&#10;" fillcolor="#243782"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Q9cAA&#10;AADaAAAADwAAAGRycy9kb3ducmV2LnhtbESPzarCMBSE94LvEI5wd5rqokg1ily4oIgLf9eH5tgU&#10;m5PSRFvv0xtBcDnMzDfMfNnZSjyo8aVjBeNRAoI4d7rkQsHp+DecgvABWWPlmBQ8ycNy0e/NMdOu&#10;5T09DqEQEcI+QwUmhDqT0ueGLPqRq4mjd3WNxRBlU0jdYBvhtpKTJEmlxZLjgsGafg3lt8PdKsh3&#10;YWtOON3q8v+SrDfpCqtzq9TPoFvNQATqwjf8aa+1ghTeV+IN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2Q9cAAAADaAAAADwAAAAAAAAAAAAAAAACYAgAAZHJzL2Rvd25y&#10;ZXYueG1sUEsFBgAAAAAEAAQA9QAAAIUDAAAAAA==&#10;" fillcolor="#243782"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E1bsIA&#10;AADaAAAADwAAAGRycy9kb3ducmV2LnhtbESPQWsCMRSE7wX/Q3iCt5q1h62sRhFBWJEeam3Pj+S5&#10;Wdy8LJvUXf31jSD0OMzMN8xyPbhGXKkLtWcFs2kGglh7U3Ol4PS1e52DCBHZYOOZFNwowHo1elli&#10;YXzPn3Q9xkokCIcCFdgY20LKoC05DFPfEifv7DuHMcmukqbDPsFdI9+yLJcOa04LFlvaWtKX469T&#10;oD/iwZ5wfjD1/Scr9/kGm+9eqcl42CxARBrif/jZLo2Cd3hcS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TVuwgAAANoAAAAPAAAAAAAAAAAAAAAAAJgCAABkcnMvZG93&#10;bnJldi54bWxQSwUGAAAAAAQABAD1AAAAhwMAAAAA&#10;" fillcolor="#243782"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hHLsA&#10;AADaAAAADwAAAGRycy9kb3ducmV2LnhtbERPuwrCMBTdBf8hXMFNUx1EqlFEEBRx8DlfmmtTbG5K&#10;E231680gOB7Oe75sbSleVPvCsYLRMAFBnDldcK7gct4MpiB8QNZYOiYFb/KwXHQ7c0y1a/hIr1PI&#10;RQxhn6ICE0KVSukzQxb90FXEkbu72mKIsM6lrrGJ4baU4ySZSIsFxwaDFa0NZY/T0yrIDmFvLjjd&#10;6+JzS7a7yQrLa6NUv9euZiACteEv/rm3WkHcGq/EGyA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TuoRy7AAAA2gAAAA8AAAAAAAAAAAAAAAAAmAIAAGRycy9kb3ducmV2Lnht&#10;bFBLBQYAAAAABAAEAPUAAACAAwAAAAA=&#10;" fillcolor="#243782"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h8IA&#10;AADaAAAADwAAAGRycy9kb3ducmV2LnhtbESPQWsCMRSE7wX/Q3iCt27WHsSuRhFBUKSH2m3Pj+S5&#10;Wdy8LJvUXf31TUHwOMzMN8xyPbhGXKkLtWcF0ywHQay9qblSUH7tXucgQkQ22HgmBTcKsF6NXpZY&#10;GN/zJ11PsRIJwqFABTbGtpAyaEsOQ+Zb4uSdfecwJtlV0nTYJ7hr5Fuez6TDmtOCxZa2lvTl9OsU&#10;6I94tCXOj6a+/+T7w2yDzXev1GQ8bBYgIg3xGX6090bBO/xfS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gSHwgAAANoAAAAPAAAAAAAAAAAAAAAAAJgCAABkcnMvZG93&#10;bnJldi54bWxQSwUGAAAAAAQABAD1AAAAhwMAAAAA&#10;" fillcolor="#243782"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8JYcMA&#10;AADbAAAADwAAAGRycy9kb3ducmV2LnhtbESP3WrCQBCF7wu+wzKCd3VjESnRVUQURdoLfx5gyI7Z&#10;aHY2ZLcxvn3notC7Gc6Zc75ZrHpfq47aWAU2MBlnoIiLYCsuDVwvu/dPUDEhW6wDk4EXRVgtB28L&#10;zG148om6cyqVhHDM0YBLqcm1joUjj3EcGmLRbqH1mGRtS21bfEq4r/VHls20x4qlwWFDG0fF4/zj&#10;DZx4H7PD/St9b+7TbXds8OXczJjRsF/PQSXq07/57/pg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8JYcMAAADbAAAADwAAAAAAAAAAAAAAAACYAgAAZHJzL2Rv&#10;d25yZXYueG1sUEsFBgAAAAAEAAQA9QAAAIgD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l81,xe" fillcolor="#243782" stroked="f">
                <v:stroke joinstyle="round"/>
                <v:formulas/>
                <v:path arrowok="t" o:connecttype="custom" o:connectlocs="12320568,0;0,0;0,98852779;0,98852779;0,98852779;912639,99708645;1825278,98852779;1825278,98852779;1977378,98852779;2737917,98139564;3498417,98852779;3498417,98852779;3498417,98852779;4411056,99708645;5323695,98852779;5323695,98852779;5323695,98852779;6236334,98139564;6996873,98852779;6996873,98852779;6996873,98852779;6996873,98852779;6996873,98852779;7909512,99708645;8822151,98852779;8822151,98852779;8822151,98852779;9582651,98139564;10495290,98852779;10495290,98852779;10495290,98852779;11407929,99708645;12320568,98852779;12320568,98852779;12320568,98852779;12320568,0" o:connectangles="0,0,0,0,0,0,0,0,0,0,0,0,0,0,0,0,0,0,0,0,0,0,0,0,0,0,0,0,0,0,0,0,0,0,0,0" textboxrect="0,0,81,699"/>
                <v:textbox style="layout-flow:vertical;mso-layout-flow-alt:bottom-to-top" inset="1.98pt,0,2.83pt,14.17pt">
                  <w:txbxContent>
                    <w:p w:rsidR="00495EF7" w:rsidRDefault="00CA333A">
                      <w:pPr>
                        <w:pStyle w:val="SPRESSRELEASE-TITLE"/>
                        <w:widowControl/>
                        <w:rPr>
                          <w:rFonts w:eastAsia="Times New Roman" w:cs="Times New Roman"/>
                        </w:rPr>
                      </w:pPr>
                      <w:r>
                        <w:t>COMUNICATO STAMPA</w:t>
                      </w:r>
                    </w:p>
                  </w:txbxContent>
                </v:textbox>
              </v:shape>
              <w10:wrap anchorx="page" anchory="page"/>
              <w10:anchorlock/>
            </v:group>
          </w:pict>
        </mc:Fallback>
      </mc:AlternateContent>
    </w:r>
    <w:r>
      <w:rPr>
        <w:noProof/>
        <w:color w:val="243782"/>
        <w:sz w:val="16"/>
        <w:lang w:eastAsia="it-IT"/>
      </w:rPr>
      <w:drawing>
        <wp:inline distT="0" distB="0" distL="0" distR="0">
          <wp:extent cx="2314575"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158660" name="Image 2"/>
                  <pic:cNvPicPr>
                    <a:picLocks noChangeAspect="1" noChangeArrowheads="1"/>
                  </pic:cNvPicPr>
                </pic:nvPicPr>
                <pic:blipFill>
                  <a:blip r:embed="rId1">
                    <a:extLst>
                      <a:ext uri="{28A0092B-C50C-407E-A947-70E740481C1C}">
                        <a14:useLocalDpi xmlns:a14="http://schemas.microsoft.com/office/drawing/2010/main" val="0"/>
                      </a:ext>
                    </a:extLst>
                  </a:blip>
                  <a:srcRect l="8009"/>
                  <a:stretch>
                    <a:fillRect/>
                  </a:stretch>
                </pic:blipFill>
                <pic:spPr bwMode="auto">
                  <a:xfrm>
                    <a:off x="0" y="0"/>
                    <a:ext cx="23145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00000002"/>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00000004"/>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00000005"/>
    <w:multiLevelType w:val="singleLevel"/>
    <w:tmpl w:val="43160C60"/>
    <w:lvl w:ilvl="0">
      <w:start w:val="1"/>
      <w:numFmt w:val="bullet"/>
      <w:lvlText w:val=""/>
      <w:lvlJc w:val="left"/>
      <w:pPr>
        <w:tabs>
          <w:tab w:val="num" w:pos="1492"/>
        </w:tabs>
        <w:ind w:left="1492" w:hanging="360"/>
      </w:pPr>
      <w:rPr>
        <w:rFonts w:ascii="Symbol" w:hAnsi="Symbol"/>
      </w:rPr>
    </w:lvl>
  </w:abstractNum>
  <w:abstractNum w:abstractNumId="5" w15:restartNumberingAfterBreak="0">
    <w:nsid w:val="00000006"/>
    <w:multiLevelType w:val="singleLevel"/>
    <w:tmpl w:val="E620E79E"/>
    <w:lvl w:ilvl="0">
      <w:start w:val="1"/>
      <w:numFmt w:val="bullet"/>
      <w:lvlText w:val=""/>
      <w:lvlJc w:val="left"/>
      <w:pPr>
        <w:tabs>
          <w:tab w:val="num" w:pos="1209"/>
        </w:tabs>
        <w:ind w:left="1209" w:hanging="360"/>
      </w:pPr>
      <w:rPr>
        <w:rFonts w:ascii="Symbol" w:hAnsi="Symbol"/>
      </w:rPr>
    </w:lvl>
  </w:abstractNum>
  <w:abstractNum w:abstractNumId="6" w15:restartNumberingAfterBreak="0">
    <w:nsid w:val="00000007"/>
    <w:multiLevelType w:val="singleLevel"/>
    <w:tmpl w:val="D8086AAC"/>
    <w:lvl w:ilvl="0">
      <w:start w:val="1"/>
      <w:numFmt w:val="bullet"/>
      <w:lvlText w:val=""/>
      <w:lvlJc w:val="left"/>
      <w:pPr>
        <w:tabs>
          <w:tab w:val="num" w:pos="926"/>
        </w:tabs>
        <w:ind w:left="926" w:hanging="360"/>
      </w:pPr>
      <w:rPr>
        <w:rFonts w:ascii="Symbol" w:hAnsi="Symbol"/>
      </w:rPr>
    </w:lvl>
  </w:abstractNum>
  <w:abstractNum w:abstractNumId="7" w15:restartNumberingAfterBreak="0">
    <w:nsid w:val="00000008"/>
    <w:multiLevelType w:val="singleLevel"/>
    <w:tmpl w:val="EFD664A8"/>
    <w:lvl w:ilvl="0">
      <w:start w:val="1"/>
      <w:numFmt w:val="bullet"/>
      <w:lvlText w:val=""/>
      <w:lvlJc w:val="left"/>
      <w:pPr>
        <w:tabs>
          <w:tab w:val="num" w:pos="643"/>
        </w:tabs>
        <w:ind w:left="643" w:hanging="360"/>
      </w:pPr>
      <w:rPr>
        <w:rFonts w:ascii="Symbol" w:hAnsi="Symbol"/>
      </w:rPr>
    </w:lvl>
  </w:abstractNum>
  <w:abstractNum w:abstractNumId="8" w15:restartNumberingAfterBreak="0">
    <w:nsid w:val="00000009"/>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0000000A"/>
    <w:multiLevelType w:val="singleLevel"/>
    <w:tmpl w:val="35568202"/>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hybridMultilevel"/>
    <w:tmpl w:val="CBAC4234"/>
    <w:lvl w:ilvl="0" w:tplc="F4201AC6">
      <w:start w:val="1"/>
      <w:numFmt w:val="bullet"/>
      <w:lvlText w:val=""/>
      <w:lvlJc w:val="left"/>
      <w:pPr>
        <w:ind w:left="720" w:hanging="360"/>
      </w:pPr>
      <w:rPr>
        <w:rFonts w:ascii="Symbol" w:hAnsi="Symbol"/>
      </w:rPr>
    </w:lvl>
    <w:lvl w:ilvl="1" w:tplc="70886CB4">
      <w:start w:val="1"/>
      <w:numFmt w:val="bullet"/>
      <w:lvlText w:val="o"/>
      <w:lvlJc w:val="left"/>
      <w:pPr>
        <w:ind w:left="1440" w:hanging="360"/>
      </w:pPr>
      <w:rPr>
        <w:rFonts w:ascii="Courier New" w:hAnsi="Courier New" w:cs="Courier New"/>
      </w:rPr>
    </w:lvl>
    <w:lvl w:ilvl="2" w:tplc="AC54872E">
      <w:start w:val="1"/>
      <w:numFmt w:val="bullet"/>
      <w:lvlText w:val=""/>
      <w:lvlJc w:val="left"/>
      <w:pPr>
        <w:ind w:left="2160" w:hanging="360"/>
      </w:pPr>
      <w:rPr>
        <w:rFonts w:ascii="Wingdings" w:hAnsi="Wingdings"/>
      </w:rPr>
    </w:lvl>
    <w:lvl w:ilvl="3" w:tplc="92C40074">
      <w:start w:val="1"/>
      <w:numFmt w:val="bullet"/>
      <w:lvlText w:val=""/>
      <w:lvlJc w:val="left"/>
      <w:pPr>
        <w:ind w:left="2880" w:hanging="360"/>
      </w:pPr>
      <w:rPr>
        <w:rFonts w:ascii="Symbol" w:hAnsi="Symbol"/>
      </w:rPr>
    </w:lvl>
    <w:lvl w:ilvl="4" w:tplc="CDB07186">
      <w:start w:val="1"/>
      <w:numFmt w:val="bullet"/>
      <w:lvlText w:val="o"/>
      <w:lvlJc w:val="left"/>
      <w:pPr>
        <w:ind w:left="3600" w:hanging="360"/>
      </w:pPr>
      <w:rPr>
        <w:rFonts w:ascii="Courier New" w:hAnsi="Courier New" w:cs="Courier New"/>
      </w:rPr>
    </w:lvl>
    <w:lvl w:ilvl="5" w:tplc="86D6495A">
      <w:start w:val="1"/>
      <w:numFmt w:val="bullet"/>
      <w:lvlText w:val=""/>
      <w:lvlJc w:val="left"/>
      <w:pPr>
        <w:ind w:left="4320" w:hanging="360"/>
      </w:pPr>
      <w:rPr>
        <w:rFonts w:ascii="Wingdings" w:hAnsi="Wingdings"/>
      </w:rPr>
    </w:lvl>
    <w:lvl w:ilvl="6" w:tplc="631A408E">
      <w:start w:val="1"/>
      <w:numFmt w:val="bullet"/>
      <w:lvlText w:val=""/>
      <w:lvlJc w:val="left"/>
      <w:pPr>
        <w:ind w:left="5040" w:hanging="360"/>
      </w:pPr>
      <w:rPr>
        <w:rFonts w:ascii="Symbol" w:hAnsi="Symbol"/>
      </w:rPr>
    </w:lvl>
    <w:lvl w:ilvl="7" w:tplc="EE76A800">
      <w:start w:val="1"/>
      <w:numFmt w:val="bullet"/>
      <w:lvlText w:val="o"/>
      <w:lvlJc w:val="left"/>
      <w:pPr>
        <w:ind w:left="5760" w:hanging="360"/>
      </w:pPr>
      <w:rPr>
        <w:rFonts w:ascii="Courier New" w:hAnsi="Courier New" w:cs="Courier New"/>
      </w:rPr>
    </w:lvl>
    <w:lvl w:ilvl="8" w:tplc="B07E6F8A">
      <w:start w:val="1"/>
      <w:numFmt w:val="bullet"/>
      <w:lvlText w:val=""/>
      <w:lvlJc w:val="left"/>
      <w:pPr>
        <w:ind w:left="6480" w:hanging="360"/>
      </w:pPr>
      <w:rPr>
        <w:rFonts w:ascii="Wingdings" w:hAnsi="Wingdings"/>
      </w:rPr>
    </w:lvl>
  </w:abstractNum>
  <w:abstractNum w:abstractNumId="11" w15:restartNumberingAfterBreak="0">
    <w:nsid w:val="0000000C"/>
    <w:multiLevelType w:val="hybridMultilevel"/>
    <w:tmpl w:val="AAA27D8E"/>
    <w:lvl w:ilvl="0" w:tplc="E55A4CB0">
      <w:start w:val="1"/>
      <w:numFmt w:val="bullet"/>
      <w:pStyle w:val="SBullet"/>
      <w:lvlText w:val=""/>
      <w:lvlJc w:val="left"/>
      <w:pPr>
        <w:ind w:left="720" w:hanging="360"/>
      </w:pPr>
      <w:rPr>
        <w:rFonts w:ascii="Symbol" w:hAnsi="Symbol"/>
      </w:rPr>
    </w:lvl>
    <w:lvl w:ilvl="1" w:tplc="5B902D20">
      <w:start w:val="1"/>
      <w:numFmt w:val="bullet"/>
      <w:lvlText w:val="o"/>
      <w:lvlJc w:val="left"/>
      <w:pPr>
        <w:ind w:left="1440" w:hanging="360"/>
      </w:pPr>
      <w:rPr>
        <w:rFonts w:ascii="Courier New" w:hAnsi="Courier New" w:cs="Courier New"/>
      </w:rPr>
    </w:lvl>
    <w:lvl w:ilvl="2" w:tplc="860A9B40">
      <w:start w:val="1"/>
      <w:numFmt w:val="bullet"/>
      <w:lvlText w:val=""/>
      <w:lvlJc w:val="left"/>
      <w:pPr>
        <w:ind w:left="2160" w:hanging="360"/>
      </w:pPr>
      <w:rPr>
        <w:rFonts w:ascii="Wingdings" w:hAnsi="Wingdings"/>
      </w:rPr>
    </w:lvl>
    <w:lvl w:ilvl="3" w:tplc="51BE380E">
      <w:start w:val="1"/>
      <w:numFmt w:val="bullet"/>
      <w:lvlText w:val=""/>
      <w:lvlJc w:val="left"/>
      <w:pPr>
        <w:ind w:left="2880" w:hanging="360"/>
      </w:pPr>
      <w:rPr>
        <w:rFonts w:ascii="Symbol" w:hAnsi="Symbol"/>
      </w:rPr>
    </w:lvl>
    <w:lvl w:ilvl="4" w:tplc="D00A89AC">
      <w:start w:val="1"/>
      <w:numFmt w:val="bullet"/>
      <w:lvlText w:val="o"/>
      <w:lvlJc w:val="left"/>
      <w:pPr>
        <w:ind w:left="3600" w:hanging="360"/>
      </w:pPr>
      <w:rPr>
        <w:rFonts w:ascii="Courier New" w:hAnsi="Courier New" w:cs="Courier New"/>
      </w:rPr>
    </w:lvl>
    <w:lvl w:ilvl="5" w:tplc="EFFE9AEA">
      <w:start w:val="1"/>
      <w:numFmt w:val="bullet"/>
      <w:lvlText w:val=""/>
      <w:lvlJc w:val="left"/>
      <w:pPr>
        <w:ind w:left="4320" w:hanging="360"/>
      </w:pPr>
      <w:rPr>
        <w:rFonts w:ascii="Wingdings" w:hAnsi="Wingdings"/>
      </w:rPr>
    </w:lvl>
    <w:lvl w:ilvl="6" w:tplc="75744B4E">
      <w:start w:val="1"/>
      <w:numFmt w:val="bullet"/>
      <w:lvlText w:val=""/>
      <w:lvlJc w:val="left"/>
      <w:pPr>
        <w:ind w:left="5040" w:hanging="360"/>
      </w:pPr>
      <w:rPr>
        <w:rFonts w:ascii="Symbol" w:hAnsi="Symbol"/>
      </w:rPr>
    </w:lvl>
    <w:lvl w:ilvl="7" w:tplc="6A64DB72">
      <w:start w:val="1"/>
      <w:numFmt w:val="bullet"/>
      <w:lvlText w:val="o"/>
      <w:lvlJc w:val="left"/>
      <w:pPr>
        <w:ind w:left="5760" w:hanging="360"/>
      </w:pPr>
      <w:rPr>
        <w:rFonts w:ascii="Courier New" w:hAnsi="Courier New" w:cs="Courier New"/>
      </w:rPr>
    </w:lvl>
    <w:lvl w:ilvl="8" w:tplc="687853C0">
      <w:start w:val="1"/>
      <w:numFmt w:val="bullet"/>
      <w:lvlText w:val=""/>
      <w:lvlJc w:val="left"/>
      <w:pPr>
        <w:ind w:left="6480" w:hanging="360"/>
      </w:pPr>
      <w:rPr>
        <w:rFonts w:ascii="Wingdings" w:hAnsi="Wingding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hideSpellingErrors/>
  <w:hideGrammaticalErrors/>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EF7"/>
    <w:rsid w:val="00074A1E"/>
    <w:rsid w:val="00090E85"/>
    <w:rsid w:val="000C5708"/>
    <w:rsid w:val="000E534A"/>
    <w:rsid w:val="001836EE"/>
    <w:rsid w:val="00234574"/>
    <w:rsid w:val="00252EEF"/>
    <w:rsid w:val="00265578"/>
    <w:rsid w:val="002726B7"/>
    <w:rsid w:val="00324AC0"/>
    <w:rsid w:val="003758CC"/>
    <w:rsid w:val="003E1F02"/>
    <w:rsid w:val="00403668"/>
    <w:rsid w:val="00495EF7"/>
    <w:rsid w:val="004D420A"/>
    <w:rsid w:val="00505AE5"/>
    <w:rsid w:val="00617097"/>
    <w:rsid w:val="00641EAF"/>
    <w:rsid w:val="006A4E4F"/>
    <w:rsid w:val="006E0761"/>
    <w:rsid w:val="007A4CC1"/>
    <w:rsid w:val="008E48F6"/>
    <w:rsid w:val="00A07A52"/>
    <w:rsid w:val="00B065FE"/>
    <w:rsid w:val="00B56334"/>
    <w:rsid w:val="00B673B1"/>
    <w:rsid w:val="00CA333A"/>
    <w:rsid w:val="00D04247"/>
    <w:rsid w:val="00D17BC0"/>
    <w:rsid w:val="00D933C7"/>
    <w:rsid w:val="00E7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adjustRightInd w:val="0"/>
      <w:spacing w:after="240" w:line="240" w:lineRule="auto"/>
      <w:jc w:val="both"/>
    </w:pPr>
    <w:rPr>
      <w:rFonts w:ascii="Encode Sans ExpandedLight" w:hAnsi="Encode Sans ExpandedLight"/>
      <w:sz w:val="24"/>
      <w:szCs w:val="16"/>
    </w:rPr>
  </w:style>
  <w:style w:type="paragraph" w:styleId="Titolo1">
    <w:name w:val="heading 1"/>
    <w:basedOn w:val="Normale"/>
    <w:next w:val="Normale"/>
    <w:link w:val="Titolo1Carattere"/>
    <w:uiPriority w:val="99"/>
    <w:qFormat/>
    <w:pPr>
      <w:keepNext/>
      <w:widowControl/>
      <w:spacing w:after="0"/>
      <w:jc w:val="left"/>
      <w:outlineLvl w:val="0"/>
    </w:pPr>
    <w:rPr>
      <w:i/>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jc w:val="left"/>
    </w:pPr>
    <w:rPr>
      <w:color w:val="243782"/>
    </w:rPr>
  </w:style>
  <w:style w:type="character" w:customStyle="1" w:styleId="IntestazioneCarattere">
    <w:name w:val="Intestazione Carattere"/>
    <w:basedOn w:val="Carpredefinitoparagrafo"/>
    <w:link w:val="Intestazione"/>
    <w:uiPriority w:val="99"/>
    <w:rPr>
      <w:color w:val="243782"/>
      <w:lang w:val="it-IT"/>
    </w:rPr>
  </w:style>
  <w:style w:type="paragraph" w:styleId="Pidipagina">
    <w:name w:val="footer"/>
    <w:basedOn w:val="Normale"/>
    <w:link w:val="PidipaginaCarattere"/>
    <w:uiPriority w:val="99"/>
    <w:pPr>
      <w:jc w:val="left"/>
    </w:pPr>
    <w:rPr>
      <w:color w:val="243782"/>
    </w:rPr>
  </w:style>
  <w:style w:type="character" w:customStyle="1" w:styleId="PidipaginaCarattere">
    <w:name w:val="Piè di pagina Carattere"/>
    <w:basedOn w:val="Carpredefinitoparagrafo"/>
    <w:link w:val="Pidipagina"/>
    <w:uiPriority w:val="99"/>
    <w:rPr>
      <w:color w:val="243782"/>
      <w:lang w:val="it-IT"/>
    </w:rPr>
  </w:style>
  <w:style w:type="character" w:styleId="Collegamentoipertestuale">
    <w:name w:val="Hyperlink"/>
    <w:basedOn w:val="Carpredefinitoparagrafo"/>
    <w:uiPriority w:val="99"/>
    <w:rPr>
      <w:color w:val="243782"/>
      <w:u w:val="none"/>
    </w:rPr>
  </w:style>
  <w:style w:type="character" w:styleId="Testosegnaposto">
    <w:name w:val="Placeholder Text"/>
    <w:basedOn w:val="Carpredefinitoparagrafo"/>
    <w:uiPriority w:val="99"/>
    <w:rPr>
      <w:color w:val="808080"/>
    </w:rPr>
  </w:style>
  <w:style w:type="character" w:styleId="Numeropagina">
    <w:name w:val="page number"/>
    <w:basedOn w:val="Carpredefinitoparagrafo"/>
    <w:uiPriority w:val="99"/>
  </w:style>
  <w:style w:type="paragraph" w:customStyle="1" w:styleId="SSubject">
    <w:name w:val="S_Subject"/>
    <w:basedOn w:val="Normale"/>
    <w:next w:val="Normale"/>
    <w:qFormat/>
    <w:pPr>
      <w:spacing w:before="1800" w:after="480"/>
      <w:contextualSpacing/>
      <w:jc w:val="center"/>
    </w:pPr>
    <w:rPr>
      <w:rFonts w:ascii="Encode Sans ExpandedSemiBold" w:hAnsi="Encode Sans ExpandedSemiBold"/>
      <w:noProof/>
      <w:color w:val="243782"/>
      <w:szCs w:val="24"/>
    </w:rPr>
  </w:style>
  <w:style w:type="paragraph" w:customStyle="1" w:styleId="STITLE">
    <w:name w:val="S_TITLE"/>
    <w:basedOn w:val="Normale"/>
    <w:next w:val="Normale"/>
    <w:uiPriority w:val="1"/>
    <w:qFormat/>
    <w:pPr>
      <w:keepNext/>
      <w:spacing w:before="240"/>
      <w:jc w:val="left"/>
    </w:pPr>
    <w:rPr>
      <w:caps/>
      <w:color w:val="243782"/>
      <w:szCs w:val="18"/>
    </w:rPr>
  </w:style>
  <w:style w:type="paragraph" w:styleId="Paragrafoelenco">
    <w:name w:val="List Paragraph"/>
    <w:basedOn w:val="Normale"/>
    <w:uiPriority w:val="34"/>
    <w:qFormat/>
    <w:pPr>
      <w:ind w:left="720"/>
      <w:contextualSpacing/>
    </w:pPr>
  </w:style>
  <w:style w:type="paragraph" w:customStyle="1" w:styleId="SBullet">
    <w:name w:val="S_Bullet"/>
    <w:basedOn w:val="Normale"/>
    <w:uiPriority w:val="2"/>
    <w:qFormat/>
    <w:pPr>
      <w:numPr>
        <w:numId w:val="11"/>
      </w:numPr>
      <w:ind w:left="794" w:hanging="227"/>
    </w:pPr>
    <w:rPr>
      <w:rFonts w:ascii="Encode Sans ExpandedSemiBold" w:hAnsi="Encode Sans ExpandedSemiBold"/>
    </w:rPr>
  </w:style>
  <w:style w:type="paragraph" w:customStyle="1" w:styleId="SDatePlace">
    <w:name w:val="S_Date + Place"/>
    <w:basedOn w:val="Normale"/>
    <w:qFormat/>
    <w:pPr>
      <w:jc w:val="left"/>
    </w:pPr>
    <w:rPr>
      <w:szCs w:val="18"/>
    </w:rPr>
  </w:style>
  <w:style w:type="character" w:customStyle="1" w:styleId="UnresolvedMention">
    <w:name w:val="Unresolved Mention"/>
    <w:basedOn w:val="Carpredefinitoparagrafo"/>
    <w:uiPriority w:val="99"/>
    <w:rPr>
      <w:color w:val="605E5C"/>
      <w:shd w:val="clear" w:color="auto" w:fill="E1DFDD"/>
    </w:rPr>
  </w:style>
  <w:style w:type="paragraph" w:customStyle="1" w:styleId="SContact-Title">
    <w:name w:val="S_Contact - Title"/>
    <w:basedOn w:val="Normale"/>
    <w:next w:val="SContact-Sendersinfo"/>
    <w:qFormat/>
    <w:pPr>
      <w:spacing w:before="360"/>
    </w:pPr>
    <w:rPr>
      <w:rFonts w:ascii="Encode Sans ExpandedSemiBold" w:hAnsi="Encode Sans ExpandedSemiBold"/>
      <w:color w:val="243782"/>
    </w:rPr>
  </w:style>
  <w:style w:type="paragraph" w:customStyle="1" w:styleId="SContact-Sendersinfo">
    <w:name w:val="S_Contact - Sender's info"/>
    <w:basedOn w:val="Normale"/>
    <w:qFormat/>
    <w:pPr>
      <w:spacing w:before="240" w:line="360" w:lineRule="auto"/>
      <w:contextualSpacing/>
    </w:pPr>
    <w:rPr>
      <w:rFonts w:ascii="Encode Sans ExpandedSemiBold" w:hAnsi="Encode Sans ExpandedSemiBold"/>
      <w:color w:val="243782"/>
    </w:rPr>
  </w:style>
  <w:style w:type="paragraph" w:customStyle="1" w:styleId="SFooter-Emailwebsite">
    <w:name w:val="S_Footer - Email + website"/>
    <w:basedOn w:val="Normale"/>
    <w:qFormat/>
    <w:pPr>
      <w:spacing w:before="120"/>
      <w:contextualSpacing/>
    </w:pPr>
    <w:rPr>
      <w:color w:val="243782"/>
    </w:rPr>
  </w:style>
  <w:style w:type="paragraph" w:customStyle="1" w:styleId="SPRESSRELEASE-TITLE">
    <w:name w:val="S_PRESS RELEASE - TITLE"/>
    <w:basedOn w:val="Normale"/>
    <w:qFormat/>
    <w:rPr>
      <w:sz w:val="26"/>
      <w:szCs w:val="24"/>
    </w:rPr>
  </w:style>
  <w:style w:type="paragraph" w:customStyle="1" w:styleId="SPagination">
    <w:name w:val="S_Pagination"/>
    <w:basedOn w:val="Pidipagina"/>
    <w:qFormat/>
    <w:pPr>
      <w:jc w:val="center"/>
    </w:pPr>
    <w:rPr>
      <w:sz w:val="16"/>
      <w:szCs w:val="14"/>
    </w:rPr>
  </w:style>
  <w:style w:type="character" w:customStyle="1" w:styleId="SPaginationCar">
    <w:name w:val="S_Pagination Car"/>
    <w:basedOn w:val="PidipaginaCarattere"/>
    <w:rPr>
      <w:rFonts w:ascii="Encode Sans ExpandedLight" w:hAnsi="Encode Sans ExpandedLight"/>
      <w:color w:val="243782"/>
      <w:szCs w:val="14"/>
      <w:lang w:val="it-IT"/>
    </w:rPr>
  </w:style>
  <w:style w:type="paragraph" w:customStyle="1" w:styleId="SSubtitle">
    <w:name w:val="S_Subtitle"/>
    <w:basedOn w:val="SSubject"/>
    <w:qFormat/>
    <w:pPr>
      <w:spacing w:before="480"/>
      <w:jc w:val="left"/>
    </w:pPr>
    <w:rPr>
      <w:i/>
    </w:rPr>
  </w:style>
  <w:style w:type="paragraph" w:customStyle="1" w:styleId="STextitalic">
    <w:name w:val="S_Text italic"/>
    <w:basedOn w:val="Normale"/>
    <w:qFormat/>
    <w:rPr>
      <w:i/>
    </w:rPr>
  </w:style>
  <w:style w:type="paragraph" w:styleId="NormaleWeb">
    <w:name w:val="Normal (Web)"/>
    <w:basedOn w:val="Normale"/>
    <w:uiPriority w:val="99"/>
    <w:pPr>
      <w:spacing w:before="120" w:after="120"/>
    </w:pPr>
    <w:rPr>
      <w:rFonts w:ascii="Times New Roman" w:hAnsi="Times New Roman" w:cs="Times New Roman"/>
      <w:szCs w:val="24"/>
    </w:rPr>
  </w:style>
  <w:style w:type="paragraph" w:customStyle="1" w:styleId="OpelHeadlineArial">
    <w:name w:val="Opel Headline Arial"/>
    <w:basedOn w:val="Normale"/>
    <w:pPr>
      <w:spacing w:after="0" w:line="360" w:lineRule="atLeast"/>
      <w:jc w:val="left"/>
    </w:pPr>
    <w:rPr>
      <w:rFonts w:ascii="Arial" w:hAnsi="Arial" w:cs="Times New Roman"/>
      <w:b/>
      <w:sz w:val="26"/>
      <w:szCs w:val="24"/>
    </w:rPr>
  </w:style>
  <w:style w:type="paragraph" w:styleId="Testofumetto">
    <w:name w:val="Balloon Text"/>
    <w:basedOn w:val="Normale"/>
    <w:link w:val="TestofumettoCarattere"/>
    <w:uiPriority w:val="99"/>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rPr>
      <w:rFonts w:ascii="Segoe UI" w:hAnsi="Segoe UI" w:cs="Segoe UI"/>
      <w:sz w:val="18"/>
      <w:szCs w:val="18"/>
      <w:lang w:val="it-IT"/>
    </w:rPr>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styleId="Rimandocommento">
    <w:name w:val="annotation reference"/>
    <w:basedOn w:val="Carpredefinitoparagrafo"/>
    <w:uiPriority w:val="99"/>
    <w:rPr>
      <w:sz w:val="16"/>
    </w:rPr>
  </w:style>
  <w:style w:type="paragraph" w:styleId="Corpotesto">
    <w:name w:val="Body Text"/>
    <w:basedOn w:val="Normale"/>
    <w:link w:val="CorpotestoCarattere"/>
    <w:uiPriority w:val="99"/>
    <w:pPr>
      <w:widowControl/>
      <w:spacing w:after="0"/>
      <w:jc w:val="left"/>
    </w:pPr>
    <w:rPr>
      <w:sz w:val="18"/>
      <w:szCs w:val="24"/>
    </w:rPr>
  </w:style>
  <w:style w:type="character" w:customStyle="1" w:styleId="CorpotestoCarattere">
    <w:name w:val="Corpo testo Carattere"/>
    <w:basedOn w:val="Carpredefinitoparagrafo"/>
    <w:link w:val="Corpotesto"/>
    <w:uiPriority w:val="99"/>
    <w:semiHidden/>
    <w:rPr>
      <w:rFonts w:ascii="Encode Sans ExpandedLight" w:hAnsi="Encode Sans ExpandedLight"/>
      <w:sz w:val="24"/>
      <w:szCs w:val="16"/>
    </w:rPr>
  </w:style>
  <w:style w:type="paragraph" w:styleId="Testocommento">
    <w:name w:val="annotation text"/>
    <w:basedOn w:val="Normale"/>
    <w:next w:val="STITLE"/>
    <w:link w:val="TestocommentoCarattere"/>
    <w:uiPriority w:val="99"/>
    <w:pPr>
      <w:widowControl/>
      <w:spacing w:after="0"/>
      <w:jc w:val="left"/>
    </w:pPr>
    <w:rPr>
      <w:sz w:val="20"/>
      <w:szCs w:val="24"/>
    </w:rPr>
  </w:style>
  <w:style w:type="character" w:customStyle="1" w:styleId="TestocommentoCarattere">
    <w:name w:val="Testo commento Carattere"/>
    <w:basedOn w:val="Carpredefinitoparagrafo"/>
    <w:link w:val="Testocommento"/>
    <w:uiPriority w:val="99"/>
    <w:semiHidden/>
    <w:rPr>
      <w:rFonts w:ascii="Encode Sans ExpandedLight" w:hAnsi="Encode Sans ExpandedLight"/>
      <w:sz w:val="20"/>
      <w:szCs w:val="20"/>
    </w:rPr>
  </w:style>
  <w:style w:type="paragraph" w:styleId="Mappadocumento">
    <w:name w:val="Document Map"/>
    <w:basedOn w:val="Normale"/>
    <w:next w:val="SDatePlace"/>
    <w:link w:val="MappadocumentoCarattere"/>
    <w:uiPriority w:val="99"/>
    <w:pPr>
      <w:widowControl/>
      <w:shd w:val="clear" w:color="auto" w:fill="000080"/>
      <w:spacing w:after="0"/>
      <w:jc w:val="left"/>
    </w:pPr>
    <w:rPr>
      <w:rFonts w:ascii="Tahoma" w:hAnsi="Tahoma"/>
      <w:szCs w:val="24"/>
    </w:rPr>
  </w:style>
  <w:style w:type="character" w:customStyle="1" w:styleId="MappadocumentoCarattere">
    <w:name w:val="Mappa documento Carattere"/>
    <w:basedOn w:val="Carpredefinitoparagrafo"/>
    <w:link w:val="Mappadocumento"/>
    <w:uiPriority w:val="99"/>
    <w:semiHidden/>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U063870\Downloads\www.stellantis.com\en\investors\stock-and-shareholder-info\egm-8-march-2021"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D:\users\U063870\Downloads\www.stellantis.com"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ellantis.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tellantis.com"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1510</Words>
  <Characters>8607</Characters>
  <Application>Microsoft Office Word</Application>
  <DocSecurity>0</DocSecurity>
  <Lines>71</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2021-03-09T20:49:00Z</dcterms:created>
  <dcterms:modified xsi:type="dcterms:W3CDTF">2021-03-09T20:49:00Z</dcterms:modified>
</cp:coreProperties>
</file>