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952064">
      <w:pPr>
        <w:spacing w:line="288" w:lineRule="auto"/>
        <w:ind w:left="360"/>
        <w:jc w:val="right"/>
        <w:rPr>
          <w:rFonts w:ascii="Encode Sans" w:eastAsia="Encode Sans" w:hAnsi="Encode Sans" w:cs="Encode Sans"/>
          <w:b/>
          <w:color w:val="243782"/>
          <w:sz w:val="18"/>
        </w:rPr>
      </w:pPr>
      <w:bookmarkStart w:id="0" w:name="Section1"/>
      <w:bookmarkStart w:id="1" w:name="_GoBack"/>
      <w:bookmarkEnd w:id="0"/>
      <w:bookmarkEnd w:id="1"/>
      <w:r>
        <w:rPr>
          <w:rFonts w:ascii="Encode Sans" w:eastAsia="Encode Sans" w:hAnsi="Encode Sans" w:cs="Encode Sans"/>
          <w:b/>
          <w:sz w:val="18"/>
        </w:rPr>
        <w:t>Exhibit 99.1</w:t>
      </w:r>
    </w:p>
    <w:p w:rsidR="00A77B3E" w:rsidRDefault="00952064">
      <w:pPr>
        <w:spacing w:after="60" w:line="288" w:lineRule="auto"/>
        <w:ind w:left="360"/>
        <w:rPr>
          <w:rFonts w:ascii="Encode Sans" w:eastAsia="Encode Sans" w:hAnsi="Encode Sans" w:cs="Encode Sans"/>
          <w:b/>
          <w:color w:val="243782"/>
          <w:sz w:val="26"/>
        </w:rPr>
      </w:pPr>
      <w:r>
        <w:rPr>
          <w:rFonts w:ascii="Encode Sans" w:eastAsia="Encode Sans" w:hAnsi="Encode Sans" w:cs="Encode Sans"/>
          <w:b/>
          <w:color w:val="243782"/>
          <w:sz w:val="26"/>
        </w:rPr>
        <w:t>Strong Q1 2021 Net revenues, with growth in all regions</w:t>
      </w:r>
    </w:p>
    <w:p w:rsidR="00A77B3E" w:rsidRDefault="00952064" w:rsidP="00952064">
      <w:pPr>
        <w:numPr>
          <w:ilvl w:val="0"/>
          <w:numId w:val="2"/>
        </w:numPr>
        <w:spacing w:after="60" w:line="288" w:lineRule="auto"/>
        <w:rPr>
          <w:rFonts w:ascii="Encode Sans" w:eastAsia="Encode Sans" w:hAnsi="Encode Sans" w:cs="Encode Sans"/>
          <w:b/>
          <w:color w:val="243782"/>
          <w:sz w:val="20"/>
        </w:rPr>
      </w:pPr>
      <w:r>
        <w:rPr>
          <w:rFonts w:ascii="Encode Sans" w:eastAsia="Encode Sans" w:hAnsi="Encode Sans" w:cs="Encode Sans"/>
          <w:b/>
          <w:color w:val="243782"/>
          <w:sz w:val="20"/>
        </w:rPr>
        <w:t>Net revenues of €34.3 billion, or €37.0 billion on a pro forma basis</w:t>
      </w:r>
      <w:r>
        <w:rPr>
          <w:rFonts w:ascii="Encode Sans" w:eastAsia="Encode Sans" w:hAnsi="Encode Sans" w:cs="Encode Sans"/>
          <w:b/>
          <w:color w:val="243782"/>
          <w:sz w:val="20"/>
          <w:vertAlign w:val="superscript"/>
        </w:rPr>
        <w:t>(1)</w:t>
      </w:r>
      <w:r>
        <w:rPr>
          <w:rFonts w:ascii="Encode Sans" w:eastAsia="Encode Sans" w:hAnsi="Encode Sans" w:cs="Encode Sans"/>
          <w:b/>
          <w:color w:val="243782"/>
          <w:sz w:val="20"/>
        </w:rPr>
        <w:t xml:space="preserve"> up 14%</w:t>
      </w:r>
    </w:p>
    <w:p w:rsidR="00A77B3E" w:rsidRDefault="00952064" w:rsidP="00952064">
      <w:pPr>
        <w:numPr>
          <w:ilvl w:val="0"/>
          <w:numId w:val="2"/>
        </w:numPr>
        <w:spacing w:after="60" w:line="288" w:lineRule="auto"/>
        <w:rPr>
          <w:rFonts w:ascii="Encode Sans" w:eastAsia="Encode Sans" w:hAnsi="Encode Sans" w:cs="Encode Sans"/>
          <w:b/>
          <w:color w:val="243782"/>
          <w:sz w:val="20"/>
        </w:rPr>
      </w:pPr>
      <w:r>
        <w:rPr>
          <w:rFonts w:ascii="Encode Sans" w:eastAsia="Encode Sans" w:hAnsi="Encode Sans" w:cs="Encode Sans"/>
          <w:b/>
          <w:color w:val="243782"/>
          <w:sz w:val="20"/>
        </w:rPr>
        <w:t>Consolidated shipments of 1,477 thousand units, or 1,567 thousand units on a pro forma basis</w:t>
      </w:r>
      <w:r>
        <w:rPr>
          <w:rFonts w:ascii="Encode Sans" w:eastAsia="Encode Sans" w:hAnsi="Encode Sans" w:cs="Encode Sans"/>
          <w:b/>
          <w:color w:val="243782"/>
          <w:sz w:val="20"/>
          <w:vertAlign w:val="superscript"/>
        </w:rPr>
        <w:t>(1)</w:t>
      </w:r>
      <w:r>
        <w:rPr>
          <w:rFonts w:ascii="Encode Sans" w:eastAsia="Encode Sans" w:hAnsi="Encode Sans" w:cs="Encode Sans"/>
          <w:b/>
          <w:color w:val="243782"/>
          <w:sz w:val="20"/>
        </w:rPr>
        <w:t xml:space="preserve"> up 11%</w:t>
      </w:r>
    </w:p>
    <w:p w:rsidR="00A77B3E" w:rsidRDefault="00952064" w:rsidP="00952064">
      <w:pPr>
        <w:numPr>
          <w:ilvl w:val="0"/>
          <w:numId w:val="2"/>
        </w:numPr>
        <w:spacing w:after="60" w:line="288" w:lineRule="auto"/>
        <w:rPr>
          <w:rFonts w:ascii="Encode Sans" w:eastAsia="Encode Sans" w:hAnsi="Encode Sans" w:cs="Encode Sans"/>
          <w:b/>
          <w:color w:val="243782"/>
          <w:sz w:val="20"/>
        </w:rPr>
      </w:pPr>
      <w:r>
        <w:rPr>
          <w:rFonts w:ascii="Encode Sans" w:eastAsia="Encode Sans" w:hAnsi="Encode Sans" w:cs="Encode Sans"/>
          <w:b/>
          <w:color w:val="243782"/>
          <w:sz w:val="20"/>
        </w:rPr>
        <w:t>Market leadership</w:t>
      </w:r>
      <w:r>
        <w:rPr>
          <w:rFonts w:ascii="Encode Sans" w:eastAsia="Encode Sans" w:hAnsi="Encode Sans" w:cs="Encode Sans"/>
          <w:b/>
          <w:color w:val="243782"/>
          <w:sz w:val="20"/>
          <w:vertAlign w:val="superscript"/>
        </w:rPr>
        <w:t>(2)</w:t>
      </w:r>
      <w:r>
        <w:rPr>
          <w:rFonts w:ascii="Encode Sans" w:eastAsia="Encode Sans" w:hAnsi="Encode Sans" w:cs="Encode Sans"/>
          <w:b/>
          <w:color w:val="243782"/>
          <w:sz w:val="20"/>
        </w:rPr>
        <w:t xml:space="preserve"> in Europe 30</w:t>
      </w:r>
      <w:r>
        <w:rPr>
          <w:rFonts w:ascii="Encode Sans" w:eastAsia="Encode Sans" w:hAnsi="Encode Sans" w:cs="Encode Sans"/>
          <w:b/>
          <w:color w:val="243782"/>
          <w:sz w:val="20"/>
          <w:vertAlign w:val="superscript"/>
        </w:rPr>
        <w:t>(3)</w:t>
      </w:r>
      <w:r>
        <w:rPr>
          <w:rFonts w:ascii="Encode Sans" w:eastAsia="Encode Sans" w:hAnsi="Encode Sans" w:cs="Encode Sans"/>
          <w:b/>
          <w:color w:val="243782"/>
          <w:sz w:val="20"/>
        </w:rPr>
        <w:t xml:space="preserve">, with market share improved by 150 bps to 23.6%, and South America, with market share up 530 bps to 22.2%  </w:t>
      </w:r>
    </w:p>
    <w:p w:rsidR="00A77B3E" w:rsidRDefault="00952064" w:rsidP="00952064">
      <w:pPr>
        <w:numPr>
          <w:ilvl w:val="0"/>
          <w:numId w:val="2"/>
        </w:numPr>
        <w:spacing w:after="60" w:line="288" w:lineRule="auto"/>
        <w:rPr>
          <w:rFonts w:ascii="Encode Sans" w:eastAsia="Encode Sans" w:hAnsi="Encode Sans" w:cs="Encode Sans"/>
          <w:b/>
          <w:color w:val="243782"/>
          <w:sz w:val="20"/>
        </w:rPr>
      </w:pPr>
      <w:r>
        <w:rPr>
          <w:rFonts w:ascii="Encode Sans" w:eastAsia="Encode Sans" w:hAnsi="Encode Sans" w:cs="Encode Sans"/>
          <w:b/>
          <w:color w:val="243782"/>
          <w:sz w:val="20"/>
        </w:rPr>
        <w:t>Extraordinary distribution to shareholders of €0.32/share paid on April 28</w:t>
      </w:r>
    </w:p>
    <w:p w:rsidR="00A77B3E" w:rsidRDefault="00952064">
      <w:pPr>
        <w:spacing w:before="180" w:after="180" w:line="288" w:lineRule="auto"/>
        <w:ind w:left="360"/>
        <w:rPr>
          <w:rFonts w:ascii="Encode Sans" w:eastAsia="Encode Sans" w:hAnsi="Encode Sans" w:cs="Encode Sans"/>
          <w:b/>
          <w:color w:val="243782"/>
          <w:sz w:val="21"/>
          <w:vertAlign w:val="superscript"/>
        </w:rPr>
      </w:pPr>
      <w:r>
        <w:rPr>
          <w:rFonts w:ascii="Encode Sans" w:eastAsia="Encode Sans" w:hAnsi="Encode Sans" w:cs="Encode Sans"/>
          <w:i/>
          <w:color w:val="243782"/>
          <w:sz w:val="21"/>
        </w:rPr>
        <w:t>“In our first quarter since the Merg</w:t>
      </w:r>
      <w:r>
        <w:rPr>
          <w:rFonts w:ascii="Encode Sans" w:eastAsia="Encode Sans" w:hAnsi="Encode Sans" w:cs="Encode Sans"/>
          <w:i/>
          <w:color w:val="243782"/>
          <w:sz w:val="21"/>
        </w:rPr>
        <w:t xml:space="preserve">er, </w:t>
      </w:r>
      <w:proofErr w:type="spellStart"/>
      <w:r>
        <w:rPr>
          <w:rFonts w:ascii="Encode Sans" w:eastAsia="Encode Sans" w:hAnsi="Encode Sans" w:cs="Encode Sans"/>
          <w:i/>
          <w:color w:val="243782"/>
          <w:sz w:val="21"/>
        </w:rPr>
        <w:t>Stellantis</w:t>
      </w:r>
      <w:proofErr w:type="spellEnd"/>
      <w:r>
        <w:rPr>
          <w:rFonts w:ascii="Encode Sans" w:eastAsia="Encode Sans" w:hAnsi="Encode Sans" w:cs="Encode Sans"/>
          <w:i/>
          <w:color w:val="243782"/>
          <w:sz w:val="21"/>
        </w:rPr>
        <w:t xml:space="preserve"> posted strong Q1 2021 revenues with the diverse brand portfolio driving increased volumes, positive pricing and improved product mix, despite the headwinds from the global semiconductor crisis.” - </w:t>
      </w:r>
      <w:r>
        <w:rPr>
          <w:rFonts w:ascii="Encode Sans" w:eastAsia="Encode Sans" w:hAnsi="Encode Sans" w:cs="Encode Sans"/>
          <w:b/>
          <w:i/>
          <w:color w:val="243782"/>
          <w:sz w:val="21"/>
        </w:rPr>
        <w:t xml:space="preserve">Richard Palmer, </w:t>
      </w:r>
      <w:proofErr w:type="spellStart"/>
      <w:r>
        <w:rPr>
          <w:rFonts w:ascii="Encode Sans" w:eastAsia="Encode Sans" w:hAnsi="Encode Sans" w:cs="Encode Sans"/>
          <w:b/>
          <w:i/>
          <w:color w:val="243782"/>
          <w:sz w:val="21"/>
        </w:rPr>
        <w:t>Stellantis</w:t>
      </w:r>
      <w:proofErr w:type="spellEnd"/>
      <w:r>
        <w:rPr>
          <w:rFonts w:ascii="Encode Sans" w:eastAsia="Encode Sans" w:hAnsi="Encode Sans" w:cs="Encode Sans"/>
          <w:b/>
          <w:i/>
          <w:color w:val="243782"/>
          <w:sz w:val="21"/>
        </w:rPr>
        <w:t xml:space="preserve"> CFO</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12"/>
        <w:gridCol w:w="112"/>
        <w:gridCol w:w="1466"/>
        <w:gridCol w:w="112"/>
        <w:gridCol w:w="1466"/>
        <w:gridCol w:w="74"/>
        <w:gridCol w:w="1467"/>
        <w:gridCol w:w="112"/>
        <w:gridCol w:w="1467"/>
        <w:gridCol w:w="112"/>
        <w:gridCol w:w="1466"/>
      </w:tblGrid>
      <w:tr w:rsidR="00D763F2">
        <w:trPr>
          <w:cantSplit/>
          <w:trHeight w:hRule="exact" w:val="645"/>
          <w:tblHeader/>
        </w:trPr>
        <w:tc>
          <w:tcPr>
            <w:tcW w:w="2565" w:type="dxa"/>
            <w:tcBorders>
              <w:top w:val="single" w:sz="8" w:space="0" w:color="4C639D"/>
              <w:left w:val="single" w:sz="8" w:space="0" w:color="4C639D"/>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color w:val="243782"/>
                <w:sz w:val="17"/>
              </w:rPr>
            </w:pPr>
            <w:r>
              <w:rPr>
                <w:rFonts w:ascii="Encode Sans" w:eastAsia="Encode Sans" w:hAnsi="Encode Sans" w:cs="Encode Sans"/>
                <w:color w:val="243782"/>
                <w:sz w:val="17"/>
              </w:rPr>
              <w:t xml:space="preserve">2021 FIRST </w:t>
            </w:r>
            <w:r>
              <w:rPr>
                <w:rFonts w:ascii="Encode Sans" w:eastAsia="Encode Sans" w:hAnsi="Encode Sans" w:cs="Encode Sans"/>
                <w:color w:val="243782"/>
                <w:sz w:val="17"/>
              </w:rPr>
              <w:t xml:space="preserve">QUARTER RESULTS </w:t>
            </w:r>
            <w:r>
              <w:rPr>
                <w:rFonts w:ascii="Encode Sans" w:eastAsia="Encode Sans" w:hAnsi="Encode Sans" w:cs="Encode Sans"/>
                <w:color w:val="243782"/>
                <w:sz w:val="16"/>
              </w:rPr>
              <w:t>FROM CONTINUING OPERATIONS</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pPr>
          </w:p>
          <w:p w:rsidR="00D763F2" w:rsidRDefault="00952064">
            <w:pPr>
              <w:spacing w:after="30" w:line="288" w:lineRule="auto"/>
              <w:jc w:val="center"/>
            </w:pPr>
            <w:r>
              <w:rPr>
                <w:rFonts w:ascii="Encode Sans" w:eastAsia="Encode Sans" w:hAnsi="Encode Sans" w:cs="Encode Sans"/>
                <w:b/>
                <w:color w:val="FFFFFF"/>
                <w:sz w:val="20"/>
              </w:rPr>
              <w:t>Q1 2021</w:t>
            </w:r>
          </w:p>
        </w:tc>
        <w:tc>
          <w:tcPr>
            <w:tcW w:w="6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47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20"/>
              </w:rPr>
              <w:t>Q1 2020</w:t>
            </w:r>
          </w:p>
        </w:tc>
        <w:tc>
          <w:tcPr>
            <w:tcW w:w="6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b/>
                <w:i/>
                <w:color w:val="FFFFFF"/>
                <w:sz w:val="20"/>
              </w:rPr>
            </w:pPr>
            <w:r>
              <w:rPr>
                <w:rFonts w:ascii="Encode Sans" w:eastAsia="Encode Sans" w:hAnsi="Encode Sans" w:cs="Encode Sans"/>
                <w:b/>
                <w:color w:val="FFFFFF"/>
                <w:sz w:val="20"/>
              </w:rPr>
              <w:t xml:space="preserve">Q1 2021 </w:t>
            </w:r>
          </w:p>
          <w:p w:rsidR="00D763F2" w:rsidRDefault="00952064">
            <w:pPr>
              <w:spacing w:after="30" w:line="288" w:lineRule="auto"/>
              <w:jc w:val="center"/>
              <w:rPr>
                <w:rFonts w:ascii="Encode Sans" w:eastAsia="Encode Sans" w:hAnsi="Encode Sans" w:cs="Encode Sans"/>
                <w:b/>
                <w:color w:val="FFFFFF"/>
                <w:sz w:val="20"/>
              </w:rPr>
            </w:pPr>
            <w:r>
              <w:rPr>
                <w:rFonts w:ascii="Encode Sans" w:eastAsia="Encode Sans" w:hAnsi="Encode Sans" w:cs="Encode Sans"/>
                <w:b/>
                <w:i/>
                <w:color w:val="FFFFFF"/>
                <w:sz w:val="20"/>
              </w:rPr>
              <w:t>Pro Forma</w:t>
            </w:r>
            <w:r>
              <w:rPr>
                <w:rFonts w:ascii="Encode Sans" w:eastAsia="Encode Sans" w:hAnsi="Encode Sans" w:cs="Encode Sans"/>
                <w:b/>
                <w:color w:val="FFFFFF"/>
                <w:sz w:val="20"/>
                <w:vertAlign w:val="superscript"/>
              </w:rPr>
              <w:t>(1)</w:t>
            </w:r>
          </w:p>
        </w:tc>
        <w:tc>
          <w:tcPr>
            <w:tcW w:w="6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47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b/>
                <w:i/>
                <w:color w:val="243782"/>
                <w:sz w:val="20"/>
              </w:rPr>
            </w:pPr>
            <w:r>
              <w:rPr>
                <w:rFonts w:ascii="Encode Sans" w:eastAsia="Encode Sans" w:hAnsi="Encode Sans" w:cs="Encode Sans"/>
                <w:b/>
                <w:color w:val="243782"/>
                <w:sz w:val="20"/>
              </w:rPr>
              <w:t xml:space="preserve">Q1 2020 </w:t>
            </w:r>
          </w:p>
          <w:p w:rsidR="00D763F2" w:rsidRDefault="00952064">
            <w:pPr>
              <w:spacing w:after="30" w:line="288" w:lineRule="auto"/>
              <w:jc w:val="center"/>
              <w:rPr>
                <w:rFonts w:ascii="Encode Sans" w:eastAsia="Encode Sans" w:hAnsi="Encode Sans" w:cs="Encode Sans"/>
                <w:b/>
                <w:color w:val="243782"/>
                <w:sz w:val="20"/>
              </w:rPr>
            </w:pPr>
            <w:r>
              <w:rPr>
                <w:rFonts w:ascii="Encode Sans" w:eastAsia="Encode Sans" w:hAnsi="Encode Sans" w:cs="Encode Sans"/>
                <w:b/>
                <w:i/>
                <w:color w:val="243782"/>
                <w:sz w:val="20"/>
              </w:rPr>
              <w:t>Pro Forma</w:t>
            </w:r>
            <w:r>
              <w:rPr>
                <w:rFonts w:ascii="Encode Sans" w:eastAsia="Encode Sans" w:hAnsi="Encode Sans" w:cs="Encode Sans"/>
                <w:b/>
                <w:color w:val="243782"/>
                <w:sz w:val="20"/>
                <w:vertAlign w:val="superscript"/>
              </w:rPr>
              <w:t>(1)</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4C639D"/>
              <w:right w:val="single" w:sz="8" w:space="0" w:color="4C639D"/>
            </w:tcBorders>
            <w:tcMar>
              <w:top w:w="0" w:type="dxa"/>
              <w:left w:w="53" w:type="dxa"/>
              <w:bottom w:w="0" w:type="dxa"/>
              <w:right w:w="53" w:type="dxa"/>
            </w:tcMar>
            <w:vAlign w:val="bottom"/>
          </w:tcPr>
          <w:p w:rsidR="00D763F2" w:rsidRDefault="00952064">
            <w:pPr>
              <w:keepNext/>
              <w:spacing w:before="55" w:line="288" w:lineRule="auto"/>
              <w:jc w:val="center"/>
            </w:pPr>
            <w:r>
              <w:rPr>
                <w:rFonts w:ascii="Encode Sans" w:eastAsia="Encode Sans" w:hAnsi="Encode Sans" w:cs="Encode Sans"/>
                <w:b/>
                <w:color w:val="243782"/>
                <w:sz w:val="15"/>
              </w:rPr>
              <w:t>Q1 2021 Pro Forma</w:t>
            </w:r>
          </w:p>
          <w:p w:rsidR="00D763F2" w:rsidRDefault="00952064">
            <w:pPr>
              <w:spacing w:line="288" w:lineRule="auto"/>
              <w:jc w:val="center"/>
            </w:pPr>
            <w:r>
              <w:rPr>
                <w:rFonts w:ascii="Encode Sans" w:eastAsia="Encode Sans" w:hAnsi="Encode Sans" w:cs="Encode Sans"/>
                <w:b/>
                <w:color w:val="243782"/>
                <w:sz w:val="15"/>
              </w:rPr>
              <w:t xml:space="preserve">vs. </w:t>
            </w:r>
          </w:p>
          <w:p w:rsidR="00D763F2" w:rsidRDefault="00952064">
            <w:pPr>
              <w:spacing w:after="30" w:line="288" w:lineRule="auto"/>
              <w:jc w:val="center"/>
            </w:pPr>
            <w:r>
              <w:rPr>
                <w:rFonts w:ascii="Encode Sans" w:eastAsia="Encode Sans" w:hAnsi="Encode Sans" w:cs="Encode Sans"/>
                <w:b/>
                <w:color w:val="243782"/>
                <w:sz w:val="15"/>
              </w:rPr>
              <w:t xml:space="preserve">Q1 2020 Pro Forma </w:t>
            </w:r>
          </w:p>
        </w:tc>
      </w:tr>
      <w:tr w:rsidR="00D763F2">
        <w:trPr>
          <w:cantSplit/>
          <w:trHeight w:hRule="exact" w:val="300"/>
        </w:trPr>
        <w:tc>
          <w:tcPr>
            <w:tcW w:w="2565" w:type="dxa"/>
            <w:tcBorders>
              <w:top w:val="single" w:sz="8" w:space="0" w:color="4C639D"/>
              <w:left w:val="single" w:sz="8" w:space="0" w:color="4C639D"/>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243782"/>
                <w:sz w:val="15"/>
              </w:rPr>
              <w:t>Combined shipments (000 units)</w:t>
            </w:r>
          </w:p>
        </w:tc>
        <w:tc>
          <w:tcPr>
            <w:tcW w:w="75"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75"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D9D9D9"/>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20"/>
              </w:rPr>
              <w:t>1,526</w:t>
            </w:r>
          </w:p>
        </w:tc>
        <w:tc>
          <w:tcPr>
            <w:tcW w:w="60"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470" w:type="dxa"/>
            <w:tcBorders>
              <w:top w:val="single" w:sz="8" w:space="0" w:color="4C639D"/>
              <w:left w:val="nil"/>
              <w:bottom w:val="single" w:sz="8" w:space="0" w:color="D9D9D9"/>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626</w:t>
            </w:r>
          </w:p>
        </w:tc>
        <w:tc>
          <w:tcPr>
            <w:tcW w:w="6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D9D9D9"/>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20"/>
              </w:rPr>
              <w:t>1,618</w:t>
            </w:r>
          </w:p>
        </w:tc>
        <w:tc>
          <w:tcPr>
            <w:tcW w:w="60" w:type="dxa"/>
            <w:tcBorders>
              <w:top w:val="single" w:sz="8" w:space="0" w:color="4C639D"/>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center"/>
            </w:pPr>
          </w:p>
        </w:tc>
        <w:tc>
          <w:tcPr>
            <w:tcW w:w="1470" w:type="dxa"/>
            <w:tcBorders>
              <w:top w:val="single" w:sz="8" w:space="0" w:color="4C639D"/>
              <w:left w:val="nil"/>
              <w:bottom w:val="single" w:sz="8" w:space="0" w:color="D9D9D9"/>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1,444</w:t>
            </w:r>
          </w:p>
        </w:tc>
        <w:tc>
          <w:tcPr>
            <w:tcW w:w="75"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1470" w:type="dxa"/>
            <w:tcBorders>
              <w:top w:val="single" w:sz="8" w:space="0" w:color="4C639D"/>
              <w:left w:val="nil"/>
              <w:bottom w:val="single" w:sz="8" w:space="0" w:color="D9D9D9"/>
              <w:right w:val="single" w:sz="8" w:space="0" w:color="4C639D"/>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+12%</w:t>
            </w:r>
          </w:p>
        </w:tc>
      </w:tr>
      <w:tr w:rsidR="00D763F2">
        <w:trPr>
          <w:cantSplit/>
          <w:trHeight w:hRule="exact" w:val="360"/>
        </w:trPr>
        <w:tc>
          <w:tcPr>
            <w:tcW w:w="2565" w:type="dxa"/>
            <w:tcBorders>
              <w:top w:val="single" w:sz="8" w:space="0" w:color="D9D9D9"/>
              <w:left w:val="single" w:sz="8" w:space="0" w:color="4C639D"/>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243782"/>
                <w:sz w:val="15"/>
              </w:rPr>
              <w:t>Consolidated shipments (000 units)</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470" w:type="dxa"/>
            <w:tcBorders>
              <w:top w:val="single" w:sz="8" w:space="0" w:color="D9D9D9"/>
              <w:left w:val="nil"/>
              <w:bottom w:val="single" w:sz="8" w:space="0" w:color="D9D9D9"/>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20"/>
              </w:rPr>
              <w:t>1,477</w:t>
            </w:r>
          </w:p>
        </w:tc>
        <w:tc>
          <w:tcPr>
            <w:tcW w:w="60"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470" w:type="dxa"/>
            <w:tcBorders>
              <w:top w:val="single" w:sz="8" w:space="0" w:color="D9D9D9"/>
              <w:left w:val="nil"/>
              <w:bottom w:val="single" w:sz="8" w:space="0" w:color="D9D9D9"/>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620</w:t>
            </w:r>
          </w:p>
        </w:tc>
        <w:tc>
          <w:tcPr>
            <w:tcW w:w="60" w:type="dxa"/>
            <w:tcBorders>
              <w:top w:val="single" w:sz="8" w:space="0" w:color="D9D9D9"/>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center"/>
            </w:pPr>
          </w:p>
        </w:tc>
        <w:tc>
          <w:tcPr>
            <w:tcW w:w="1470" w:type="dxa"/>
            <w:tcBorders>
              <w:top w:val="single" w:sz="8" w:space="0" w:color="D9D9D9"/>
              <w:left w:val="nil"/>
              <w:bottom w:val="single" w:sz="8" w:space="0" w:color="D9D9D9"/>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20"/>
              </w:rPr>
              <w:t>1,567</w:t>
            </w:r>
          </w:p>
        </w:tc>
        <w:tc>
          <w:tcPr>
            <w:tcW w:w="60" w:type="dxa"/>
            <w:tcBorders>
              <w:top w:val="single" w:sz="8" w:space="0" w:color="D9D9D9"/>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center"/>
            </w:pPr>
          </w:p>
        </w:tc>
        <w:tc>
          <w:tcPr>
            <w:tcW w:w="1470" w:type="dxa"/>
            <w:tcBorders>
              <w:top w:val="single" w:sz="8" w:space="0" w:color="D9D9D9"/>
              <w:left w:val="nil"/>
              <w:bottom w:val="single" w:sz="8" w:space="0" w:color="D9D9D9"/>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1,417</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470" w:type="dxa"/>
            <w:tcBorders>
              <w:top w:val="single" w:sz="8" w:space="0" w:color="D9D9D9"/>
              <w:left w:val="nil"/>
              <w:bottom w:val="single" w:sz="8" w:space="0" w:color="D9D9D9"/>
              <w:right w:val="single" w:sz="8" w:space="0" w:color="4C639D"/>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20"/>
              </w:rPr>
              <w:t>+11%</w:t>
            </w:r>
          </w:p>
        </w:tc>
      </w:tr>
      <w:tr w:rsidR="00D763F2">
        <w:trPr>
          <w:cantSplit/>
          <w:trHeight w:hRule="exact" w:val="360"/>
        </w:trPr>
        <w:tc>
          <w:tcPr>
            <w:tcW w:w="2565" w:type="dxa"/>
            <w:tcBorders>
              <w:top w:val="single" w:sz="8" w:space="0" w:color="D9D9D9"/>
              <w:left w:val="single" w:sz="8" w:space="0" w:color="4C639D"/>
              <w:bottom w:val="single" w:sz="8" w:space="0" w:color="4C639D"/>
              <w:right w:val="nil"/>
            </w:tcBorders>
            <w:tcMar>
              <w:top w:w="0" w:type="dxa"/>
              <w:left w:w="53" w:type="dxa"/>
              <w:bottom w:w="0" w:type="dxa"/>
              <w:right w:w="53" w:type="dxa"/>
            </w:tcMar>
            <w:vAlign w:val="bottom"/>
          </w:tcPr>
          <w:p w:rsidR="00D763F2" w:rsidRDefault="00952064">
            <w:pPr>
              <w:spacing w:before="55" w:after="30" w:line="288" w:lineRule="auto"/>
              <w:rPr>
                <w:rFonts w:ascii="Encode Sans" w:eastAsia="Encode Sans" w:hAnsi="Encode Sans" w:cs="Encode Sans"/>
                <w:i/>
                <w:color w:val="243782"/>
                <w:sz w:val="15"/>
              </w:rPr>
            </w:pPr>
            <w:r>
              <w:rPr>
                <w:rFonts w:ascii="Encode Sans" w:eastAsia="Encode Sans" w:hAnsi="Encode Sans" w:cs="Encode Sans"/>
                <w:color w:val="243782"/>
                <w:sz w:val="15"/>
              </w:rPr>
              <w:t>Net revenues (€ billion)</w:t>
            </w: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spacing w:before="55" w:after="30" w:line="288" w:lineRule="auto"/>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spacing w:before="55" w:after="30" w:line="288" w:lineRule="auto"/>
            </w:pPr>
          </w:p>
        </w:tc>
        <w:tc>
          <w:tcPr>
            <w:tcW w:w="1470" w:type="dxa"/>
            <w:tcBorders>
              <w:top w:val="single" w:sz="8" w:space="0" w:color="D9D9D9"/>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55" w:after="30" w:line="288" w:lineRule="auto"/>
              <w:jc w:val="center"/>
            </w:pPr>
            <w:r>
              <w:rPr>
                <w:rFonts w:ascii="Encode Sans" w:eastAsia="Encode Sans" w:hAnsi="Encode Sans" w:cs="Encode Sans"/>
                <w:color w:val="FFFFFF"/>
                <w:sz w:val="20"/>
              </w:rPr>
              <w:t>€34.3</w:t>
            </w:r>
          </w:p>
        </w:tc>
        <w:tc>
          <w:tcPr>
            <w:tcW w:w="60"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spacing w:before="55" w:after="30" w:line="288" w:lineRule="auto"/>
              <w:jc w:val="center"/>
            </w:pPr>
          </w:p>
        </w:tc>
        <w:tc>
          <w:tcPr>
            <w:tcW w:w="1470" w:type="dxa"/>
            <w:tcBorders>
              <w:top w:val="single" w:sz="8" w:space="0" w:color="D9D9D9"/>
              <w:left w:val="nil"/>
              <w:bottom w:val="single" w:sz="8" w:space="0" w:color="4C639D"/>
              <w:right w:val="nil"/>
            </w:tcBorders>
            <w:tcMar>
              <w:top w:w="0" w:type="dxa"/>
              <w:left w:w="53" w:type="dxa"/>
              <w:bottom w:w="0" w:type="dxa"/>
              <w:right w:w="15" w:type="dxa"/>
            </w:tcMar>
            <w:vAlign w:val="bottom"/>
          </w:tcPr>
          <w:p w:rsidR="00D763F2" w:rsidRDefault="00952064">
            <w:pPr>
              <w:spacing w:before="55" w:after="30" w:line="288" w:lineRule="auto"/>
              <w:jc w:val="center"/>
            </w:pPr>
            <w:r>
              <w:rPr>
                <w:rFonts w:ascii="Encode Sans" w:eastAsia="Encode Sans" w:hAnsi="Encode Sans" w:cs="Encode Sans"/>
                <w:color w:val="243782"/>
                <w:sz w:val="20"/>
              </w:rPr>
              <w:t>€11.9</w:t>
            </w:r>
          </w:p>
        </w:tc>
        <w:tc>
          <w:tcPr>
            <w:tcW w:w="60" w:type="dxa"/>
            <w:tcBorders>
              <w:top w:val="single" w:sz="8" w:space="0" w:color="D9D9D9"/>
              <w:left w:val="nil"/>
              <w:bottom w:val="single" w:sz="8" w:space="0" w:color="4C639D"/>
              <w:right w:val="nil"/>
            </w:tcBorders>
            <w:tcMar>
              <w:top w:w="0" w:type="dxa"/>
              <w:left w:w="53" w:type="dxa"/>
              <w:bottom w:w="0" w:type="dxa"/>
              <w:right w:w="15" w:type="dxa"/>
            </w:tcMar>
            <w:vAlign w:val="bottom"/>
          </w:tcPr>
          <w:p w:rsidR="00D763F2" w:rsidRDefault="00D763F2">
            <w:pPr>
              <w:spacing w:before="55" w:after="30" w:line="288" w:lineRule="auto"/>
              <w:jc w:val="center"/>
            </w:pPr>
          </w:p>
        </w:tc>
        <w:tc>
          <w:tcPr>
            <w:tcW w:w="1470" w:type="dxa"/>
            <w:tcBorders>
              <w:top w:val="single" w:sz="8" w:space="0" w:color="D9D9D9"/>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55" w:after="30" w:line="288" w:lineRule="auto"/>
              <w:jc w:val="center"/>
            </w:pPr>
            <w:r>
              <w:rPr>
                <w:rFonts w:ascii="Encode Sans" w:eastAsia="Encode Sans" w:hAnsi="Encode Sans" w:cs="Encode Sans"/>
                <w:color w:val="FFFFFF"/>
                <w:sz w:val="20"/>
              </w:rPr>
              <w:t>€37.0</w:t>
            </w:r>
          </w:p>
        </w:tc>
        <w:tc>
          <w:tcPr>
            <w:tcW w:w="60" w:type="dxa"/>
            <w:tcBorders>
              <w:top w:val="single" w:sz="8" w:space="0" w:color="D9D9D9"/>
              <w:left w:val="nil"/>
              <w:bottom w:val="single" w:sz="8" w:space="0" w:color="4C639D"/>
              <w:right w:val="nil"/>
            </w:tcBorders>
            <w:tcMar>
              <w:top w:w="0" w:type="dxa"/>
              <w:left w:w="53" w:type="dxa"/>
              <w:bottom w:w="0" w:type="dxa"/>
              <w:right w:w="15" w:type="dxa"/>
            </w:tcMar>
            <w:vAlign w:val="bottom"/>
          </w:tcPr>
          <w:p w:rsidR="00D763F2" w:rsidRDefault="00D763F2">
            <w:pPr>
              <w:spacing w:before="55" w:after="30" w:line="288" w:lineRule="auto"/>
              <w:jc w:val="center"/>
            </w:pPr>
          </w:p>
        </w:tc>
        <w:tc>
          <w:tcPr>
            <w:tcW w:w="1470" w:type="dxa"/>
            <w:tcBorders>
              <w:top w:val="single" w:sz="8" w:space="0" w:color="D9D9D9"/>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55" w:after="30" w:line="288" w:lineRule="auto"/>
              <w:jc w:val="center"/>
            </w:pPr>
            <w:r>
              <w:rPr>
                <w:rFonts w:ascii="Encode Sans" w:eastAsia="Encode Sans" w:hAnsi="Encode Sans" w:cs="Encode Sans"/>
                <w:color w:val="243782"/>
                <w:sz w:val="20"/>
              </w:rPr>
              <w:t>€32.4</w:t>
            </w: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spacing w:before="55" w:after="30" w:line="288" w:lineRule="auto"/>
              <w:jc w:val="center"/>
            </w:pPr>
          </w:p>
        </w:tc>
        <w:tc>
          <w:tcPr>
            <w:tcW w:w="1470" w:type="dxa"/>
            <w:tcBorders>
              <w:top w:val="single" w:sz="8" w:space="0" w:color="D9D9D9"/>
              <w:left w:val="nil"/>
              <w:bottom w:val="single" w:sz="8" w:space="0" w:color="4C639D"/>
              <w:right w:val="single" w:sz="8" w:space="0" w:color="4C639D"/>
            </w:tcBorders>
            <w:tcMar>
              <w:top w:w="0" w:type="dxa"/>
              <w:left w:w="53" w:type="dxa"/>
              <w:bottom w:w="0" w:type="dxa"/>
              <w:right w:w="15" w:type="dxa"/>
            </w:tcMar>
            <w:vAlign w:val="bottom"/>
          </w:tcPr>
          <w:p w:rsidR="00D763F2" w:rsidRDefault="00952064">
            <w:pPr>
              <w:spacing w:before="55" w:after="30" w:line="288" w:lineRule="auto"/>
              <w:jc w:val="center"/>
            </w:pPr>
            <w:r>
              <w:rPr>
                <w:rFonts w:ascii="Encode Sans" w:eastAsia="Encode Sans" w:hAnsi="Encode Sans" w:cs="Encode Sans"/>
                <w:color w:val="243782"/>
                <w:sz w:val="20"/>
              </w:rPr>
              <w:t>+14%</w:t>
            </w:r>
          </w:p>
        </w:tc>
      </w:tr>
    </w:tbl>
    <w:p w:rsidR="00A77B3E" w:rsidRDefault="00952064">
      <w:pPr>
        <w:spacing w:before="60" w:line="288" w:lineRule="auto"/>
        <w:ind w:left="360"/>
        <w:rPr>
          <w:rFonts w:ascii="Encode Sans" w:eastAsia="Encode Sans" w:hAnsi="Encode Sans" w:cs="Encode Sans"/>
          <w:b/>
          <w:i/>
          <w:color w:val="243782"/>
          <w:sz w:val="20"/>
        </w:rPr>
      </w:pPr>
      <w:r>
        <w:rPr>
          <w:rFonts w:ascii="Encode Sans" w:eastAsia="Encode Sans" w:hAnsi="Encode Sans" w:cs="Encode Sans"/>
          <w:b/>
          <w:color w:val="243782"/>
          <w:sz w:val="20"/>
        </w:rPr>
        <w:t>Consolidated shipments</w:t>
      </w:r>
      <w:r>
        <w:rPr>
          <w:rFonts w:ascii="Encode Sans" w:eastAsia="Encode Sans" w:hAnsi="Encode Sans" w:cs="Encode Sans"/>
          <w:b/>
          <w:color w:val="243782"/>
          <w:sz w:val="20"/>
          <w:vertAlign w:val="superscript"/>
        </w:rPr>
        <w:t>(4)</w:t>
      </w:r>
      <w:r>
        <w:rPr>
          <w:rFonts w:ascii="Encode Sans" w:eastAsia="Encode Sans" w:hAnsi="Encode Sans" w:cs="Encode Sans"/>
          <w:b/>
          <w:color w:val="243782"/>
          <w:sz w:val="20"/>
        </w:rPr>
        <w:t xml:space="preserve"> of 1,567 thousand</w:t>
      </w:r>
      <w:r>
        <w:rPr>
          <w:rFonts w:ascii="Encode Sans" w:eastAsia="Encode Sans" w:hAnsi="Encode Sans" w:cs="Encode Sans"/>
          <w:b/>
          <w:sz w:val="20"/>
        </w:rPr>
        <w:t xml:space="preserve"> </w:t>
      </w:r>
      <w:r>
        <w:rPr>
          <w:rFonts w:ascii="Encode Sans" w:eastAsia="Encode Sans" w:hAnsi="Encode Sans" w:cs="Encode Sans"/>
          <w:sz w:val="20"/>
        </w:rPr>
        <w:t>on a pro forma basis</w:t>
      </w:r>
      <w:r>
        <w:rPr>
          <w:rFonts w:ascii="Encode Sans" w:eastAsia="Encode Sans" w:hAnsi="Encode Sans" w:cs="Encode Sans"/>
          <w:sz w:val="20"/>
          <w:vertAlign w:val="superscript"/>
        </w:rPr>
        <w:t>(1)</w:t>
      </w:r>
      <w:r>
        <w:rPr>
          <w:rFonts w:ascii="Encode Sans" w:eastAsia="Encode Sans" w:hAnsi="Encode Sans" w:cs="Encode Sans"/>
          <w:sz w:val="20"/>
        </w:rPr>
        <w:t>, up 11%, reflecting strong consumer demand and retail mix, as well as the impact of COVID-related temporary production suspensions</w:t>
      </w:r>
      <w:r>
        <w:rPr>
          <w:rFonts w:ascii="Encode Sans" w:eastAsia="Encode Sans" w:hAnsi="Encode Sans" w:cs="Encode Sans"/>
          <w:sz w:val="20"/>
        </w:rPr>
        <w:t xml:space="preserve"> in Q1 2020, partially offset by Q1 2021 production losses due to semiconductor shortages, representing a loss of ~11% of planned production, or ~190 thousand units, in the quarter. Limited visibility of full year semiconductor shortage impact, but expecte</w:t>
      </w:r>
      <w:r>
        <w:rPr>
          <w:rFonts w:ascii="Encode Sans" w:eastAsia="Encode Sans" w:hAnsi="Encode Sans" w:cs="Encode Sans"/>
          <w:sz w:val="20"/>
        </w:rPr>
        <w:t xml:space="preserve">d that Q2 2021 will be worse than Q1 2021, with some improvement in H2 2021. </w:t>
      </w:r>
      <w:r>
        <w:rPr>
          <w:rFonts w:ascii="Encode Sans" w:eastAsia="Encode Sans" w:hAnsi="Encode Sans" w:cs="Encode Sans"/>
          <w:b/>
          <w:color w:val="243782"/>
          <w:sz w:val="20"/>
        </w:rPr>
        <w:t>Combined shipments</w:t>
      </w:r>
      <w:r>
        <w:rPr>
          <w:rFonts w:ascii="Encode Sans" w:eastAsia="Encode Sans" w:hAnsi="Encode Sans" w:cs="Encode Sans"/>
          <w:b/>
          <w:color w:val="243782"/>
          <w:sz w:val="20"/>
          <w:vertAlign w:val="superscript"/>
        </w:rPr>
        <w:t>(2)</w:t>
      </w:r>
      <w:r>
        <w:rPr>
          <w:rFonts w:ascii="Encode Sans" w:eastAsia="Encode Sans" w:hAnsi="Encode Sans" w:cs="Encode Sans"/>
          <w:b/>
          <w:color w:val="243782"/>
          <w:sz w:val="20"/>
        </w:rPr>
        <w:t xml:space="preserve"> of 1,618 thousand </w:t>
      </w:r>
      <w:r>
        <w:rPr>
          <w:rFonts w:ascii="Encode Sans" w:eastAsia="Encode Sans" w:hAnsi="Encode Sans" w:cs="Encode Sans"/>
          <w:sz w:val="20"/>
        </w:rPr>
        <w:t>on a pro forma basis</w:t>
      </w:r>
      <w:r>
        <w:rPr>
          <w:rFonts w:ascii="Encode Sans" w:eastAsia="Encode Sans" w:hAnsi="Encode Sans" w:cs="Encode Sans"/>
          <w:sz w:val="20"/>
          <w:vertAlign w:val="superscript"/>
        </w:rPr>
        <w:t>(1)</w:t>
      </w:r>
      <w:r>
        <w:rPr>
          <w:rFonts w:ascii="Encode Sans" w:eastAsia="Encode Sans" w:hAnsi="Encode Sans" w:cs="Encode Sans"/>
          <w:sz w:val="20"/>
        </w:rPr>
        <w:t>, up 12%.</w:t>
      </w:r>
    </w:p>
    <w:p w:rsidR="00A77B3E" w:rsidRDefault="00952064">
      <w:pPr>
        <w:spacing w:before="180" w:line="288" w:lineRule="auto"/>
        <w:ind w:left="360"/>
        <w:rPr>
          <w:rFonts w:ascii="Encode Sans" w:eastAsia="Encode Sans" w:hAnsi="Encode Sans" w:cs="Encode Sans"/>
          <w:b/>
          <w:i/>
          <w:color w:val="243782"/>
          <w:sz w:val="20"/>
        </w:rPr>
      </w:pPr>
      <w:proofErr w:type="spellStart"/>
      <w:r>
        <w:rPr>
          <w:rFonts w:ascii="Encode Sans" w:eastAsia="Encode Sans" w:hAnsi="Encode Sans" w:cs="Encode Sans"/>
          <w:b/>
          <w:color w:val="243782"/>
          <w:sz w:val="20"/>
        </w:rPr>
        <w:t>Stellantis</w:t>
      </w:r>
      <w:proofErr w:type="spellEnd"/>
      <w:r>
        <w:rPr>
          <w:rFonts w:ascii="Encode Sans" w:eastAsia="Encode Sans" w:hAnsi="Encode Sans" w:cs="Encode Sans"/>
          <w:b/>
          <w:color w:val="243782"/>
          <w:sz w:val="20"/>
        </w:rPr>
        <w:t xml:space="preserve"> Q1 2021 Net revenues of €37.0 billion</w:t>
      </w:r>
      <w:r>
        <w:rPr>
          <w:rFonts w:ascii="Encode Sans" w:eastAsia="Encode Sans" w:hAnsi="Encode Sans" w:cs="Encode Sans"/>
          <w:b/>
          <w:sz w:val="20"/>
        </w:rPr>
        <w:t xml:space="preserve"> </w:t>
      </w:r>
      <w:r>
        <w:rPr>
          <w:rFonts w:ascii="Encode Sans" w:eastAsia="Encode Sans" w:hAnsi="Encode Sans" w:cs="Encode Sans"/>
          <w:sz w:val="20"/>
        </w:rPr>
        <w:t>on a pro forma basis</w:t>
      </w:r>
      <w:r>
        <w:rPr>
          <w:rFonts w:ascii="Encode Sans" w:eastAsia="Encode Sans" w:hAnsi="Encode Sans" w:cs="Encode Sans"/>
          <w:sz w:val="20"/>
          <w:vertAlign w:val="superscript"/>
        </w:rPr>
        <w:t>(1)</w:t>
      </w:r>
      <w:r>
        <w:rPr>
          <w:rFonts w:ascii="Encode Sans" w:eastAsia="Encode Sans" w:hAnsi="Encode Sans" w:cs="Encode Sans"/>
          <w:sz w:val="20"/>
        </w:rPr>
        <w:t xml:space="preserve">, compared to €32.4 billion in Q1 </w:t>
      </w:r>
      <w:r>
        <w:rPr>
          <w:rFonts w:ascii="Encode Sans" w:eastAsia="Encode Sans" w:hAnsi="Encode Sans" w:cs="Encode Sans"/>
          <w:sz w:val="20"/>
        </w:rPr>
        <w:t>2020</w:t>
      </w:r>
      <w:r>
        <w:rPr>
          <w:rFonts w:ascii="Encode Sans" w:eastAsia="Encode Sans" w:hAnsi="Encode Sans" w:cs="Encode Sans"/>
          <w:b/>
          <w:sz w:val="20"/>
        </w:rPr>
        <w:t xml:space="preserve"> </w:t>
      </w:r>
      <w:r>
        <w:rPr>
          <w:rFonts w:ascii="Encode Sans" w:eastAsia="Encode Sans" w:hAnsi="Encode Sans" w:cs="Encode Sans"/>
          <w:sz w:val="20"/>
        </w:rPr>
        <w:t>on a pro forma basis</w:t>
      </w:r>
      <w:r>
        <w:rPr>
          <w:rFonts w:ascii="Encode Sans" w:eastAsia="Encode Sans" w:hAnsi="Encode Sans" w:cs="Encode Sans"/>
          <w:sz w:val="20"/>
          <w:vertAlign w:val="superscript"/>
        </w:rPr>
        <w:t>(1)</w:t>
      </w:r>
      <w:r>
        <w:rPr>
          <w:rFonts w:ascii="Encode Sans" w:eastAsia="Encode Sans" w:hAnsi="Encode Sans" w:cs="Encode Sans"/>
          <w:sz w:val="20"/>
        </w:rPr>
        <w:t>,</w:t>
      </w:r>
      <w:r>
        <w:rPr>
          <w:rFonts w:ascii="Encode Sans" w:eastAsia="Encode Sans" w:hAnsi="Encode Sans" w:cs="Encode Sans"/>
          <w:sz w:val="20"/>
          <w:vertAlign w:val="superscript"/>
        </w:rPr>
        <w:t xml:space="preserve"> </w:t>
      </w:r>
      <w:r>
        <w:rPr>
          <w:rFonts w:ascii="Encode Sans" w:eastAsia="Encode Sans" w:hAnsi="Encode Sans" w:cs="Encode Sans"/>
          <w:sz w:val="20"/>
        </w:rPr>
        <w:t>primarily due to higher overall volumes, positive net pricing, improved market mix, mainly in North America and Enlarged Europe, as well as favorable vehicle mix, partially offset by negative foreign exchange translation effec</w:t>
      </w:r>
      <w:r>
        <w:rPr>
          <w:rFonts w:ascii="Encode Sans" w:eastAsia="Encode Sans" w:hAnsi="Encode Sans" w:cs="Encode Sans"/>
          <w:sz w:val="20"/>
        </w:rPr>
        <w:t>ts.</w:t>
      </w:r>
    </w:p>
    <w:p w:rsidR="00A77B3E" w:rsidRDefault="00952064">
      <w:pPr>
        <w:spacing w:before="180" w:line="288" w:lineRule="auto"/>
        <w:ind w:left="360"/>
        <w:rPr>
          <w:rFonts w:ascii="Encode Sans" w:eastAsia="Encode Sans" w:hAnsi="Encode Sans" w:cs="Encode Sans"/>
          <w:b/>
          <w:i/>
          <w:color w:val="243782"/>
          <w:sz w:val="20"/>
        </w:rPr>
      </w:pPr>
      <w:r>
        <w:rPr>
          <w:rFonts w:ascii="Encode Sans" w:eastAsia="Encode Sans" w:hAnsi="Encode Sans" w:cs="Encode Sans"/>
          <w:sz w:val="20"/>
        </w:rPr>
        <w:t xml:space="preserve">Commercial launch of all-new </w:t>
      </w:r>
      <w:r>
        <w:rPr>
          <w:rFonts w:ascii="Encode Sans" w:eastAsia="Encode Sans" w:hAnsi="Encode Sans" w:cs="Encode Sans"/>
          <w:b/>
          <w:color w:val="243782"/>
          <w:sz w:val="20"/>
        </w:rPr>
        <w:t xml:space="preserve">Opel </w:t>
      </w:r>
      <w:proofErr w:type="spellStart"/>
      <w:r>
        <w:rPr>
          <w:rFonts w:ascii="Encode Sans" w:eastAsia="Encode Sans" w:hAnsi="Encode Sans" w:cs="Encode Sans"/>
          <w:b/>
          <w:color w:val="243782"/>
          <w:sz w:val="20"/>
        </w:rPr>
        <w:t>Mokka</w:t>
      </w:r>
      <w:proofErr w:type="spellEnd"/>
      <w:r>
        <w:rPr>
          <w:rFonts w:ascii="Encode Sans" w:eastAsia="Encode Sans" w:hAnsi="Encode Sans" w:cs="Encode Sans"/>
          <w:b/>
          <w:color w:val="243782"/>
          <w:sz w:val="20"/>
        </w:rPr>
        <w:t xml:space="preserve"> </w:t>
      </w:r>
      <w:r>
        <w:rPr>
          <w:rFonts w:ascii="Encode Sans" w:eastAsia="Encode Sans" w:hAnsi="Encode Sans" w:cs="Encode Sans"/>
          <w:sz w:val="20"/>
        </w:rPr>
        <w:t>began</w:t>
      </w:r>
      <w:r>
        <w:rPr>
          <w:rFonts w:ascii="Encode Sans" w:eastAsia="Encode Sans" w:hAnsi="Encode Sans" w:cs="Encode Sans"/>
          <w:b/>
          <w:color w:val="243782"/>
          <w:sz w:val="20"/>
        </w:rPr>
        <w:t xml:space="preserve"> </w:t>
      </w:r>
      <w:r>
        <w:rPr>
          <w:rFonts w:ascii="Encode Sans" w:eastAsia="Encode Sans" w:hAnsi="Encode Sans" w:cs="Encode Sans"/>
          <w:sz w:val="20"/>
        </w:rPr>
        <w:t>in March 2021 to European consumers, representing a return to the market after being discontinued in 2019. All-new</w:t>
      </w:r>
      <w:r>
        <w:rPr>
          <w:rFonts w:ascii="Encode Sans" w:eastAsia="Encode Sans" w:hAnsi="Encode Sans" w:cs="Encode Sans"/>
          <w:b/>
          <w:color w:val="243782"/>
          <w:sz w:val="20"/>
        </w:rPr>
        <w:t xml:space="preserve"> Grand Wagoneer/Wagoneer</w:t>
      </w:r>
      <w:r>
        <w:rPr>
          <w:rFonts w:ascii="Encode Sans" w:eastAsia="Encode Sans" w:hAnsi="Encode Sans" w:cs="Encode Sans"/>
          <w:sz w:val="20"/>
        </w:rPr>
        <w:t xml:space="preserve"> and next generation</w:t>
      </w:r>
      <w:r>
        <w:rPr>
          <w:rFonts w:ascii="Encode Sans" w:eastAsia="Encode Sans" w:hAnsi="Encode Sans" w:cs="Encode Sans"/>
          <w:b/>
          <w:color w:val="243782"/>
          <w:sz w:val="20"/>
        </w:rPr>
        <w:t xml:space="preserve"> Jeep Grand Cherokee</w:t>
      </w:r>
      <w:r>
        <w:rPr>
          <w:rFonts w:ascii="Encode Sans" w:eastAsia="Encode Sans" w:hAnsi="Encode Sans" w:cs="Encode Sans"/>
          <w:color w:val="243782"/>
          <w:sz w:val="20"/>
        </w:rPr>
        <w:t xml:space="preserve"> </w:t>
      </w:r>
      <w:r>
        <w:rPr>
          <w:rFonts w:ascii="Encode Sans" w:eastAsia="Encode Sans" w:hAnsi="Encode Sans" w:cs="Encode Sans"/>
          <w:sz w:val="20"/>
        </w:rPr>
        <w:t xml:space="preserve">production launches remain </w:t>
      </w:r>
      <w:r>
        <w:rPr>
          <w:rFonts w:ascii="Encode Sans" w:eastAsia="Encode Sans" w:hAnsi="Encode Sans" w:cs="Encode Sans"/>
          <w:sz w:val="20"/>
        </w:rPr>
        <w:t xml:space="preserve">on track for late Q2 2021 and Q3 2021, respectively. All-new </w:t>
      </w:r>
      <w:r>
        <w:rPr>
          <w:rFonts w:ascii="Encode Sans" w:eastAsia="Encode Sans" w:hAnsi="Encode Sans" w:cs="Encode Sans"/>
          <w:b/>
          <w:color w:val="243782"/>
          <w:sz w:val="20"/>
        </w:rPr>
        <w:t>Grand Cherokee L (3-row)</w:t>
      </w:r>
      <w:r>
        <w:rPr>
          <w:rFonts w:ascii="Encode Sans" w:eastAsia="Encode Sans" w:hAnsi="Encode Sans" w:cs="Encode Sans"/>
          <w:sz w:val="20"/>
        </w:rPr>
        <w:t xml:space="preserve"> production commenced, with commercial launch in late Q2 2021.</w:t>
      </w:r>
    </w:p>
    <w:p w:rsidR="00A77B3E" w:rsidRDefault="00952064">
      <w:pPr>
        <w:spacing w:before="180" w:line="288" w:lineRule="auto"/>
        <w:ind w:left="360"/>
        <w:rPr>
          <w:rFonts w:ascii="Encode Sans" w:eastAsia="Encode Sans" w:hAnsi="Encode Sans" w:cs="Encode Sans"/>
          <w:b/>
          <w:i/>
          <w:color w:val="243782"/>
          <w:sz w:val="20"/>
        </w:rPr>
      </w:pPr>
      <w:r>
        <w:rPr>
          <w:rFonts w:ascii="Encode Sans" w:eastAsia="Encode Sans" w:hAnsi="Encode Sans" w:cs="Encode Sans"/>
          <w:b/>
          <w:color w:val="243782"/>
          <w:sz w:val="20"/>
        </w:rPr>
        <w:t>Total inventory of 1,234 thousand units</w:t>
      </w:r>
      <w:r>
        <w:rPr>
          <w:rFonts w:ascii="Encode Sans" w:eastAsia="Encode Sans" w:hAnsi="Encode Sans" w:cs="Encode Sans"/>
          <w:color w:val="243782"/>
          <w:sz w:val="20"/>
        </w:rPr>
        <w:t xml:space="preserve"> </w:t>
      </w:r>
      <w:r>
        <w:rPr>
          <w:rFonts w:ascii="Encode Sans" w:eastAsia="Encode Sans" w:hAnsi="Encode Sans" w:cs="Encode Sans"/>
          <w:sz w:val="20"/>
        </w:rPr>
        <w:t>at the end of March 2021, including independent dealers inventory, c</w:t>
      </w:r>
      <w:r>
        <w:rPr>
          <w:rFonts w:ascii="Encode Sans" w:eastAsia="Encode Sans" w:hAnsi="Encode Sans" w:cs="Encode Sans"/>
          <w:sz w:val="20"/>
        </w:rPr>
        <w:t>ompared to 1,256 thousand units at the end of December 2020</w:t>
      </w:r>
      <w:r>
        <w:rPr>
          <w:rFonts w:ascii="Encode Sans" w:eastAsia="Encode Sans" w:hAnsi="Encode Sans" w:cs="Encode Sans"/>
          <w:sz w:val="20"/>
          <w:vertAlign w:val="superscript"/>
        </w:rPr>
        <w:t>(5)</w:t>
      </w:r>
      <w:r>
        <w:rPr>
          <w:rFonts w:ascii="Encode Sans" w:eastAsia="Encode Sans" w:hAnsi="Encode Sans" w:cs="Encode Sans"/>
          <w:sz w:val="20"/>
        </w:rPr>
        <w:t>. Dealer inventories down in all regions from year-end, primarily due to the semiconductor shortage.</w:t>
      </w:r>
    </w:p>
    <w:p w:rsidR="00A77B3E" w:rsidRDefault="00952064">
      <w:pPr>
        <w:spacing w:before="180" w:line="288" w:lineRule="auto"/>
        <w:ind w:left="360"/>
        <w:rPr>
          <w:rFonts w:ascii="Encode Sans" w:eastAsia="Encode Sans" w:hAnsi="Encode Sans" w:cs="Encode Sans"/>
          <w:b/>
          <w:i/>
          <w:color w:val="243782"/>
          <w:sz w:val="20"/>
        </w:rPr>
      </w:pPr>
      <w:r>
        <w:rPr>
          <w:rFonts w:ascii="Encode Sans" w:eastAsia="Encode Sans" w:hAnsi="Encode Sans" w:cs="Encode Sans"/>
          <w:b/>
          <w:color w:val="243782"/>
          <w:sz w:val="20"/>
        </w:rPr>
        <w:t>2021 Industry Outlook</w:t>
      </w:r>
      <w:r>
        <w:rPr>
          <w:rFonts w:ascii="Encode Sans" w:eastAsia="Encode Sans" w:hAnsi="Encode Sans" w:cs="Encode Sans"/>
          <w:b/>
          <w:color w:val="243782"/>
          <w:sz w:val="20"/>
          <w:vertAlign w:val="superscript"/>
        </w:rPr>
        <w:t xml:space="preserve">(6) </w:t>
      </w:r>
      <w:r>
        <w:rPr>
          <w:rFonts w:ascii="Encode Sans" w:eastAsia="Encode Sans" w:hAnsi="Encode Sans" w:cs="Encode Sans"/>
          <w:sz w:val="20"/>
        </w:rPr>
        <w:t>for Group's key regions unchanged, with North America +8%, South Ame</w:t>
      </w:r>
      <w:r>
        <w:rPr>
          <w:rFonts w:ascii="Encode Sans" w:eastAsia="Encode Sans" w:hAnsi="Encode Sans" w:cs="Encode Sans"/>
          <w:sz w:val="20"/>
        </w:rPr>
        <w:t>rica +20% and Enlarged Europe +10%. Middle East &amp; Africa +15%, up from 3% previously, India &amp; Asia Pacific +10%, up from 3% previously, and China +5%, unchanged.</w:t>
      </w:r>
    </w:p>
    <w:p w:rsidR="00A77B3E" w:rsidRDefault="00952064">
      <w:pPr>
        <w:spacing w:before="180" w:line="288" w:lineRule="auto"/>
        <w:ind w:left="360"/>
        <w:rPr>
          <w:rFonts w:ascii="Encode Sans" w:eastAsia="Encode Sans" w:hAnsi="Encode Sans" w:cs="Encode Sans"/>
          <w:b/>
          <w:i/>
          <w:color w:val="243782"/>
          <w:sz w:val="20"/>
        </w:rPr>
      </w:pPr>
      <w:r>
        <w:rPr>
          <w:rFonts w:ascii="Encode Sans" w:eastAsia="Encode Sans" w:hAnsi="Encode Sans" w:cs="Encode Sans"/>
          <w:b/>
          <w:color w:val="243782"/>
          <w:sz w:val="20"/>
        </w:rPr>
        <w:t xml:space="preserve">2021 Guidance confirmed: </w:t>
      </w:r>
      <w:r>
        <w:rPr>
          <w:rFonts w:ascii="Encode Sans" w:eastAsia="Encode Sans" w:hAnsi="Encode Sans" w:cs="Encode Sans"/>
          <w:sz w:val="20"/>
        </w:rPr>
        <w:t>Adjusted Operating Income Margin</w:t>
      </w:r>
      <w:r>
        <w:rPr>
          <w:rFonts w:ascii="Encode Sans" w:eastAsia="Encode Sans" w:hAnsi="Encode Sans" w:cs="Encode Sans"/>
          <w:sz w:val="20"/>
          <w:vertAlign w:val="superscript"/>
        </w:rPr>
        <w:t>(7)</w:t>
      </w:r>
      <w:r>
        <w:rPr>
          <w:rFonts w:ascii="Encode Sans" w:eastAsia="Encode Sans" w:hAnsi="Encode Sans" w:cs="Encode Sans"/>
          <w:sz w:val="20"/>
        </w:rPr>
        <w:t xml:space="preserve"> of 5.5 - 7.5%; assumes no signifi</w:t>
      </w:r>
      <w:r>
        <w:rPr>
          <w:rFonts w:ascii="Encode Sans" w:eastAsia="Encode Sans" w:hAnsi="Encode Sans" w:cs="Encode Sans"/>
          <w:sz w:val="20"/>
        </w:rPr>
        <w:t>cant COVID-19 related lockdowns.</w:t>
      </w:r>
    </w:p>
    <w:p w:rsidR="00A77B3E" w:rsidRDefault="00952064">
      <w:pPr>
        <w:spacing w:before="180" w:line="288" w:lineRule="auto"/>
        <w:ind w:left="360"/>
        <w:rPr>
          <w:rFonts w:ascii="Encode Sans" w:eastAsia="Encode Sans" w:hAnsi="Encode Sans" w:cs="Encode Sans"/>
          <w:b/>
          <w:i/>
          <w:color w:val="243782"/>
          <w:sz w:val="20"/>
        </w:rPr>
      </w:pPr>
      <w:r>
        <w:rPr>
          <w:rFonts w:ascii="Encode Sans" w:eastAsia="Encode Sans" w:hAnsi="Encode Sans" w:cs="Encode Sans"/>
          <w:b/>
          <w:color w:val="243782"/>
          <w:sz w:val="20"/>
        </w:rPr>
        <w:t>Financial Calendar:</w:t>
      </w:r>
    </w:p>
    <w:p w:rsidR="00A77B3E" w:rsidRDefault="00952064">
      <w:pPr>
        <w:spacing w:line="288" w:lineRule="auto"/>
        <w:ind w:left="360"/>
        <w:rPr>
          <w:rFonts w:ascii="Encode Sans" w:eastAsia="Encode Sans" w:hAnsi="Encode Sans" w:cs="Encode Sans"/>
          <w:b/>
          <w:i/>
          <w:color w:val="243782"/>
          <w:sz w:val="20"/>
        </w:rPr>
      </w:pPr>
      <w:r>
        <w:rPr>
          <w:rFonts w:ascii="Encode Sans" w:eastAsia="Encode Sans" w:hAnsi="Encode Sans" w:cs="Encode Sans"/>
          <w:sz w:val="20"/>
        </w:rPr>
        <w:t>Electrification Day - July 8, 2021</w:t>
      </w:r>
    </w:p>
    <w:p w:rsidR="00A77B3E" w:rsidRDefault="00952064">
      <w:pPr>
        <w:spacing w:after="120" w:line="288" w:lineRule="auto"/>
        <w:ind w:left="360"/>
        <w:rPr>
          <w:rFonts w:ascii="Encode Sans" w:eastAsia="Encode Sans" w:hAnsi="Encode Sans" w:cs="Encode Sans"/>
          <w:b/>
          <w:i/>
          <w:color w:val="243782"/>
          <w:sz w:val="20"/>
        </w:rPr>
      </w:pPr>
      <w:r>
        <w:rPr>
          <w:rFonts w:ascii="Encode Sans" w:eastAsia="Encode Sans" w:hAnsi="Encode Sans" w:cs="Encode Sans"/>
          <w:sz w:val="20"/>
        </w:rPr>
        <w:t>H1 2021 - Full Financial Results - August 3, 2021</w:t>
      </w:r>
    </w:p>
    <w:p w:rsidR="00A77B3E" w:rsidRDefault="00952064">
      <w:pPr>
        <w:spacing w:after="60" w:line="288" w:lineRule="auto"/>
        <w:ind w:left="360"/>
        <w:rPr>
          <w:rFonts w:ascii="Encode Sans" w:eastAsia="Encode Sans" w:hAnsi="Encode Sans" w:cs="Encode Sans"/>
          <w:b/>
          <w:i/>
          <w:color w:val="243782"/>
          <w:sz w:val="17"/>
        </w:rPr>
      </w:pPr>
      <w:r>
        <w:rPr>
          <w:rFonts w:ascii="Encode Sans" w:eastAsia="Encode Sans" w:hAnsi="Encode Sans" w:cs="Encode Sans"/>
          <w:b/>
          <w:i/>
          <w:sz w:val="17"/>
        </w:rPr>
        <w:t xml:space="preserve">Basis of preparation: </w:t>
      </w:r>
      <w:r>
        <w:rPr>
          <w:rFonts w:ascii="Encode Sans" w:eastAsia="Encode Sans" w:hAnsi="Encode Sans" w:cs="Encode Sans"/>
          <w:i/>
          <w:sz w:val="17"/>
        </w:rPr>
        <w:t>“Q1 2021” and “Q1 2020” represent results as reportable under IFRS, which include</w:t>
      </w:r>
      <w:r>
        <w:rPr>
          <w:rFonts w:ascii="Encode Sans" w:eastAsia="Encode Sans" w:hAnsi="Encode Sans" w:cs="Encode Sans"/>
          <w:i/>
          <w:sz w:val="17"/>
        </w:rPr>
        <w:t xml:space="preserve"> FCA from January 17, 2021, following the closure of the Merger; “Q1 2021 Pro Forma” and “Q1 2020 Pro Forma” are presented as if the Merger had occurred January 1, 2020. Refer to the section “Notes” for additional detail.</w:t>
      </w:r>
    </w:p>
    <w:p w:rsidR="00A77B3E" w:rsidRDefault="00952064">
      <w:pPr>
        <w:spacing w:line="288" w:lineRule="auto"/>
        <w:ind w:left="360"/>
        <w:rPr>
          <w:rFonts w:ascii="Encode Sans" w:eastAsia="Encode Sans" w:hAnsi="Encode Sans" w:cs="Encode Sans"/>
          <w:b/>
          <w:i/>
          <w:color w:val="243782"/>
          <w:sz w:val="17"/>
        </w:rPr>
      </w:pPr>
      <w:r>
        <w:rPr>
          <w:rFonts w:ascii="Encode Sans" w:eastAsia="Encode Sans" w:hAnsi="Encode Sans" w:cs="Encode Sans"/>
          <w:sz w:val="17"/>
        </w:rPr>
        <w:t>Reference should be made to the se</w:t>
      </w:r>
      <w:r>
        <w:rPr>
          <w:rFonts w:ascii="Encode Sans" w:eastAsia="Encode Sans" w:hAnsi="Encode Sans" w:cs="Encode Sans"/>
          <w:sz w:val="17"/>
        </w:rPr>
        <w:t>ction “Safe Harbor Statement” included elsewhere within this document.</w:t>
      </w:r>
    </w:p>
    <w:p w:rsidR="00A77B3E" w:rsidRDefault="00A77B3E">
      <w:pPr>
        <w:spacing w:line="288" w:lineRule="auto"/>
        <w:ind w:left="360"/>
        <w:rPr>
          <w:rFonts w:ascii="Encode Sans" w:eastAsia="Encode Sans" w:hAnsi="Encode Sans" w:cs="Encode Sans"/>
          <w:b/>
          <w:i/>
          <w:color w:val="243782"/>
          <w:sz w:val="20"/>
        </w:rPr>
        <w:sectPr w:rsidR="00A77B3E">
          <w:headerReference w:type="default" r:id="rId7"/>
          <w:footerReference w:type="default" r:id="rId8"/>
          <w:type w:val="continuous"/>
          <w:pgSz w:w="12240" w:h="15840"/>
          <w:pgMar w:top="2070" w:right="990" w:bottom="720" w:left="630" w:header="270" w:footer="270" w:gutter="0"/>
          <w:cols w:space="708"/>
          <w:docGrid w:linePitch="360"/>
        </w:sectPr>
      </w:pPr>
    </w:p>
    <w:p w:rsidR="00D763F2" w:rsidRDefault="00952064">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color w:val="243782"/>
          <w:sz w:val="28"/>
        </w:rPr>
      </w:pPr>
      <w:bookmarkStart w:id="2" w:name="Section2"/>
      <w:bookmarkEnd w:id="2"/>
      <w:r>
        <w:rPr>
          <w:rFonts w:ascii="Encode Sans" w:eastAsia="Encode Sans" w:hAnsi="Encode Sans" w:cs="Encode Sans"/>
          <w:color w:val="243782"/>
          <w:sz w:val="28"/>
        </w:rPr>
        <w:lastRenderedPageBreak/>
        <w:t>REGION PERFORMANCE</w:t>
      </w:r>
    </w:p>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rPr>
          <w:rFonts w:ascii="Encode Sans" w:eastAsia="Encode Sans" w:hAnsi="Encode Sans" w:cs="Encode Sans"/>
          <w:sz w:val="2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128"/>
        <w:gridCol w:w="76"/>
        <w:gridCol w:w="1128"/>
        <w:gridCol w:w="114"/>
        <w:gridCol w:w="1128"/>
        <w:gridCol w:w="107"/>
        <w:gridCol w:w="4741"/>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NORTH AMERICA</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 xml:space="preserve">vs. Q1 2020 Pro Forma </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3"/>
              </w:numPr>
              <w:spacing w:before="55" w:after="60" w:line="288" w:lineRule="auto"/>
              <w:ind w:left="270" w:hanging="225"/>
              <w:rPr>
                <w:rFonts w:ascii="Encode Sans" w:eastAsia="Encode Sans" w:hAnsi="Encode Sans" w:cs="Encode Sans"/>
                <w:sz w:val="13"/>
              </w:rPr>
            </w:pPr>
            <w:r>
              <w:rPr>
                <w:rFonts w:ascii="Encode Sans" w:eastAsia="Encode Sans" w:hAnsi="Encode Sans" w:cs="Encode Sans"/>
                <w:sz w:val="13"/>
              </w:rPr>
              <w:t xml:space="preserve">Shipments down 4%, mainly due to Q1 2021 production losses resulting from semiconductor shortages and </w:t>
            </w:r>
            <w:r>
              <w:rPr>
                <w:rFonts w:ascii="Encode Sans" w:eastAsia="Encode Sans" w:hAnsi="Encode Sans" w:cs="Encode Sans"/>
                <w:sz w:val="13"/>
              </w:rPr>
              <w:t>discontinuation of Dodge Grand Caravan and Journey, partially offset by all-new Chrysler Voyager and impact of COVID-related temporary production suspensions in Q1 2020</w:t>
            </w:r>
          </w:p>
          <w:p w:rsidR="00D763F2" w:rsidRDefault="00952064" w:rsidP="00952064">
            <w:pPr>
              <w:numPr>
                <w:ilvl w:val="0"/>
                <w:numId w:val="3"/>
              </w:numPr>
              <w:spacing w:after="30" w:line="288" w:lineRule="auto"/>
              <w:ind w:left="270" w:hanging="225"/>
              <w:rPr>
                <w:rFonts w:ascii="Encode Sans" w:eastAsia="Encode Sans" w:hAnsi="Encode Sans" w:cs="Encode Sans"/>
                <w:sz w:val="13"/>
              </w:rPr>
            </w:pPr>
            <w:r>
              <w:rPr>
                <w:rFonts w:ascii="Encode Sans" w:eastAsia="Encode Sans" w:hAnsi="Encode Sans" w:cs="Encode Sans"/>
                <w:sz w:val="13"/>
              </w:rPr>
              <w:t xml:space="preserve">Net revenues up 9%, primarily due to favorable vehicle and market mix, as well as </w:t>
            </w:r>
            <w:r>
              <w:rPr>
                <w:rFonts w:ascii="Encode Sans" w:eastAsia="Encode Sans" w:hAnsi="Encode Sans" w:cs="Encode Sans"/>
                <w:sz w:val="13"/>
              </w:rPr>
              <w:t>strong positive net pricing, partially offset by negative foreign exchange translation effects and lower volumes</w:t>
            </w: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single" w:sz="8" w:space="0" w:color="FFFFFF"/>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451</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471</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(20)</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Net revenues </w:t>
            </w:r>
            <w:r>
              <w:rPr>
                <w:rFonts w:ascii="Encode Sans" w:eastAsia="Encode Sans" w:hAnsi="Encode Sans" w:cs="Encode Sans"/>
                <w:sz w:val="12"/>
              </w:rPr>
              <w:t>(€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15,916</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14,546</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+1,370</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1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24"/>
        <w:gridCol w:w="113"/>
        <w:gridCol w:w="1124"/>
        <w:gridCol w:w="113"/>
        <w:gridCol w:w="1124"/>
        <w:gridCol w:w="106"/>
        <w:gridCol w:w="4725"/>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SOUTH AMERICA</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vs. Q1 2020 Pro Forma</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4"/>
              </w:numPr>
              <w:spacing w:before="55" w:after="6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Shipments up 49%, primarily due to strong demand for all-new Fiat </w:t>
            </w:r>
            <w:proofErr w:type="spellStart"/>
            <w:r>
              <w:rPr>
                <w:rFonts w:ascii="Encode Sans" w:eastAsia="Encode Sans" w:hAnsi="Encode Sans" w:cs="Encode Sans"/>
                <w:sz w:val="14"/>
              </w:rPr>
              <w:t>Strada</w:t>
            </w:r>
            <w:proofErr w:type="spellEnd"/>
            <w:r>
              <w:rPr>
                <w:rFonts w:ascii="Encode Sans" w:eastAsia="Encode Sans" w:hAnsi="Encode Sans" w:cs="Encode Sans"/>
                <w:sz w:val="14"/>
              </w:rPr>
              <w:t xml:space="preserve"> and impact of COVID-related temporary production suspensions in Q1 2020</w:t>
            </w:r>
          </w:p>
          <w:p w:rsidR="00D763F2" w:rsidRDefault="00952064" w:rsidP="00952064">
            <w:pPr>
              <w:numPr>
                <w:ilvl w:val="0"/>
                <w:numId w:val="4"/>
              </w:numPr>
              <w:spacing w:after="3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Net revenues up 31%, mainly due to higher volumes, positive net pricing and improved vehicle mix, partially offset by negative foreign exchange translation effects, primarily from Brazilian real </w:t>
            </w: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nil"/>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189</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127</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+62</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Net revenues</w:t>
            </w:r>
            <w:r>
              <w:rPr>
                <w:rFonts w:ascii="Encode Sans" w:eastAsia="Encode Sans" w:hAnsi="Encode Sans" w:cs="Encode Sans"/>
                <w:sz w:val="12"/>
              </w:rPr>
              <w:t xml:space="preserve"> (€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2,101</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1,605</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+496</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1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24"/>
        <w:gridCol w:w="113"/>
        <w:gridCol w:w="1124"/>
        <w:gridCol w:w="113"/>
        <w:gridCol w:w="1124"/>
        <w:gridCol w:w="106"/>
        <w:gridCol w:w="4725"/>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ENLARGED EUROPE</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vs. Q1 2020 Pro Forma</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5"/>
              </w:numPr>
              <w:spacing w:before="55" w:after="6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Shipments up 11%, mainly due to all-new Peugeot 208 and 2008, Citroën C4 and Opel </w:t>
            </w:r>
            <w:proofErr w:type="spellStart"/>
            <w:r>
              <w:rPr>
                <w:rFonts w:ascii="Encode Sans" w:eastAsia="Encode Sans" w:hAnsi="Encode Sans" w:cs="Encode Sans"/>
                <w:sz w:val="14"/>
              </w:rPr>
              <w:t>Mokka</w:t>
            </w:r>
            <w:proofErr w:type="spellEnd"/>
            <w:r>
              <w:rPr>
                <w:rFonts w:ascii="Encode Sans" w:eastAsia="Encode Sans" w:hAnsi="Encode Sans" w:cs="Encode Sans"/>
                <w:sz w:val="14"/>
              </w:rPr>
              <w:t xml:space="preserve">, as well as the impact of COVID-related temporary production </w:t>
            </w:r>
            <w:r>
              <w:rPr>
                <w:rFonts w:ascii="Encode Sans" w:eastAsia="Encode Sans" w:hAnsi="Encode Sans" w:cs="Encode Sans"/>
                <w:sz w:val="14"/>
              </w:rPr>
              <w:t>suspensions in Q1 2020, partially offset by Q1 2021 production losses due to semiconductor shortages</w:t>
            </w:r>
          </w:p>
          <w:p w:rsidR="00D763F2" w:rsidRDefault="00952064" w:rsidP="00952064">
            <w:pPr>
              <w:numPr>
                <w:ilvl w:val="0"/>
                <w:numId w:val="5"/>
              </w:numPr>
              <w:spacing w:after="30" w:line="288" w:lineRule="auto"/>
              <w:ind w:left="270" w:hanging="225"/>
              <w:rPr>
                <w:rFonts w:ascii="Encode Sans" w:eastAsia="Encode Sans" w:hAnsi="Encode Sans" w:cs="Encode Sans"/>
                <w:sz w:val="14"/>
              </w:rPr>
            </w:pPr>
            <w:r>
              <w:rPr>
                <w:rFonts w:ascii="Encode Sans" w:eastAsia="Encode Sans" w:hAnsi="Encode Sans" w:cs="Encode Sans"/>
                <w:sz w:val="14"/>
              </w:rPr>
              <w:t>Net revenues up 15%, primarily due to higher volumes, improved vehicle mix, positive net pricing and increased revenues from owned dealers</w:t>
            </w: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nil"/>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823</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743</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+80</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Net revenues</w:t>
            </w:r>
            <w:r>
              <w:rPr>
                <w:rFonts w:ascii="Encode Sans" w:eastAsia="Encode Sans" w:hAnsi="Encode Sans" w:cs="Encode Sans"/>
                <w:sz w:val="12"/>
              </w:rPr>
              <w:t xml:space="preserve"> (€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16,029</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13,966</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+2,063</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1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24"/>
        <w:gridCol w:w="113"/>
        <w:gridCol w:w="1124"/>
        <w:gridCol w:w="113"/>
        <w:gridCol w:w="1124"/>
        <w:gridCol w:w="106"/>
        <w:gridCol w:w="4725"/>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MIDDLE EAST &amp; AFRICA</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vs. Q1 2020 Pro Forma</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6"/>
              </w:numPr>
              <w:spacing w:before="55" w:after="6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Shipments up 32%, primarily due to all-new Opel </w:t>
            </w:r>
            <w:proofErr w:type="spellStart"/>
            <w:r>
              <w:rPr>
                <w:rFonts w:ascii="Encode Sans" w:eastAsia="Encode Sans" w:hAnsi="Encode Sans" w:cs="Encode Sans"/>
                <w:sz w:val="14"/>
              </w:rPr>
              <w:t>Corsa</w:t>
            </w:r>
            <w:proofErr w:type="spellEnd"/>
            <w:r>
              <w:rPr>
                <w:rFonts w:ascii="Encode Sans" w:eastAsia="Encode Sans" w:hAnsi="Encode Sans" w:cs="Encode Sans"/>
                <w:sz w:val="14"/>
              </w:rPr>
              <w:t xml:space="preserve">, Peugeot 208 and 2008, and Citroën C3, as well as impact of COVID-related temporary production </w:t>
            </w:r>
            <w:r>
              <w:rPr>
                <w:rFonts w:ascii="Encode Sans" w:eastAsia="Encode Sans" w:hAnsi="Encode Sans" w:cs="Encode Sans"/>
                <w:sz w:val="14"/>
              </w:rPr>
              <w:t>suspensions in Q1 2020, partially offset by Q1 2021 production losses due to semiconductor shortages</w:t>
            </w:r>
          </w:p>
          <w:p w:rsidR="00D763F2" w:rsidRDefault="00952064" w:rsidP="00952064">
            <w:pPr>
              <w:numPr>
                <w:ilvl w:val="0"/>
                <w:numId w:val="6"/>
              </w:numPr>
              <w:spacing w:after="3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Net revenues up 20%, mainly due to higher volumes and positive net pricing, partially offset by negative foreign exchange translation effects, mainly from </w:t>
            </w:r>
            <w:r>
              <w:rPr>
                <w:rFonts w:ascii="Encode Sans" w:eastAsia="Encode Sans" w:hAnsi="Encode Sans" w:cs="Encode Sans"/>
                <w:sz w:val="14"/>
              </w:rPr>
              <w:t>Turkish lira</w:t>
            </w: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Combined shipments </w:t>
            </w:r>
            <w:r>
              <w:rPr>
                <w:rFonts w:ascii="Encode Sans" w:eastAsia="Encode Sans" w:hAnsi="Encode Sans" w:cs="Encode Sans"/>
                <w:sz w:val="12"/>
              </w:rPr>
              <w:t>(000s)</w:t>
            </w:r>
          </w:p>
        </w:tc>
        <w:tc>
          <w:tcPr>
            <w:tcW w:w="1110" w:type="dxa"/>
            <w:tcBorders>
              <w:top w:val="nil"/>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100</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67</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+33</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single" w:sz="4" w:space="0" w:color="7D7D7D"/>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FFFFFF"/>
                <w:sz w:val="15"/>
              </w:rPr>
              <w:t>70</w:t>
            </w:r>
          </w:p>
        </w:tc>
        <w:tc>
          <w:tcPr>
            <w:tcW w:w="75" w:type="dxa"/>
            <w:tcBorders>
              <w:top w:val="single" w:sz="4" w:space="0" w:color="7D7D7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4" w:space="0" w:color="7D7D7D"/>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000000"/>
                <w:sz w:val="15"/>
              </w:rPr>
              <w:t>53</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single" w:sz="4" w:space="0" w:color="7D7D7D"/>
              <w:left w:val="nil"/>
              <w:bottom w:val="nil"/>
              <w:right w:val="nil"/>
            </w:tcBorders>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000000"/>
                <w:sz w:val="15"/>
              </w:rPr>
              <w:t>+17</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Net revenues </w:t>
            </w:r>
            <w:r>
              <w:rPr>
                <w:rFonts w:ascii="Encode Sans" w:eastAsia="Encode Sans" w:hAnsi="Encode Sans" w:cs="Encode Sans"/>
                <w:sz w:val="12"/>
              </w:rPr>
              <w:t>(€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1,311</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1,093</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+218</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1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24"/>
        <w:gridCol w:w="113"/>
        <w:gridCol w:w="1124"/>
        <w:gridCol w:w="113"/>
        <w:gridCol w:w="1124"/>
        <w:gridCol w:w="106"/>
        <w:gridCol w:w="4725"/>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CHINA AND INDIA &amp; ASIA PACIFIC</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vs. Q1 2020 Pro Forma</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7"/>
              </w:numPr>
              <w:spacing w:before="55" w:after="60" w:line="288" w:lineRule="auto"/>
              <w:ind w:left="270" w:hanging="225"/>
              <w:rPr>
                <w:rFonts w:ascii="Encode Sans" w:eastAsia="Encode Sans" w:hAnsi="Encode Sans" w:cs="Encode Sans"/>
                <w:sz w:val="14"/>
              </w:rPr>
            </w:pPr>
            <w:r>
              <w:rPr>
                <w:rFonts w:ascii="Encode Sans" w:eastAsia="Encode Sans" w:hAnsi="Encode Sans" w:cs="Encode Sans"/>
                <w:sz w:val="14"/>
              </w:rPr>
              <w:t>Shipments up 45%, primarily due to increased volumes of Jeep Wrangler, all-new Peugeot 208, 2008 and 3008, along with</w:t>
            </w:r>
            <w:r>
              <w:rPr>
                <w:rFonts w:ascii="Encode Sans" w:eastAsia="Encode Sans" w:hAnsi="Encode Sans" w:cs="Encode Sans"/>
                <w:sz w:val="14"/>
              </w:rPr>
              <w:t xml:space="preserve"> impact of COVID-related temporary production suspensions in Q1 2020</w:t>
            </w:r>
          </w:p>
          <w:p w:rsidR="00D763F2" w:rsidRDefault="00952064" w:rsidP="00952064">
            <w:pPr>
              <w:numPr>
                <w:ilvl w:val="0"/>
                <w:numId w:val="7"/>
              </w:numPr>
              <w:spacing w:after="60" w:line="288" w:lineRule="auto"/>
              <w:ind w:left="270" w:hanging="225"/>
              <w:rPr>
                <w:rFonts w:ascii="Encode Sans" w:eastAsia="Encode Sans" w:hAnsi="Encode Sans" w:cs="Encode Sans"/>
                <w:sz w:val="14"/>
              </w:rPr>
            </w:pPr>
            <w:r>
              <w:rPr>
                <w:rFonts w:ascii="Encode Sans" w:eastAsia="Encode Sans" w:hAnsi="Encode Sans" w:cs="Encode Sans"/>
                <w:sz w:val="14"/>
              </w:rPr>
              <w:t>Net revenues up 35%, mainly due to higher volumes</w:t>
            </w:r>
          </w:p>
          <w:p w:rsidR="00D763F2" w:rsidRDefault="00D763F2">
            <w:pPr>
              <w:spacing w:after="30" w:line="288" w:lineRule="auto"/>
              <w:ind w:left="-720"/>
              <w:rPr>
                <w:rFonts w:ascii="Encode Sans" w:eastAsia="Encode Sans" w:hAnsi="Encode Sans" w:cs="Encode Sans"/>
                <w:sz w:val="14"/>
              </w:rPr>
            </w:pP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Combined shipments </w:t>
            </w:r>
            <w:r>
              <w:rPr>
                <w:rFonts w:ascii="Encode Sans" w:eastAsia="Encode Sans" w:hAnsi="Encode Sans" w:cs="Encode Sans"/>
                <w:sz w:val="12"/>
              </w:rPr>
              <w:t>(000s)</w:t>
            </w:r>
          </w:p>
        </w:tc>
        <w:tc>
          <w:tcPr>
            <w:tcW w:w="1110" w:type="dxa"/>
            <w:tcBorders>
              <w:top w:val="nil"/>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50</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33</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+17</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single" w:sz="4" w:space="0" w:color="7D7D7D"/>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FFFFFF"/>
                <w:sz w:val="15"/>
              </w:rPr>
              <w:t>29</w:t>
            </w:r>
          </w:p>
        </w:tc>
        <w:tc>
          <w:tcPr>
            <w:tcW w:w="75" w:type="dxa"/>
            <w:tcBorders>
              <w:top w:val="single" w:sz="4" w:space="0" w:color="7D7D7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4" w:space="0" w:color="7D7D7D"/>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000000"/>
                <w:sz w:val="15"/>
              </w:rPr>
              <w:t>20</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single" w:sz="4" w:space="0" w:color="7D7D7D"/>
              <w:left w:val="nil"/>
              <w:bottom w:val="nil"/>
              <w:right w:val="nil"/>
            </w:tcBorders>
            <w:tcMar>
              <w:top w:w="0" w:type="dxa"/>
              <w:left w:w="53" w:type="dxa"/>
              <w:bottom w:w="0" w:type="dxa"/>
              <w:right w:w="15" w:type="dxa"/>
            </w:tcMar>
            <w:vAlign w:val="bottom"/>
          </w:tcPr>
          <w:p w:rsidR="00D763F2" w:rsidRDefault="00952064">
            <w:pPr>
              <w:keepNext/>
              <w:spacing w:before="65" w:after="30" w:line="288" w:lineRule="auto"/>
              <w:jc w:val="center"/>
            </w:pPr>
            <w:r>
              <w:rPr>
                <w:rFonts w:ascii="Encode Sans" w:eastAsia="Encode Sans" w:hAnsi="Encode Sans" w:cs="Encode Sans"/>
                <w:color w:val="000000"/>
                <w:sz w:val="15"/>
              </w:rPr>
              <w:t>+9</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Net revenues </w:t>
            </w:r>
            <w:r>
              <w:rPr>
                <w:rFonts w:ascii="Encode Sans" w:eastAsia="Encode Sans" w:hAnsi="Encode Sans" w:cs="Encode Sans"/>
                <w:sz w:val="12"/>
              </w:rPr>
              <w:t>(€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865</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643</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+222</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10"/>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24"/>
        <w:gridCol w:w="113"/>
        <w:gridCol w:w="1124"/>
        <w:gridCol w:w="113"/>
        <w:gridCol w:w="1124"/>
        <w:gridCol w:w="106"/>
        <w:gridCol w:w="4725"/>
      </w:tblGrid>
      <w:tr w:rsidR="00D763F2">
        <w:trPr>
          <w:cantSplit/>
          <w:trHeight w:hRule="exact" w:val="315"/>
        </w:trPr>
        <w:tc>
          <w:tcPr>
            <w:tcW w:w="4470" w:type="dxa"/>
            <w:gridSpan w:val="5"/>
            <w:tcBorders>
              <w:top w:val="nil"/>
              <w:left w:val="nil"/>
              <w:bottom w:val="nil"/>
              <w:right w:val="nil"/>
            </w:tcBorders>
            <w:tcMar>
              <w:top w:w="0" w:type="dxa"/>
              <w:left w:w="53" w:type="dxa"/>
              <w:bottom w:w="0" w:type="dxa"/>
              <w:right w:w="53" w:type="dxa"/>
            </w:tcMar>
            <w:vAlign w:val="bottom"/>
          </w:tcPr>
          <w:p w:rsidR="00D763F2" w:rsidRDefault="00952064">
            <w:pPr>
              <w:keepNext/>
              <w:spacing w:before="75" w:after="30" w:line="288" w:lineRule="auto"/>
            </w:pPr>
            <w:r>
              <w:rPr>
                <w:rFonts w:ascii="Encode Sans" w:eastAsia="Encode Sans" w:hAnsi="Encode Sans" w:cs="Encode Sans"/>
                <w:color w:val="243782"/>
              </w:rPr>
              <w:t>MASERATI</w:t>
            </w:r>
          </w:p>
        </w:tc>
        <w:tc>
          <w:tcPr>
            <w:tcW w:w="1215" w:type="dxa"/>
            <w:gridSpan w:val="2"/>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tcBorders>
              <w:top w:val="nil"/>
              <w:left w:val="nil"/>
              <w:bottom w:val="single" w:sz="8" w:space="0" w:color="4C639D"/>
              <w:right w:val="nil"/>
            </w:tcBorders>
            <w:tcMar>
              <w:top w:w="0" w:type="dxa"/>
              <w:left w:w="0" w:type="dxa"/>
              <w:bottom w:w="0" w:type="dxa"/>
              <w:right w:w="0" w:type="dxa"/>
            </w:tcMar>
            <w:vAlign w:val="bottom"/>
          </w:tcPr>
          <w:p w:rsidR="00D763F2" w:rsidRDefault="00D763F2">
            <w:pPr>
              <w:keepNext/>
            </w:pPr>
          </w:p>
        </w:tc>
      </w:tr>
      <w:tr w:rsidR="00D763F2">
        <w:trPr>
          <w:cantSplit/>
          <w:trHeight w:hRule="exact" w:val="600"/>
        </w:trPr>
        <w:tc>
          <w:tcPr>
            <w:tcW w:w="2100" w:type="dxa"/>
            <w:tcBorders>
              <w:top w:val="single" w:sz="8" w:space="0" w:color="4C639D"/>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D763F2">
            <w:pPr>
              <w:keepNext/>
              <w:spacing w:before="55" w:line="288" w:lineRule="auto"/>
              <w:jc w:val="center"/>
              <w:rPr>
                <w:rFonts w:ascii="Encode Sans" w:eastAsia="Encode Sans" w:hAnsi="Encode Sans" w:cs="Encode Sans"/>
                <w:i/>
                <w:color w:val="FFFFFF"/>
                <w:sz w:val="16"/>
              </w:rPr>
            </w:pPr>
          </w:p>
          <w:p w:rsidR="00D763F2" w:rsidRDefault="00952064">
            <w:pPr>
              <w:spacing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 xml:space="preserve">Q1 2021 </w:t>
            </w:r>
          </w:p>
          <w:p w:rsidR="00D763F2" w:rsidRDefault="00952064">
            <w:pPr>
              <w:spacing w:after="30" w:line="288" w:lineRule="auto"/>
              <w:jc w:val="center"/>
              <w:rPr>
                <w:rFonts w:ascii="Encode Sans" w:eastAsia="Encode Sans" w:hAnsi="Encode Sans" w:cs="Encode Sans"/>
                <w:i/>
                <w:color w:val="FFFFFF"/>
                <w:sz w:val="16"/>
              </w:rPr>
            </w:pPr>
            <w:r>
              <w:rPr>
                <w:rFonts w:ascii="Encode Sans" w:eastAsia="Encode Sans" w:hAnsi="Encode Sans" w:cs="Encode Sans"/>
                <w:i/>
                <w:color w:val="FFFFFF"/>
                <w:sz w:val="16"/>
              </w:rPr>
              <w:t>Pro Forma</w:t>
            </w:r>
            <w:r>
              <w:rPr>
                <w:rFonts w:ascii="Encode Sans" w:eastAsia="Encode Sans" w:hAnsi="Encode Sans" w:cs="Encode Sans"/>
                <w:i/>
                <w:color w:val="FFFFFF"/>
                <w:sz w:val="16"/>
                <w:vertAlign w:val="superscript"/>
              </w:rPr>
              <w:t>(1)</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D763F2" w:rsidRDefault="00952064">
            <w:pPr>
              <w:keepNext/>
              <w:spacing w:before="55"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 xml:space="preserve">Q1 2020 </w:t>
            </w:r>
          </w:p>
          <w:p w:rsidR="00D763F2" w:rsidRDefault="00952064">
            <w:pPr>
              <w:spacing w:after="30" w:line="288" w:lineRule="auto"/>
              <w:jc w:val="center"/>
              <w:rPr>
                <w:rFonts w:ascii="Encode Sans" w:eastAsia="Encode Sans" w:hAnsi="Encode Sans" w:cs="Encode Sans"/>
                <w:i/>
                <w:color w:val="243782"/>
                <w:sz w:val="16"/>
              </w:rPr>
            </w:pPr>
            <w:r>
              <w:rPr>
                <w:rFonts w:ascii="Encode Sans" w:eastAsia="Encode Sans" w:hAnsi="Encode Sans" w:cs="Encode Sans"/>
                <w:i/>
                <w:color w:val="243782"/>
                <w:sz w:val="16"/>
              </w:rPr>
              <w:t>Pro Forma</w:t>
            </w:r>
            <w:r>
              <w:rPr>
                <w:rFonts w:ascii="Encode Sans" w:eastAsia="Encode Sans" w:hAnsi="Encode Sans" w:cs="Encode Sans"/>
                <w:i/>
                <w:color w:val="243782"/>
                <w:sz w:val="16"/>
                <w:vertAlign w:val="superscript"/>
              </w:rPr>
              <w:t>(1)</w:t>
            </w:r>
            <w:r>
              <w:rPr>
                <w:rFonts w:ascii="Encode Sans" w:eastAsia="Encode Sans" w:hAnsi="Encode Sans" w:cs="Encode Sans"/>
                <w:i/>
                <w:color w:val="243782"/>
                <w:sz w:val="16"/>
              </w:rPr>
              <w:t xml:space="preserve"> </w:t>
            </w:r>
          </w:p>
        </w:tc>
        <w:tc>
          <w:tcPr>
            <w:tcW w:w="75" w:type="dxa"/>
            <w:tcBorders>
              <w:top w:val="single" w:sz="8" w:space="0" w:color="4C639D"/>
              <w:left w:val="nil"/>
              <w:bottom w:val="nil"/>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1110"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i/>
                <w:color w:val="243782"/>
                <w:sz w:val="16"/>
              </w:rPr>
              <w:t>vs. Q1 2020 Pro Forma</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val="restart"/>
            <w:tcBorders>
              <w:top w:val="nil"/>
              <w:left w:val="nil"/>
              <w:bottom w:val="nil"/>
              <w:right w:val="nil"/>
            </w:tcBorders>
            <w:tcMar>
              <w:top w:w="0" w:type="dxa"/>
              <w:left w:w="53" w:type="dxa"/>
              <w:bottom w:w="0" w:type="dxa"/>
              <w:right w:w="53" w:type="dxa"/>
            </w:tcMar>
          </w:tcPr>
          <w:p w:rsidR="00D763F2" w:rsidRDefault="00952064" w:rsidP="00952064">
            <w:pPr>
              <w:keepNext/>
              <w:numPr>
                <w:ilvl w:val="0"/>
                <w:numId w:val="8"/>
              </w:numPr>
              <w:spacing w:before="55" w:after="60" w:line="288" w:lineRule="auto"/>
              <w:ind w:left="270" w:hanging="225"/>
              <w:rPr>
                <w:rFonts w:ascii="Encode Sans" w:eastAsia="Encode Sans" w:hAnsi="Encode Sans" w:cs="Encode Sans"/>
                <w:sz w:val="14"/>
              </w:rPr>
            </w:pPr>
            <w:r>
              <w:rPr>
                <w:rFonts w:ascii="Encode Sans" w:eastAsia="Encode Sans" w:hAnsi="Encode Sans" w:cs="Encode Sans"/>
                <w:sz w:val="14"/>
              </w:rPr>
              <w:t xml:space="preserve">Shipments up 74%, primarily due to launch of refreshed lineup, with increases across all models, particularly in China, as well as impact of COVID-related </w:t>
            </w:r>
            <w:r>
              <w:rPr>
                <w:rFonts w:ascii="Encode Sans" w:eastAsia="Encode Sans" w:hAnsi="Encode Sans" w:cs="Encode Sans"/>
                <w:sz w:val="14"/>
              </w:rPr>
              <w:t>temporary production suspensions in Q1 2020</w:t>
            </w:r>
          </w:p>
          <w:p w:rsidR="00D763F2" w:rsidRDefault="00952064" w:rsidP="00952064">
            <w:pPr>
              <w:numPr>
                <w:ilvl w:val="0"/>
                <w:numId w:val="8"/>
              </w:numPr>
              <w:spacing w:after="30" w:line="288" w:lineRule="auto"/>
              <w:ind w:left="270" w:hanging="225"/>
              <w:rPr>
                <w:rFonts w:ascii="Encode Sans" w:eastAsia="Encode Sans" w:hAnsi="Encode Sans" w:cs="Encode Sans"/>
                <w:sz w:val="14"/>
              </w:rPr>
            </w:pPr>
            <w:r>
              <w:rPr>
                <w:rFonts w:ascii="Encode Sans" w:eastAsia="Encode Sans" w:hAnsi="Encode Sans" w:cs="Encode Sans"/>
                <w:sz w:val="14"/>
              </w:rPr>
              <w:t>Net revenues up 71%, primarily due to higher volumes and favorable market mix, mainly in China</w:t>
            </w:r>
          </w:p>
        </w:tc>
      </w:tr>
      <w:tr w:rsidR="00D763F2">
        <w:trPr>
          <w:cantSplit/>
          <w:trHeight w:hRule="exact" w:val="315"/>
        </w:trPr>
        <w:tc>
          <w:tcPr>
            <w:tcW w:w="2100" w:type="dxa"/>
            <w:tcBorders>
              <w:top w:val="single" w:sz="4" w:space="0" w:color="7D7D7D"/>
              <w:left w:val="nil"/>
              <w:bottom w:val="single" w:sz="4" w:space="0" w:color="7D7D7D"/>
              <w:right w:val="nil"/>
            </w:tcBorders>
            <w:tcMar>
              <w:top w:w="0" w:type="dxa"/>
              <w:left w:w="53" w:type="dxa"/>
              <w:bottom w:w="0" w:type="dxa"/>
              <w:right w:w="53" w:type="dxa"/>
            </w:tcMar>
            <w:vAlign w:val="bottom"/>
          </w:tcPr>
          <w:p w:rsidR="00D763F2" w:rsidRDefault="00952064">
            <w:pPr>
              <w:keepNext/>
              <w:spacing w:before="65" w:after="30" w:line="288" w:lineRule="auto"/>
              <w:rPr>
                <w:rFonts w:ascii="Encode Sans" w:eastAsia="Encode Sans" w:hAnsi="Encode Sans" w:cs="Encode Sans"/>
                <w:sz w:val="14"/>
              </w:rPr>
            </w:pPr>
            <w:r>
              <w:rPr>
                <w:rFonts w:ascii="Encode Sans" w:eastAsia="Encode Sans" w:hAnsi="Encode Sans" w:cs="Encode Sans"/>
                <w:sz w:val="14"/>
              </w:rPr>
              <w:t>Shipments</w:t>
            </w:r>
            <w:r>
              <w:rPr>
                <w:rFonts w:ascii="Encode Sans" w:eastAsia="Encode Sans" w:hAnsi="Encode Sans" w:cs="Encode Sans"/>
                <w:sz w:val="12"/>
                <w:vertAlign w:val="superscript"/>
              </w:rPr>
              <w:t xml:space="preserve"> </w:t>
            </w:r>
            <w:r>
              <w:rPr>
                <w:rFonts w:ascii="Encode Sans" w:eastAsia="Encode Sans" w:hAnsi="Encode Sans" w:cs="Encode Sans"/>
                <w:sz w:val="12"/>
              </w:rPr>
              <w:t>(000s)</w:t>
            </w:r>
          </w:p>
        </w:tc>
        <w:tc>
          <w:tcPr>
            <w:tcW w:w="1110" w:type="dxa"/>
            <w:tcBorders>
              <w:top w:val="nil"/>
              <w:left w:val="nil"/>
              <w:bottom w:val="nil"/>
              <w:right w:val="nil"/>
            </w:tcBorders>
            <w:shd w:val="clear" w:color="auto" w:fill="24378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FFFFFF"/>
                <w:sz w:val="15"/>
              </w:rPr>
              <w:t>5.4</w:t>
            </w:r>
          </w:p>
        </w:tc>
        <w:tc>
          <w:tcPr>
            <w:tcW w:w="75" w:type="dxa"/>
            <w:tcBorders>
              <w:top w:val="nil"/>
              <w:left w:val="nil"/>
              <w:bottom w:val="single" w:sz="4" w:space="0" w:color="7D7D7D"/>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shd w:val="clear" w:color="auto" w:fill="F2F2F2"/>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3.1</w:t>
            </w:r>
          </w:p>
        </w:tc>
        <w:tc>
          <w:tcPr>
            <w:tcW w:w="7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1110" w:type="dxa"/>
            <w:tcBorders>
              <w:top w:val="nil"/>
              <w:left w:val="nil"/>
              <w:bottom w:val="nil"/>
              <w:right w:val="nil"/>
            </w:tcBorders>
            <w:tcMar>
              <w:top w:w="0" w:type="dxa"/>
              <w:left w:w="53" w:type="dxa"/>
              <w:bottom w:w="0" w:type="dxa"/>
              <w:right w:w="15" w:type="dxa"/>
            </w:tcMar>
            <w:vAlign w:val="bottom"/>
          </w:tcPr>
          <w:p w:rsidR="00D763F2" w:rsidRDefault="00952064">
            <w:pPr>
              <w:keepNext/>
              <w:spacing w:before="55" w:after="30" w:line="288" w:lineRule="auto"/>
              <w:jc w:val="center"/>
            </w:pPr>
            <w:r>
              <w:rPr>
                <w:rFonts w:ascii="Encode Sans" w:eastAsia="Encode Sans" w:hAnsi="Encode Sans" w:cs="Encode Sans"/>
                <w:color w:val="000000"/>
                <w:sz w:val="15"/>
              </w:rPr>
              <w:t>+2.3</w:t>
            </w:r>
          </w:p>
        </w:tc>
        <w:tc>
          <w:tcPr>
            <w:tcW w:w="105" w:type="dxa"/>
            <w:tcBorders>
              <w:top w:val="nil"/>
              <w:left w:val="nil"/>
              <w:bottom w:val="nil"/>
              <w:right w:val="nil"/>
            </w:tcBorders>
            <w:tcMar>
              <w:top w:w="0" w:type="dxa"/>
              <w:left w:w="0" w:type="dxa"/>
              <w:bottom w:w="0" w:type="dxa"/>
              <w:right w:w="0" w:type="dxa"/>
            </w:tcMar>
            <w:vAlign w:val="bottom"/>
          </w:tcPr>
          <w:p w:rsidR="00D763F2" w:rsidRDefault="00D763F2">
            <w:pPr>
              <w:keepNext/>
            </w:pPr>
          </w:p>
        </w:tc>
        <w:tc>
          <w:tcPr>
            <w:tcW w:w="4665" w:type="dxa"/>
            <w:vMerge/>
            <w:tcBorders>
              <w:top w:val="nil"/>
              <w:left w:val="nil"/>
              <w:bottom w:val="nil"/>
              <w:right w:val="nil"/>
            </w:tcBorders>
          </w:tcPr>
          <w:p w:rsidR="00D763F2" w:rsidRDefault="00D763F2">
            <w:pPr>
              <w:keepNext/>
            </w:pPr>
          </w:p>
        </w:tc>
      </w:tr>
      <w:tr w:rsidR="00D763F2">
        <w:trPr>
          <w:cantSplit/>
          <w:trHeight w:hRule="exact" w:val="315"/>
        </w:trPr>
        <w:tc>
          <w:tcPr>
            <w:tcW w:w="2100" w:type="dxa"/>
            <w:tcBorders>
              <w:top w:val="single" w:sz="4" w:space="0" w:color="7D7D7D"/>
              <w:left w:val="nil"/>
              <w:bottom w:val="single" w:sz="8" w:space="0" w:color="4C639D"/>
              <w:right w:val="nil"/>
            </w:tcBorders>
            <w:tcMar>
              <w:top w:w="0" w:type="dxa"/>
              <w:left w:w="53" w:type="dxa"/>
              <w:bottom w:w="0" w:type="dxa"/>
              <w:right w:w="53" w:type="dxa"/>
            </w:tcMar>
            <w:vAlign w:val="bottom"/>
          </w:tcPr>
          <w:p w:rsidR="00D763F2" w:rsidRDefault="00952064">
            <w:pPr>
              <w:spacing w:before="65" w:after="30" w:line="288" w:lineRule="auto"/>
              <w:rPr>
                <w:rFonts w:ascii="Encode Sans" w:eastAsia="Encode Sans" w:hAnsi="Encode Sans" w:cs="Encode Sans"/>
                <w:sz w:val="14"/>
              </w:rPr>
            </w:pPr>
            <w:r>
              <w:rPr>
                <w:rFonts w:ascii="Encode Sans" w:eastAsia="Encode Sans" w:hAnsi="Encode Sans" w:cs="Encode Sans"/>
                <w:sz w:val="14"/>
              </w:rPr>
              <w:t xml:space="preserve">Net revenues </w:t>
            </w:r>
            <w:r>
              <w:rPr>
                <w:rFonts w:ascii="Encode Sans" w:eastAsia="Encode Sans" w:hAnsi="Encode Sans" w:cs="Encode Sans"/>
                <w:sz w:val="12"/>
              </w:rPr>
              <w:t>(€ million)</w:t>
            </w:r>
          </w:p>
        </w:tc>
        <w:tc>
          <w:tcPr>
            <w:tcW w:w="1110" w:type="dxa"/>
            <w:tcBorders>
              <w:top w:val="single" w:sz="4" w:space="0" w:color="7D7D7D"/>
              <w:left w:val="nil"/>
              <w:bottom w:val="single" w:sz="8" w:space="0" w:color="4C639D"/>
              <w:right w:val="nil"/>
            </w:tcBorders>
            <w:shd w:val="clear" w:color="auto" w:fill="24378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FFFFFF"/>
                <w:sz w:val="15"/>
              </w:rPr>
              <w:t>442</w:t>
            </w:r>
          </w:p>
        </w:tc>
        <w:tc>
          <w:tcPr>
            <w:tcW w:w="75" w:type="dxa"/>
            <w:tcBorders>
              <w:top w:val="single" w:sz="4" w:space="0" w:color="7D7D7D"/>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shd w:val="clear" w:color="auto" w:fill="F2F2F2"/>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258</w:t>
            </w:r>
          </w:p>
        </w:tc>
        <w:tc>
          <w:tcPr>
            <w:tcW w:w="7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1110" w:type="dxa"/>
            <w:tcBorders>
              <w:top w:val="single" w:sz="4" w:space="0" w:color="7D7D7D"/>
              <w:left w:val="nil"/>
              <w:bottom w:val="single" w:sz="8" w:space="0" w:color="4C639D"/>
              <w:right w:val="nil"/>
            </w:tcBorders>
            <w:tcMar>
              <w:top w:w="0" w:type="dxa"/>
              <w:left w:w="53" w:type="dxa"/>
              <w:bottom w:w="0" w:type="dxa"/>
              <w:right w:w="15" w:type="dxa"/>
            </w:tcMar>
            <w:vAlign w:val="bottom"/>
          </w:tcPr>
          <w:p w:rsidR="00D763F2" w:rsidRDefault="00952064">
            <w:pPr>
              <w:spacing w:before="65" w:after="30" w:line="288" w:lineRule="auto"/>
              <w:jc w:val="center"/>
            </w:pPr>
            <w:r>
              <w:rPr>
                <w:rFonts w:ascii="Encode Sans" w:eastAsia="Encode Sans" w:hAnsi="Encode Sans" w:cs="Encode Sans"/>
                <w:color w:val="000000"/>
                <w:sz w:val="15"/>
              </w:rPr>
              <w:t>+184</w:t>
            </w:r>
          </w:p>
        </w:tc>
        <w:tc>
          <w:tcPr>
            <w:tcW w:w="105" w:type="dxa"/>
            <w:tcBorders>
              <w:top w:val="nil"/>
              <w:left w:val="nil"/>
              <w:bottom w:val="single" w:sz="8" w:space="0" w:color="4C639D"/>
              <w:right w:val="nil"/>
            </w:tcBorders>
            <w:tcMar>
              <w:top w:w="0" w:type="dxa"/>
              <w:left w:w="0" w:type="dxa"/>
              <w:bottom w:w="0" w:type="dxa"/>
              <w:right w:w="0" w:type="dxa"/>
            </w:tcMar>
            <w:vAlign w:val="bottom"/>
          </w:tcPr>
          <w:p w:rsidR="00D763F2" w:rsidRDefault="00D763F2"/>
        </w:tc>
        <w:tc>
          <w:tcPr>
            <w:tcW w:w="4665" w:type="dxa"/>
            <w:vMerge/>
            <w:tcBorders>
              <w:top w:val="nil"/>
              <w:left w:val="nil"/>
              <w:bottom w:val="single" w:sz="8" w:space="0" w:color="4C639D"/>
              <w:right w:val="nil"/>
            </w:tcBorders>
          </w:tcPr>
          <w:p w:rsidR="00D763F2" w:rsidRDefault="00D763F2"/>
        </w:tc>
      </w:tr>
    </w:tbl>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20"/>
        </w:rPr>
      </w:pPr>
    </w:p>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20"/>
        </w:rPr>
      </w:pPr>
    </w:p>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rFonts w:ascii="Encode Sans" w:eastAsia="Encode Sans" w:hAnsi="Encode Sans" w:cs="Encode Sans"/>
          <w:sz w:val="20"/>
        </w:rPr>
        <w:sectPr w:rsidR="00D763F2">
          <w:headerReference w:type="default" r:id="rId9"/>
          <w:footerReference w:type="default" r:id="rId10"/>
          <w:pgSz w:w="12240" w:h="15840"/>
          <w:pgMar w:top="2070" w:right="990" w:bottom="720" w:left="900" w:header="270" w:footer="270" w:gutter="0"/>
          <w:cols w:space="708"/>
        </w:sectPr>
      </w:pPr>
    </w:p>
    <w:p w:rsidR="00D763F2" w:rsidRDefault="00D763F2">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80" w:line="288" w:lineRule="auto"/>
        <w:rPr>
          <w:rFonts w:ascii="Encode Sans" w:eastAsia="Encode Sans" w:hAnsi="Encode Sans" w:cs="Encode Sans"/>
          <w:sz w:val="28"/>
        </w:rPr>
      </w:pPr>
      <w:bookmarkStart w:id="3" w:name="Section3"/>
      <w:bookmarkEnd w:id="3"/>
    </w:p>
    <w:p w:rsidR="00D763F2" w:rsidRDefault="00952064">
      <w:pPr>
        <w:pageBreakBefore/>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80" w:line="288" w:lineRule="auto"/>
        <w:outlineLvl w:val="0"/>
        <w:rPr>
          <w:rFonts w:ascii="Century Gothic" w:eastAsia="Century Gothic" w:hAnsi="Century Gothic" w:cs="Century Gothic"/>
          <w:color w:val="243782"/>
          <w:sz w:val="20"/>
        </w:rPr>
      </w:pPr>
      <w:r>
        <w:rPr>
          <w:rFonts w:ascii="Encode Sans" w:eastAsia="Encode Sans" w:hAnsi="Encode Sans" w:cs="Encode Sans"/>
          <w:color w:val="243782"/>
          <w:sz w:val="28"/>
        </w:rPr>
        <w:lastRenderedPageBreak/>
        <w:t>Reconciliations</w:t>
      </w:r>
    </w:p>
    <w:p w:rsidR="00D763F2" w:rsidRDefault="00952064">
      <w:pPr>
        <w:spacing w:after="100" w:line="288" w:lineRule="auto"/>
        <w:rPr>
          <w:rFonts w:ascii="Encode Sans" w:eastAsia="Encode Sans" w:hAnsi="Encode Sans" w:cs="Encode Sans"/>
          <w:color w:val="243782"/>
          <w:sz w:val="20"/>
        </w:rPr>
      </w:pPr>
      <w:r>
        <w:rPr>
          <w:rFonts w:ascii="Encode Sans" w:eastAsia="Encode Sans" w:hAnsi="Encode Sans" w:cs="Encode Sans"/>
          <w:color w:val="243782"/>
        </w:rPr>
        <w:t>Q1 2021 Net revenues</w:t>
      </w:r>
      <w:r>
        <w:rPr>
          <w:rFonts w:ascii="Encode Sans" w:eastAsia="Encode Sans" w:hAnsi="Encode Sans" w:cs="Encode Sans"/>
          <w:color w:val="243782"/>
        </w:rPr>
        <w:t xml:space="preserve"> from external customers to Net revenues Pro Forma</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67"/>
        <w:gridCol w:w="112"/>
        <w:gridCol w:w="160"/>
        <w:gridCol w:w="638"/>
        <w:gridCol w:w="96"/>
        <w:gridCol w:w="112"/>
        <w:gridCol w:w="160"/>
        <w:gridCol w:w="638"/>
        <w:gridCol w:w="96"/>
        <w:gridCol w:w="112"/>
        <w:gridCol w:w="185"/>
        <w:gridCol w:w="672"/>
        <w:gridCol w:w="98"/>
        <w:gridCol w:w="112"/>
        <w:gridCol w:w="160"/>
        <w:gridCol w:w="632"/>
        <w:gridCol w:w="96"/>
        <w:gridCol w:w="112"/>
        <w:gridCol w:w="160"/>
        <w:gridCol w:w="627"/>
        <w:gridCol w:w="96"/>
        <w:gridCol w:w="112"/>
        <w:gridCol w:w="160"/>
        <w:gridCol w:w="640"/>
        <w:gridCol w:w="99"/>
        <w:gridCol w:w="74"/>
        <w:gridCol w:w="160"/>
        <w:gridCol w:w="634"/>
        <w:gridCol w:w="96"/>
        <w:gridCol w:w="112"/>
        <w:gridCol w:w="160"/>
        <w:gridCol w:w="1007"/>
        <w:gridCol w:w="96"/>
      </w:tblGrid>
      <w:tr w:rsidR="00D763F2">
        <w:trPr>
          <w:cantSplit/>
          <w:trHeight w:hRule="exact" w:val="660"/>
          <w:tblHeader/>
        </w:trPr>
        <w:tc>
          <w:tcPr>
            <w:tcW w:w="109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color w:val="243782"/>
              </w:rPr>
              <w:t>Q1 2021</w:t>
            </w:r>
          </w:p>
        </w:tc>
        <w:tc>
          <w:tcPr>
            <w:tcW w:w="109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16"/>
              </w:rPr>
              <w:t>(€ million)</w:t>
            </w: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jc w:val="center"/>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NORTH AMERICA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SOUTH AMERICA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ENLARGED EUROPE</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MIDDLE EAST &amp; AFRICA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3"/>
              </w:rPr>
              <w:t>CHINA AND INDIA &amp; ASIA PACIFIC</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MASERATI</w:t>
            </w:r>
          </w:p>
        </w:tc>
        <w:tc>
          <w:tcPr>
            <w:tcW w:w="6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rPr>
                <w:rFonts w:ascii="Encode Sans" w:eastAsia="Encode Sans" w:hAnsi="Encode Sans" w:cs="Encode Sans"/>
                <w:b/>
                <w:color w:val="243782"/>
                <w:sz w:val="15"/>
              </w:rPr>
            </w:pPr>
            <w:r>
              <w:rPr>
                <w:rFonts w:ascii="Encode Sans" w:eastAsia="Encode Sans" w:hAnsi="Encode Sans" w:cs="Encode Sans"/>
                <w:b/>
                <w:color w:val="243782"/>
                <w:sz w:val="15"/>
              </w:rPr>
              <w:t>OTHER</w:t>
            </w:r>
            <w:r>
              <w:rPr>
                <w:rFonts w:ascii="Encode Sans" w:eastAsia="Encode Sans" w:hAnsi="Encode Sans" w:cs="Encode Sans"/>
                <w:b/>
                <w:color w:val="243782"/>
                <w:sz w:val="15"/>
                <w:vertAlign w:val="superscript"/>
              </w:rPr>
              <w:t>(*)</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1275" w:type="dxa"/>
            <w:gridSpan w:val="3"/>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FFFFFF"/>
                <w:sz w:val="16"/>
              </w:rPr>
              <w:t>STELLANTIS</w:t>
            </w:r>
          </w:p>
        </w:tc>
      </w:tr>
      <w:tr w:rsidR="00D763F2">
        <w:trPr>
          <w:cantSplit/>
          <w:trHeight w:hRule="exact" w:val="48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Net revenues from external customers</w:t>
            </w:r>
            <w:r>
              <w:rPr>
                <w:rFonts w:ascii="Encode Sans" w:eastAsia="Encode Sans" w:hAnsi="Encode Sans" w:cs="Encode Sans"/>
                <w:sz w:val="15"/>
                <w:vertAlign w:val="superscript"/>
              </w:rPr>
              <w:t>(A)</w:t>
            </w: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13,892 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1,912 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15,658 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1,275 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811 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420 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331 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FFFFFF"/>
              <w:left w:val="nil"/>
              <w:bottom w:val="single" w:sz="8" w:space="0" w:color="D9D9D9"/>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D9D9D9"/>
              <w:right w:val="nil"/>
            </w:tcBorders>
            <w:shd w:val="clear" w:color="auto" w:fill="4C639D"/>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34,299 </w:t>
            </w:r>
          </w:p>
        </w:tc>
        <w:tc>
          <w:tcPr>
            <w:tcW w:w="100" w:type="dxa"/>
            <w:tcBorders>
              <w:top w:val="single" w:sz="8" w:space="0" w:color="FFFFFF"/>
              <w:left w:val="nil"/>
              <w:bottom w:val="single" w:sz="8" w:space="0" w:color="D9D9D9"/>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66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Add: F</w:t>
            </w:r>
            <w:r>
              <w:rPr>
                <w:rFonts w:ascii="Encode Sans" w:eastAsia="Encode Sans" w:hAnsi="Encode Sans" w:cs="Encode Sans"/>
                <w:sz w:val="15"/>
              </w:rPr>
              <w:t>CA Net revenues from external customers January 1 - January 16, 2021</w:t>
            </w:r>
            <w:r>
              <w:rPr>
                <w:rFonts w:ascii="Encode Sans" w:eastAsia="Encode Sans" w:hAnsi="Encode Sans" w:cs="Encode Sans"/>
                <w:sz w:val="15"/>
                <w:vertAlign w:val="superscript"/>
              </w:rPr>
              <w:t>(B)</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2,015 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189 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335 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36 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51 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18 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D9D9D9"/>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60 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D9D9D9"/>
              <w:left w:val="nil"/>
              <w:bottom w:val="single" w:sz="8" w:space="0" w:color="D9D9D9"/>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2,704 </w:t>
            </w:r>
          </w:p>
        </w:tc>
        <w:tc>
          <w:tcPr>
            <w:tcW w:w="100" w:type="dxa"/>
            <w:tcBorders>
              <w:top w:val="single" w:sz="8" w:space="0" w:color="D9D9D9"/>
              <w:left w:val="nil"/>
              <w:bottom w:val="single" w:sz="8" w:space="0" w:color="D9D9D9"/>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36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Add: Pro forma adjustments</w:t>
            </w:r>
            <w:r>
              <w:rPr>
                <w:rFonts w:ascii="Encode Sans" w:eastAsia="Encode Sans" w:hAnsi="Encode Sans" w:cs="Encode Sans"/>
                <w:sz w:val="15"/>
                <w:vertAlign w:val="superscript"/>
              </w:rPr>
              <w:t>(C)</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(7)</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D9D9D9"/>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D9D9D9"/>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(4)</w:t>
            </w:r>
          </w:p>
        </w:tc>
        <w:tc>
          <w:tcPr>
            <w:tcW w:w="100" w:type="dxa"/>
            <w:tcBorders>
              <w:top w:val="single" w:sz="8" w:space="0" w:color="D9D9D9"/>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66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000000"/>
                <w:sz w:val="15"/>
              </w:rPr>
              <w:t>Net revenues from external customers, January 1 - March 31, 2021 Pro Forma</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15,910 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2,101 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15,986 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1,311 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862 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438 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391 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FFFFFF"/>
              <w:right w:val="nil"/>
            </w:tcBorders>
            <w:shd w:val="clear" w:color="auto" w:fill="4C639D"/>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36,999 </w:t>
            </w:r>
          </w:p>
        </w:tc>
        <w:tc>
          <w:tcPr>
            <w:tcW w:w="10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48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000000"/>
                <w:sz w:val="15"/>
              </w:rPr>
              <w:t>Net revenues from transactions with other segments</w:t>
            </w:r>
          </w:p>
        </w:tc>
        <w:tc>
          <w:tcPr>
            <w:tcW w:w="75" w:type="dxa"/>
            <w:tcBorders>
              <w:top w:val="single" w:sz="8" w:space="0" w:color="D9D9D9"/>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6 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43 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(56)</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 </w:t>
            </w:r>
          </w:p>
        </w:tc>
        <w:tc>
          <w:tcPr>
            <w:tcW w:w="10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0234D5">
        <w:trPr>
          <w:cantSplit/>
          <w:trHeight w:hRule="exact" w:val="300"/>
        </w:trPr>
        <w:tc>
          <w:tcPr>
            <w:tcW w:w="2190" w:type="dxa"/>
            <w:gridSpan w:val="2"/>
            <w:tcBorders>
              <w:top w:val="nil"/>
              <w:left w:val="nil"/>
              <w:bottom w:val="single" w:sz="8" w:space="0" w:color="4C639D"/>
              <w:right w:val="nil"/>
            </w:tcBorders>
            <w:tcMar>
              <w:top w:w="0" w:type="dxa"/>
              <w:left w:w="53" w:type="dxa"/>
              <w:bottom w:w="0" w:type="dxa"/>
              <w:right w:w="53" w:type="dxa"/>
            </w:tcMar>
            <w:vAlign w:val="bottom"/>
          </w:tcPr>
          <w:p w:rsidR="00D763F2" w:rsidRDefault="00952064">
            <w:pPr>
              <w:spacing w:before="55" w:after="30" w:line="288" w:lineRule="auto"/>
              <w:rPr>
                <w:rFonts w:ascii="Encode Sans" w:eastAsia="Encode Sans" w:hAnsi="Encode Sans" w:cs="Encode Sans"/>
                <w:b/>
                <w:color w:val="243782"/>
                <w:sz w:val="15"/>
              </w:rPr>
            </w:pPr>
            <w:r>
              <w:rPr>
                <w:rFonts w:ascii="Encode Sans" w:eastAsia="Encode Sans" w:hAnsi="Encode Sans" w:cs="Encode Sans"/>
                <w:b/>
                <w:color w:val="243782"/>
                <w:sz w:val="15"/>
              </w:rPr>
              <w:t>Net revenues Pro Forma</w:t>
            </w:r>
            <w:r>
              <w:rPr>
                <w:rFonts w:ascii="Encode Sans" w:eastAsia="Encode Sans" w:hAnsi="Encode Sans" w:cs="Encode Sans"/>
                <w:b/>
                <w:color w:val="243782"/>
                <w:sz w:val="15"/>
                <w:vertAlign w:val="superscript"/>
              </w:rPr>
              <w:t xml:space="preserve">(D) </w:t>
            </w:r>
          </w:p>
        </w:tc>
        <w:tc>
          <w:tcPr>
            <w:tcW w:w="75" w:type="dxa"/>
            <w:tcBorders>
              <w:top w:val="single" w:sz="8" w:space="0" w:color="D9D9D9"/>
              <w:left w:val="nil"/>
              <w:bottom w:val="single" w:sz="8" w:space="0" w:color="4C639D"/>
              <w:right w:val="nil"/>
            </w:tcBorders>
            <w:tcMar>
              <w:top w:w="0" w:type="dxa"/>
              <w:left w:w="0" w:type="dxa"/>
              <w:bottom w:w="0" w:type="dxa"/>
              <w:right w:w="0" w:type="dxa"/>
            </w:tcMar>
            <w:vAlign w:val="bottom"/>
          </w:tcPr>
          <w:p w:rsidR="00D763F2" w:rsidRDefault="00D763F2"/>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15,916 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2,101 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16,029 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1,311 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865 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442 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60" w:type="dxa"/>
            <w:tcBorders>
              <w:top w:val="single" w:sz="8" w:space="0" w:color="4C639D"/>
              <w:left w:val="nil"/>
              <w:bottom w:val="single" w:sz="8" w:space="0" w:color="4C639D"/>
              <w:right w:val="nil"/>
            </w:tcBorders>
            <w:shd w:val="clear" w:color="auto" w:fill="243782"/>
            <w:tcMar>
              <w:top w:w="0" w:type="dxa"/>
              <w:left w:w="53" w:type="dxa"/>
              <w:bottom w:w="0" w:type="dxa"/>
              <w:right w:w="15" w:type="dxa"/>
            </w:tcMar>
            <w:vAlign w:val="bottom"/>
          </w:tcPr>
          <w:p w:rsidR="00D763F2" w:rsidRDefault="00D763F2">
            <w:pPr>
              <w:spacing w:before="55" w:after="30" w:line="288" w:lineRule="auto"/>
              <w:jc w:val="right"/>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335 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FFFFFF"/>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36,999 </w:t>
            </w:r>
          </w:p>
        </w:tc>
        <w:tc>
          <w:tcPr>
            <w:tcW w:w="100" w:type="dxa"/>
            <w:tcBorders>
              <w:top w:val="single" w:sz="8" w:space="0" w:color="FFFFFF"/>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r>
    </w:tbl>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_</w:t>
      </w:r>
      <w:r>
        <w:rPr>
          <w:rFonts w:ascii="Encode Sans" w:eastAsia="Encode Sans" w:hAnsi="Encode Sans" w:cs="Encode Sans"/>
          <w:sz w:val="16"/>
        </w:rPr>
        <w:t>__________________________________________________________________________________________________________________</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 Other activities, unallocated items and eliminations</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 xml:space="preserve">(A) </w:t>
      </w:r>
      <w:proofErr w:type="spellStart"/>
      <w:r>
        <w:rPr>
          <w:rFonts w:ascii="Encode Sans" w:eastAsia="Encode Sans" w:hAnsi="Encode Sans" w:cs="Encode Sans"/>
          <w:sz w:val="16"/>
        </w:rPr>
        <w:t>Groupe</w:t>
      </w:r>
      <w:proofErr w:type="spellEnd"/>
      <w:r>
        <w:rPr>
          <w:rFonts w:ascii="Encode Sans" w:eastAsia="Encode Sans" w:hAnsi="Encode Sans" w:cs="Encode Sans"/>
          <w:sz w:val="16"/>
        </w:rPr>
        <w:t xml:space="preserve"> PSA (“PSA”) was identified as the accounting acquirer in the FCA-PSA merg</w:t>
      </w:r>
      <w:r>
        <w:rPr>
          <w:rFonts w:ascii="Encode Sans" w:eastAsia="Encode Sans" w:hAnsi="Encode Sans" w:cs="Encode Sans"/>
          <w:sz w:val="16"/>
        </w:rPr>
        <w:t xml:space="preserve">er, which was accounted for as a reverse acquisition, under IFRS 3 – Business Combinations, and, as such, it contributed to the results of the Group beginning January 1, 2021. FCA was consolidated into </w:t>
      </w:r>
      <w:proofErr w:type="spellStart"/>
      <w:r>
        <w:rPr>
          <w:rFonts w:ascii="Encode Sans" w:eastAsia="Encode Sans" w:hAnsi="Encode Sans" w:cs="Encode Sans"/>
          <w:sz w:val="16"/>
        </w:rPr>
        <w:t>Stellantis</w:t>
      </w:r>
      <w:proofErr w:type="spellEnd"/>
      <w:r>
        <w:rPr>
          <w:rFonts w:ascii="Encode Sans" w:eastAsia="Encode Sans" w:hAnsi="Encode Sans" w:cs="Encode Sans"/>
          <w:sz w:val="16"/>
        </w:rPr>
        <w:t xml:space="preserve"> effective January 17, 2021, the day after t</w:t>
      </w:r>
      <w:r>
        <w:rPr>
          <w:rFonts w:ascii="Encode Sans" w:eastAsia="Encode Sans" w:hAnsi="Encode Sans" w:cs="Encode Sans"/>
          <w:sz w:val="16"/>
        </w:rPr>
        <w:t>he merger became effective</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(B) FCA consolidated Net revenues, January 1 - January 16, 2021, excluding intercompany transactions</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(C) Reclassifications made to present FCA’s Net revenues January 1 - January 16, 2021 consistently with that of PSA</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(D) Pro form</w:t>
      </w:r>
      <w:r>
        <w:rPr>
          <w:rFonts w:ascii="Encode Sans" w:eastAsia="Encode Sans" w:hAnsi="Encode Sans" w:cs="Encode Sans"/>
          <w:sz w:val="16"/>
        </w:rPr>
        <w:t xml:space="preserve">a </w:t>
      </w:r>
      <w:proofErr w:type="spellStart"/>
      <w:r>
        <w:rPr>
          <w:rFonts w:ascii="Encode Sans" w:eastAsia="Encode Sans" w:hAnsi="Encode Sans" w:cs="Encode Sans"/>
          <w:sz w:val="16"/>
        </w:rPr>
        <w:t>Stellantis</w:t>
      </w:r>
      <w:proofErr w:type="spellEnd"/>
      <w:r>
        <w:rPr>
          <w:rFonts w:ascii="Encode Sans" w:eastAsia="Encode Sans" w:hAnsi="Encode Sans" w:cs="Encode Sans"/>
          <w:sz w:val="16"/>
        </w:rPr>
        <w:t xml:space="preserve"> consolidated Net revenues, January 1 - March 31, 2021</w:t>
      </w:r>
    </w:p>
    <w:p w:rsidR="00D763F2" w:rsidRDefault="00D763F2">
      <w:pPr>
        <w:spacing w:line="288" w:lineRule="auto"/>
        <w:rPr>
          <w:rFonts w:ascii="Encode Sans" w:eastAsia="Encode Sans" w:hAnsi="Encode Sans" w:cs="Encode Sans"/>
          <w:color w:val="243782"/>
          <w:sz w:val="16"/>
        </w:rPr>
      </w:pPr>
    </w:p>
    <w:p w:rsidR="00D763F2" w:rsidRDefault="00D763F2">
      <w:pPr>
        <w:spacing w:line="288" w:lineRule="auto"/>
        <w:rPr>
          <w:rFonts w:ascii="Encode Sans" w:eastAsia="Encode Sans" w:hAnsi="Encode Sans" w:cs="Encode Sans"/>
          <w:color w:val="243782"/>
          <w:sz w:val="16"/>
        </w:rPr>
      </w:pPr>
    </w:p>
    <w:p w:rsidR="00D763F2" w:rsidRDefault="00952064">
      <w:pPr>
        <w:spacing w:after="100" w:line="288" w:lineRule="auto"/>
        <w:rPr>
          <w:rFonts w:ascii="Encode Sans" w:eastAsia="Encode Sans" w:hAnsi="Encode Sans" w:cs="Encode Sans"/>
          <w:color w:val="243782"/>
        </w:rPr>
      </w:pPr>
      <w:r>
        <w:rPr>
          <w:rFonts w:ascii="Encode Sans" w:eastAsia="Encode Sans" w:hAnsi="Encode Sans" w:cs="Encode Sans"/>
          <w:color w:val="243782"/>
        </w:rPr>
        <w:t>Q1 2020 Net revenues from external customers to Net revenues Pro Forma</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6"/>
        <w:gridCol w:w="112"/>
        <w:gridCol w:w="160"/>
        <w:gridCol w:w="638"/>
        <w:gridCol w:w="96"/>
        <w:gridCol w:w="112"/>
        <w:gridCol w:w="160"/>
        <w:gridCol w:w="638"/>
        <w:gridCol w:w="96"/>
        <w:gridCol w:w="112"/>
        <w:gridCol w:w="186"/>
        <w:gridCol w:w="671"/>
        <w:gridCol w:w="98"/>
        <w:gridCol w:w="112"/>
        <w:gridCol w:w="160"/>
        <w:gridCol w:w="632"/>
        <w:gridCol w:w="96"/>
        <w:gridCol w:w="112"/>
        <w:gridCol w:w="160"/>
        <w:gridCol w:w="626"/>
        <w:gridCol w:w="96"/>
        <w:gridCol w:w="112"/>
        <w:gridCol w:w="160"/>
        <w:gridCol w:w="640"/>
        <w:gridCol w:w="99"/>
        <w:gridCol w:w="74"/>
        <w:gridCol w:w="160"/>
        <w:gridCol w:w="634"/>
        <w:gridCol w:w="96"/>
        <w:gridCol w:w="112"/>
        <w:gridCol w:w="160"/>
        <w:gridCol w:w="1006"/>
        <w:gridCol w:w="96"/>
      </w:tblGrid>
      <w:tr w:rsidR="00D763F2">
        <w:trPr>
          <w:cantSplit/>
          <w:trHeight w:hRule="exact" w:val="660"/>
          <w:tblHeader/>
        </w:trPr>
        <w:tc>
          <w:tcPr>
            <w:tcW w:w="109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color w:val="243782"/>
              </w:rPr>
              <w:t>Q1 2020</w:t>
            </w:r>
          </w:p>
        </w:tc>
        <w:tc>
          <w:tcPr>
            <w:tcW w:w="109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color w:val="243782"/>
                <w:sz w:val="16"/>
              </w:rPr>
              <w:t>(€ million)</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NORTH AMERICA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SOUTH AMERICA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ENLARGED EUROPE</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MIDDLE EAST &amp; AFRICA</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3"/>
              </w:rPr>
              <w:t xml:space="preserve">CHINA AND INDIA &amp; ASIA </w:t>
            </w:r>
            <w:r>
              <w:rPr>
                <w:rFonts w:ascii="Encode Sans" w:eastAsia="Encode Sans" w:hAnsi="Encode Sans" w:cs="Encode Sans"/>
                <w:b/>
                <w:color w:val="243782"/>
                <w:sz w:val="13"/>
              </w:rPr>
              <w:t>PACIFIC</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243782"/>
                <w:sz w:val="15"/>
              </w:rPr>
              <w:t>MASERATI</w:t>
            </w:r>
          </w:p>
        </w:tc>
        <w:tc>
          <w:tcPr>
            <w:tcW w:w="6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952064">
            <w:pPr>
              <w:keepNext/>
              <w:spacing w:before="55" w:after="30" w:line="288" w:lineRule="auto"/>
              <w:jc w:val="center"/>
              <w:rPr>
                <w:rFonts w:ascii="Encode Sans" w:eastAsia="Encode Sans" w:hAnsi="Encode Sans" w:cs="Encode Sans"/>
                <w:b/>
                <w:color w:val="243782"/>
                <w:sz w:val="15"/>
              </w:rPr>
            </w:pPr>
            <w:r>
              <w:rPr>
                <w:rFonts w:ascii="Encode Sans" w:eastAsia="Encode Sans" w:hAnsi="Encode Sans" w:cs="Encode Sans"/>
                <w:b/>
                <w:color w:val="243782"/>
                <w:sz w:val="15"/>
              </w:rPr>
              <w:t>OTHER</w:t>
            </w:r>
            <w:r>
              <w:rPr>
                <w:rFonts w:ascii="Encode Sans" w:eastAsia="Encode Sans" w:hAnsi="Encode Sans" w:cs="Encode Sans"/>
                <w:b/>
                <w:color w:val="243782"/>
                <w:sz w:val="15"/>
                <w:vertAlign w:val="superscript"/>
              </w:rPr>
              <w:t>(*)</w:t>
            </w:r>
          </w:p>
        </w:tc>
        <w:tc>
          <w:tcPr>
            <w:tcW w:w="75"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D763F2">
            <w:pPr>
              <w:keepNext/>
            </w:pPr>
          </w:p>
        </w:tc>
        <w:tc>
          <w:tcPr>
            <w:tcW w:w="1275" w:type="dxa"/>
            <w:gridSpan w:val="3"/>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D763F2" w:rsidRDefault="00952064">
            <w:pPr>
              <w:keepNext/>
              <w:spacing w:before="55" w:after="30" w:line="288" w:lineRule="auto"/>
              <w:jc w:val="center"/>
            </w:pPr>
            <w:r>
              <w:rPr>
                <w:rFonts w:ascii="Encode Sans" w:eastAsia="Encode Sans" w:hAnsi="Encode Sans" w:cs="Encode Sans"/>
                <w:b/>
                <w:color w:val="FFFFFF"/>
                <w:sz w:val="16"/>
              </w:rPr>
              <w:t>STELLANTIS</w:t>
            </w:r>
          </w:p>
        </w:tc>
      </w:tr>
      <w:tr w:rsidR="00D763F2">
        <w:trPr>
          <w:cantSplit/>
          <w:trHeight w:hRule="exact" w:val="480"/>
        </w:trPr>
        <w:tc>
          <w:tcPr>
            <w:tcW w:w="2190" w:type="dxa"/>
            <w:gridSpan w:val="2"/>
            <w:tcBorders>
              <w:top w:val="nil"/>
              <w:left w:val="nil"/>
              <w:bottom w:val="nil"/>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Net revenues from external customers, restated</w:t>
            </w:r>
            <w:r>
              <w:rPr>
                <w:rFonts w:ascii="Encode Sans" w:eastAsia="Encode Sans" w:hAnsi="Encode Sans" w:cs="Encode Sans"/>
                <w:sz w:val="15"/>
                <w:vertAlign w:val="superscript"/>
              </w:rPr>
              <w:t>(A)</w:t>
            </w:r>
          </w:p>
        </w:tc>
        <w:tc>
          <w:tcPr>
            <w:tcW w:w="75"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32 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306 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10,793 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611 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191 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160" w:type="dxa"/>
            <w:tcBorders>
              <w:top w:val="single" w:sz="8" w:space="0" w:color="4C639D"/>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color w:val="243782"/>
                <w:sz w:val="15"/>
              </w:rPr>
              <w:t>€</w:t>
            </w:r>
          </w:p>
        </w:tc>
        <w:tc>
          <w:tcPr>
            <w:tcW w:w="640" w:type="dxa"/>
            <w:tcBorders>
              <w:top w:val="single" w:sz="8" w:space="0" w:color="4C639D"/>
              <w:left w:val="nil"/>
              <w:bottom w:val="single" w:sz="8" w:space="0" w:color="D9D9D9"/>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9 </w:t>
            </w:r>
          </w:p>
        </w:tc>
        <w:tc>
          <w:tcPr>
            <w:tcW w:w="100" w:type="dxa"/>
            <w:tcBorders>
              <w:top w:val="single" w:sz="8" w:space="0" w:color="4C639D"/>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FFFFFF"/>
              <w:left w:val="nil"/>
              <w:bottom w:val="single" w:sz="8" w:space="0" w:color="D9D9D9"/>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D9D9D9"/>
              <w:right w:val="nil"/>
            </w:tcBorders>
            <w:shd w:val="clear" w:color="auto" w:fill="4C639D"/>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11,942 </w:t>
            </w:r>
          </w:p>
        </w:tc>
        <w:tc>
          <w:tcPr>
            <w:tcW w:w="100" w:type="dxa"/>
            <w:tcBorders>
              <w:top w:val="single" w:sz="8" w:space="0" w:color="FFFFFF"/>
              <w:left w:val="nil"/>
              <w:bottom w:val="single" w:sz="8" w:space="0" w:color="D9D9D9"/>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480"/>
        </w:trPr>
        <w:tc>
          <w:tcPr>
            <w:tcW w:w="2190" w:type="dxa"/>
            <w:gridSpan w:val="2"/>
            <w:tcBorders>
              <w:top w:val="single" w:sz="8" w:space="0" w:color="D9D9D9"/>
              <w:left w:val="nil"/>
              <w:bottom w:val="nil"/>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Add: FCA Net re</w:t>
            </w:r>
            <w:r>
              <w:rPr>
                <w:rFonts w:ascii="Encode Sans" w:eastAsia="Encode Sans" w:hAnsi="Encode Sans" w:cs="Encode Sans"/>
                <w:sz w:val="15"/>
              </w:rPr>
              <w:t>venues from external customers</w:t>
            </w:r>
            <w:r>
              <w:rPr>
                <w:rFonts w:ascii="Encode Sans" w:eastAsia="Encode Sans" w:hAnsi="Encode Sans" w:cs="Encode Sans"/>
                <w:sz w:val="15"/>
                <w:vertAlign w:val="superscript"/>
              </w:rPr>
              <w:t>(B)</w:t>
            </w: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14,537 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1,296 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3,237 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476 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441 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252 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D9D9D9"/>
              <w:left w:val="nil"/>
              <w:bottom w:val="single" w:sz="8" w:space="0" w:color="D9D9D9"/>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328 </w:t>
            </w:r>
          </w:p>
        </w:tc>
        <w:tc>
          <w:tcPr>
            <w:tcW w:w="100" w:type="dxa"/>
            <w:tcBorders>
              <w:top w:val="single" w:sz="8" w:space="0" w:color="D9D9D9"/>
              <w:left w:val="nil"/>
              <w:bottom w:val="single" w:sz="8" w:space="0" w:color="D9D9D9"/>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D9D9D9"/>
              <w:left w:val="nil"/>
              <w:bottom w:val="single" w:sz="8" w:space="0" w:color="D9D9D9"/>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20,567 </w:t>
            </w:r>
          </w:p>
        </w:tc>
        <w:tc>
          <w:tcPr>
            <w:tcW w:w="100" w:type="dxa"/>
            <w:tcBorders>
              <w:top w:val="single" w:sz="8" w:space="0" w:color="D9D9D9"/>
              <w:left w:val="nil"/>
              <w:bottom w:val="single" w:sz="8" w:space="0" w:color="D9D9D9"/>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360"/>
        </w:trPr>
        <w:tc>
          <w:tcPr>
            <w:tcW w:w="2190" w:type="dxa"/>
            <w:gridSpan w:val="2"/>
            <w:tcBorders>
              <w:top w:val="single" w:sz="8" w:space="0" w:color="D9D9D9"/>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rPr>
                <w:rFonts w:ascii="Encode Sans" w:eastAsia="Encode Sans" w:hAnsi="Encode Sans" w:cs="Encode Sans"/>
                <w:sz w:val="15"/>
              </w:rPr>
            </w:pPr>
            <w:r>
              <w:rPr>
                <w:rFonts w:ascii="Encode Sans" w:eastAsia="Encode Sans" w:hAnsi="Encode Sans" w:cs="Encode Sans"/>
                <w:sz w:val="15"/>
              </w:rPr>
              <w:t>Add: Pro forma adjustments</w:t>
            </w:r>
            <w:r>
              <w:rPr>
                <w:rFonts w:ascii="Encode Sans" w:eastAsia="Encode Sans" w:hAnsi="Encode Sans" w:cs="Encode Sans"/>
                <w:sz w:val="15"/>
                <w:vertAlign w:val="superscript"/>
              </w:rPr>
              <w:t>(C)</w:t>
            </w:r>
          </w:p>
        </w:tc>
        <w:tc>
          <w:tcPr>
            <w:tcW w:w="75" w:type="dxa"/>
            <w:tcBorders>
              <w:top w:val="single" w:sz="8" w:space="0" w:color="D9D9D9"/>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(27)</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(84)</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(3)</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4 </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D9D9D9"/>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(5)</w:t>
            </w:r>
          </w:p>
        </w:tc>
        <w:tc>
          <w:tcPr>
            <w:tcW w:w="100" w:type="dxa"/>
            <w:tcBorders>
              <w:top w:val="single" w:sz="8" w:space="0" w:color="D9D9D9"/>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D9D9D9"/>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D9D9D9"/>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(112)</w:t>
            </w:r>
          </w:p>
        </w:tc>
        <w:tc>
          <w:tcPr>
            <w:tcW w:w="100" w:type="dxa"/>
            <w:tcBorders>
              <w:top w:val="single" w:sz="8" w:space="0" w:color="D9D9D9"/>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48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000000"/>
                <w:sz w:val="15"/>
              </w:rPr>
              <w:t>Net revenues from external customers Pro Forma</w:t>
            </w:r>
          </w:p>
        </w:tc>
        <w:tc>
          <w:tcPr>
            <w:tcW w:w="75" w:type="dxa"/>
            <w:tcBorders>
              <w:top w:val="single" w:sz="8" w:space="0" w:color="D9D9D9"/>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14,542 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1,605 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13,946 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1,087 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629 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256 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160" w:type="dxa"/>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243782"/>
                <w:sz w:val="15"/>
              </w:rPr>
              <w:t>€</w:t>
            </w:r>
          </w:p>
        </w:tc>
        <w:tc>
          <w:tcPr>
            <w:tcW w:w="640" w:type="dxa"/>
            <w:tcBorders>
              <w:top w:val="single" w:sz="8" w:space="0" w:color="4C639D"/>
              <w:left w:val="nil"/>
              <w:bottom w:val="single" w:sz="8" w:space="0" w:color="4C639D"/>
              <w:right w:val="nil"/>
            </w:tcBorders>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243782"/>
                <w:sz w:val="15"/>
              </w:rPr>
              <w:t>332 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60" w:type="dxa"/>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FFFFFF"/>
              <w:right w:val="nil"/>
            </w:tcBorders>
            <w:shd w:val="clear" w:color="auto" w:fill="4C639D"/>
            <w:tcMar>
              <w:top w:w="0" w:type="dxa"/>
              <w:left w:w="0"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32,397 </w:t>
            </w:r>
          </w:p>
        </w:tc>
        <w:tc>
          <w:tcPr>
            <w:tcW w:w="10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D763F2">
        <w:trPr>
          <w:cantSplit/>
          <w:trHeight w:hRule="exact" w:val="480"/>
        </w:trPr>
        <w:tc>
          <w:tcPr>
            <w:tcW w:w="2190" w:type="dxa"/>
            <w:gridSpan w:val="2"/>
            <w:tcBorders>
              <w:top w:val="nil"/>
              <w:left w:val="nil"/>
              <w:bottom w:val="single" w:sz="8" w:space="0" w:color="D9D9D9"/>
              <w:right w:val="nil"/>
            </w:tcBorders>
            <w:tcMar>
              <w:top w:w="0" w:type="dxa"/>
              <w:left w:w="53" w:type="dxa"/>
              <w:bottom w:w="0" w:type="dxa"/>
              <w:right w:w="53" w:type="dxa"/>
            </w:tcMar>
            <w:vAlign w:val="bottom"/>
          </w:tcPr>
          <w:p w:rsidR="00D763F2" w:rsidRDefault="00952064">
            <w:pPr>
              <w:keepNext/>
              <w:spacing w:before="55" w:after="30" w:line="288" w:lineRule="auto"/>
            </w:pPr>
            <w:r>
              <w:rPr>
                <w:rFonts w:ascii="Encode Sans" w:eastAsia="Encode Sans" w:hAnsi="Encode Sans" w:cs="Encode Sans"/>
                <w:color w:val="000000"/>
                <w:sz w:val="15"/>
              </w:rPr>
              <w:t>Net reve</w:t>
            </w:r>
            <w:r>
              <w:rPr>
                <w:rFonts w:ascii="Encode Sans" w:eastAsia="Encode Sans" w:hAnsi="Encode Sans" w:cs="Encode Sans"/>
                <w:color w:val="000000"/>
                <w:sz w:val="15"/>
              </w:rPr>
              <w:t>nues from transactions with other segments</w:t>
            </w:r>
          </w:p>
        </w:tc>
        <w:tc>
          <w:tcPr>
            <w:tcW w:w="75" w:type="dxa"/>
            <w:tcBorders>
              <w:top w:val="single" w:sz="8" w:space="0" w:color="D9D9D9"/>
              <w:left w:val="nil"/>
              <w:bottom w:val="single" w:sz="8" w:space="0" w:color="D9D9D9"/>
              <w:right w:val="nil"/>
            </w:tcBorders>
            <w:tcMar>
              <w:top w:w="0" w:type="dxa"/>
              <w:left w:w="0" w:type="dxa"/>
              <w:bottom w:w="0" w:type="dxa"/>
              <w:right w:w="0" w:type="dxa"/>
            </w:tcMar>
            <w:vAlign w:val="bottom"/>
          </w:tcPr>
          <w:p w:rsidR="00D763F2" w:rsidRDefault="00D763F2">
            <w:pPr>
              <w:keepNext/>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20 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6 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14 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2 </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60" w:type="dxa"/>
            <w:tcBorders>
              <w:top w:val="single" w:sz="8" w:space="0" w:color="4C639D"/>
              <w:left w:val="nil"/>
              <w:bottom w:val="single" w:sz="8" w:space="0" w:color="4C639D"/>
              <w:right w:val="nil"/>
            </w:tcBorders>
            <w:tcMar>
              <w:top w:w="0" w:type="dxa"/>
              <w:left w:w="53" w:type="dxa"/>
              <w:bottom w:w="0" w:type="dxa"/>
              <w:right w:w="15" w:type="dxa"/>
            </w:tcMar>
            <w:vAlign w:val="bottom"/>
          </w:tcPr>
          <w:p w:rsidR="00D763F2" w:rsidRDefault="00D763F2">
            <w:pPr>
              <w:keepNext/>
              <w:spacing w:before="55" w:after="30" w:line="288" w:lineRule="auto"/>
              <w:jc w:val="right"/>
            </w:pPr>
          </w:p>
        </w:tc>
        <w:tc>
          <w:tcPr>
            <w:tcW w:w="800" w:type="dxa"/>
            <w:gridSpan w:val="2"/>
            <w:tcBorders>
              <w:top w:val="single" w:sz="8" w:space="0" w:color="4C639D"/>
              <w:left w:val="nil"/>
              <w:bottom w:val="single" w:sz="8" w:space="0" w:color="4C639D"/>
              <w:right w:val="nil"/>
            </w:tcBorders>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color w:val="243782"/>
                <w:sz w:val="15"/>
              </w:rPr>
              <w:t>(46)</w:t>
            </w:r>
          </w:p>
        </w:tc>
        <w:tc>
          <w:tcPr>
            <w:tcW w:w="100" w:type="dxa"/>
            <w:tcBorders>
              <w:top w:val="single" w:sz="8" w:space="0" w:color="4C639D"/>
              <w:left w:val="nil"/>
              <w:bottom w:val="single" w:sz="8" w:space="0" w:color="4C639D"/>
              <w:right w:val="nil"/>
            </w:tcBorders>
            <w:tcMar>
              <w:top w:w="0" w:type="dxa"/>
              <w:left w:w="0" w:type="dxa"/>
              <w:bottom w:w="0" w:type="dxa"/>
              <w:right w:w="15" w:type="dxa"/>
            </w:tcMar>
            <w:vAlign w:val="bottom"/>
          </w:tcPr>
          <w:p w:rsidR="00D763F2" w:rsidRDefault="00D763F2">
            <w:pPr>
              <w:keepNext/>
              <w:spacing w:before="55" w:after="30" w:line="288" w:lineRule="auto"/>
              <w:jc w:val="right"/>
            </w:pPr>
          </w:p>
        </w:tc>
        <w:tc>
          <w:tcPr>
            <w:tcW w:w="75" w:type="dxa"/>
            <w:tcBorders>
              <w:top w:val="single" w:sz="8" w:space="0" w:color="4C639D"/>
              <w:left w:val="nil"/>
              <w:bottom w:val="single" w:sz="8" w:space="0" w:color="4C639D"/>
              <w:right w:val="nil"/>
            </w:tcBorders>
            <w:tcMar>
              <w:top w:w="0" w:type="dxa"/>
              <w:left w:w="53" w:type="dxa"/>
              <w:bottom w:w="0" w:type="dxa"/>
              <w:right w:w="53" w:type="dxa"/>
            </w:tcMar>
            <w:vAlign w:val="bottom"/>
          </w:tcPr>
          <w:p w:rsidR="00D763F2" w:rsidRDefault="00D763F2">
            <w:pPr>
              <w:keepNext/>
              <w:spacing w:before="55" w:after="30" w:line="288" w:lineRule="auto"/>
            </w:pPr>
          </w:p>
        </w:tc>
        <w:tc>
          <w:tcPr>
            <w:tcW w:w="1175" w:type="dxa"/>
            <w:gridSpan w:val="2"/>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D763F2" w:rsidRDefault="00952064">
            <w:pPr>
              <w:keepNext/>
              <w:spacing w:before="55" w:after="30" w:line="288" w:lineRule="auto"/>
              <w:jc w:val="right"/>
            </w:pPr>
            <w:r>
              <w:rPr>
                <w:rFonts w:ascii="Encode Sans" w:eastAsia="Encode Sans" w:hAnsi="Encode Sans" w:cs="Encode Sans"/>
                <w:b/>
                <w:color w:val="FFFFFF"/>
                <w:sz w:val="15"/>
              </w:rPr>
              <w:t>— </w:t>
            </w:r>
          </w:p>
        </w:tc>
        <w:tc>
          <w:tcPr>
            <w:tcW w:w="10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D763F2" w:rsidRDefault="00D763F2">
            <w:pPr>
              <w:keepNext/>
              <w:spacing w:before="55" w:after="30" w:line="288" w:lineRule="auto"/>
              <w:jc w:val="right"/>
            </w:pPr>
          </w:p>
        </w:tc>
      </w:tr>
      <w:tr w:rsidR="000234D5">
        <w:trPr>
          <w:cantSplit/>
          <w:trHeight w:hRule="exact" w:val="300"/>
        </w:trPr>
        <w:tc>
          <w:tcPr>
            <w:tcW w:w="2190" w:type="dxa"/>
            <w:gridSpan w:val="2"/>
            <w:tcBorders>
              <w:top w:val="nil"/>
              <w:left w:val="nil"/>
              <w:bottom w:val="single" w:sz="8" w:space="0" w:color="4C639D"/>
              <w:right w:val="nil"/>
            </w:tcBorders>
            <w:tcMar>
              <w:top w:w="0" w:type="dxa"/>
              <w:left w:w="53" w:type="dxa"/>
              <w:bottom w:w="0" w:type="dxa"/>
              <w:right w:w="53" w:type="dxa"/>
            </w:tcMar>
            <w:vAlign w:val="bottom"/>
          </w:tcPr>
          <w:p w:rsidR="00D763F2" w:rsidRDefault="00952064">
            <w:pPr>
              <w:spacing w:before="55" w:after="30" w:line="288" w:lineRule="auto"/>
              <w:rPr>
                <w:rFonts w:ascii="Encode Sans" w:eastAsia="Encode Sans" w:hAnsi="Encode Sans" w:cs="Encode Sans"/>
                <w:b/>
                <w:color w:val="243782"/>
                <w:sz w:val="15"/>
              </w:rPr>
            </w:pPr>
            <w:r>
              <w:rPr>
                <w:rFonts w:ascii="Encode Sans" w:eastAsia="Encode Sans" w:hAnsi="Encode Sans" w:cs="Encode Sans"/>
                <w:b/>
                <w:color w:val="243782"/>
                <w:sz w:val="15"/>
              </w:rPr>
              <w:t>Net revenues Pro Forma</w:t>
            </w:r>
            <w:r>
              <w:rPr>
                <w:rFonts w:ascii="Encode Sans" w:eastAsia="Encode Sans" w:hAnsi="Encode Sans" w:cs="Encode Sans"/>
                <w:b/>
                <w:color w:val="243782"/>
                <w:sz w:val="15"/>
                <w:vertAlign w:val="superscript"/>
              </w:rPr>
              <w:t>(D)</w:t>
            </w:r>
          </w:p>
        </w:tc>
        <w:tc>
          <w:tcPr>
            <w:tcW w:w="75" w:type="dxa"/>
            <w:tcBorders>
              <w:top w:val="single" w:sz="8" w:space="0" w:color="D9D9D9"/>
              <w:left w:val="nil"/>
              <w:bottom w:val="single" w:sz="8" w:space="0" w:color="4C639D"/>
              <w:right w:val="nil"/>
            </w:tcBorders>
            <w:tcMar>
              <w:top w:w="0" w:type="dxa"/>
              <w:left w:w="0" w:type="dxa"/>
              <w:bottom w:w="0" w:type="dxa"/>
              <w:right w:w="0" w:type="dxa"/>
            </w:tcMar>
            <w:vAlign w:val="bottom"/>
          </w:tcPr>
          <w:p w:rsidR="00D763F2" w:rsidRDefault="00D763F2"/>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14,546 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1,605 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13,966 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1,093 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643 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258 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60" w:type="dxa"/>
            <w:tcBorders>
              <w:top w:val="single" w:sz="8" w:space="0" w:color="4C639D"/>
              <w:left w:val="nil"/>
              <w:bottom w:val="single" w:sz="8" w:space="0" w:color="4C639D"/>
              <w:right w:val="nil"/>
            </w:tcBorders>
            <w:shd w:val="clear" w:color="auto" w:fill="243782"/>
            <w:tcMar>
              <w:top w:w="0" w:type="dxa"/>
              <w:left w:w="53" w:type="dxa"/>
              <w:bottom w:w="0" w:type="dxa"/>
              <w:right w:w="15" w:type="dxa"/>
            </w:tcMar>
            <w:vAlign w:val="bottom"/>
          </w:tcPr>
          <w:p w:rsidR="00D763F2" w:rsidRDefault="00D763F2">
            <w:pPr>
              <w:spacing w:before="55" w:after="30" w:line="288" w:lineRule="auto"/>
              <w:jc w:val="right"/>
            </w:pPr>
          </w:p>
        </w:tc>
        <w:tc>
          <w:tcPr>
            <w:tcW w:w="160" w:type="dxa"/>
            <w:tcBorders>
              <w:top w:val="single" w:sz="8" w:space="0" w:color="4C639D"/>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640" w:type="dxa"/>
            <w:tcBorders>
              <w:top w:val="single" w:sz="8" w:space="0" w:color="4C639D"/>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286 </w:t>
            </w:r>
          </w:p>
        </w:tc>
        <w:tc>
          <w:tcPr>
            <w:tcW w:w="100" w:type="dxa"/>
            <w:tcBorders>
              <w:top w:val="single" w:sz="8" w:space="0" w:color="4C639D"/>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c>
          <w:tcPr>
            <w:tcW w:w="75" w:type="dxa"/>
            <w:tcBorders>
              <w:top w:val="single" w:sz="8" w:space="0" w:color="4C639D"/>
              <w:left w:val="nil"/>
              <w:bottom w:val="single" w:sz="8" w:space="0" w:color="4C639D"/>
              <w:right w:val="nil"/>
            </w:tcBorders>
            <w:shd w:val="clear" w:color="auto" w:fill="243782"/>
            <w:tcMar>
              <w:top w:w="0" w:type="dxa"/>
              <w:left w:w="53" w:type="dxa"/>
              <w:bottom w:w="0" w:type="dxa"/>
              <w:right w:w="53" w:type="dxa"/>
            </w:tcMar>
            <w:vAlign w:val="bottom"/>
          </w:tcPr>
          <w:p w:rsidR="00D763F2" w:rsidRDefault="00D763F2">
            <w:pPr>
              <w:spacing w:before="55" w:after="30" w:line="288" w:lineRule="auto"/>
            </w:pPr>
          </w:p>
        </w:tc>
        <w:tc>
          <w:tcPr>
            <w:tcW w:w="160" w:type="dxa"/>
            <w:tcBorders>
              <w:top w:val="single" w:sz="8" w:space="0" w:color="FFFFFF"/>
              <w:left w:val="nil"/>
              <w:bottom w:val="single" w:sz="8" w:space="0" w:color="4C639D"/>
              <w:right w:val="nil"/>
            </w:tcBorders>
            <w:shd w:val="clear" w:color="auto" w:fill="243782"/>
            <w:tcMar>
              <w:top w:w="0" w:type="dxa"/>
              <w:left w:w="53" w:type="dxa"/>
              <w:bottom w:w="0" w:type="dxa"/>
              <w:right w:w="0" w:type="dxa"/>
            </w:tcMar>
            <w:vAlign w:val="bottom"/>
          </w:tcPr>
          <w:p w:rsidR="00D763F2" w:rsidRDefault="00952064">
            <w:pPr>
              <w:spacing w:before="55" w:after="30" w:line="288" w:lineRule="auto"/>
            </w:pPr>
            <w:r>
              <w:rPr>
                <w:rFonts w:ascii="Encode Sans" w:eastAsia="Encode Sans" w:hAnsi="Encode Sans" w:cs="Encode Sans"/>
                <w:b/>
                <w:color w:val="FFFFFF"/>
                <w:sz w:val="15"/>
              </w:rPr>
              <w:t>€</w:t>
            </w:r>
          </w:p>
        </w:tc>
        <w:tc>
          <w:tcPr>
            <w:tcW w:w="1015" w:type="dxa"/>
            <w:tcBorders>
              <w:top w:val="single" w:sz="8" w:space="0" w:color="FFFFFF"/>
              <w:left w:val="nil"/>
              <w:bottom w:val="single" w:sz="8" w:space="0" w:color="4C639D"/>
              <w:right w:val="nil"/>
            </w:tcBorders>
            <w:shd w:val="clear" w:color="auto" w:fill="243782"/>
            <w:tcMar>
              <w:top w:w="0" w:type="dxa"/>
              <w:left w:w="0" w:type="dxa"/>
              <w:bottom w:w="0" w:type="dxa"/>
              <w:right w:w="0" w:type="dxa"/>
            </w:tcMar>
            <w:vAlign w:val="bottom"/>
          </w:tcPr>
          <w:p w:rsidR="00D763F2" w:rsidRDefault="00952064">
            <w:pPr>
              <w:spacing w:before="55" w:after="30" w:line="288" w:lineRule="auto"/>
              <w:jc w:val="right"/>
            </w:pPr>
            <w:r>
              <w:rPr>
                <w:rFonts w:ascii="Encode Sans" w:eastAsia="Encode Sans" w:hAnsi="Encode Sans" w:cs="Encode Sans"/>
                <w:b/>
                <w:color w:val="FFFFFF"/>
                <w:sz w:val="15"/>
              </w:rPr>
              <w:t>32,397 </w:t>
            </w:r>
          </w:p>
        </w:tc>
        <w:tc>
          <w:tcPr>
            <w:tcW w:w="100" w:type="dxa"/>
            <w:tcBorders>
              <w:top w:val="single" w:sz="8" w:space="0" w:color="FFFFFF"/>
              <w:left w:val="nil"/>
              <w:bottom w:val="single" w:sz="8" w:space="0" w:color="4C639D"/>
              <w:right w:val="nil"/>
            </w:tcBorders>
            <w:shd w:val="clear" w:color="auto" w:fill="243782"/>
            <w:tcMar>
              <w:top w:w="0" w:type="dxa"/>
              <w:left w:w="0" w:type="dxa"/>
              <w:bottom w:w="0" w:type="dxa"/>
              <w:right w:w="15" w:type="dxa"/>
            </w:tcMar>
            <w:vAlign w:val="bottom"/>
          </w:tcPr>
          <w:p w:rsidR="00D763F2" w:rsidRDefault="00D763F2">
            <w:pPr>
              <w:spacing w:before="55" w:after="30" w:line="288" w:lineRule="auto"/>
              <w:jc w:val="right"/>
            </w:pPr>
          </w:p>
        </w:tc>
      </w:tr>
    </w:tbl>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___________________________________________________________________________________________________________________</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 Other activities, unallocated items and eliminations</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(A) Net revenues from external customers of PSA as reported, re-presented to reflec</w:t>
      </w:r>
      <w:r>
        <w:rPr>
          <w:rFonts w:ascii="Encode Sans" w:eastAsia="Encode Sans" w:hAnsi="Encode Sans" w:cs="Encode Sans"/>
          <w:sz w:val="16"/>
        </w:rPr>
        <w:t>t the reportable segments presented by the Group, and to exclude the results of Faurecia S.E., which will be presented as a discontinued operation in the comparative Income Statement of the Group for the six months ended June 30, 2020</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(B) Net revenues from</w:t>
      </w:r>
      <w:r>
        <w:rPr>
          <w:rFonts w:ascii="Encode Sans" w:eastAsia="Encode Sans" w:hAnsi="Encode Sans" w:cs="Encode Sans"/>
          <w:sz w:val="16"/>
        </w:rPr>
        <w:t xml:space="preserve"> external customers of FCA as reported, re-presented to reflect the reportable segments presented by the Group</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(C) Reclassifications made to present FCA’s Net revenues consistently with that of PSA</w:t>
      </w:r>
    </w:p>
    <w:p w:rsidR="00D763F2" w:rsidRDefault="00952064">
      <w:pPr>
        <w:spacing w:line="288" w:lineRule="auto"/>
        <w:rPr>
          <w:rFonts w:ascii="Encode Sans" w:eastAsia="Encode Sans" w:hAnsi="Encode Sans" w:cs="Encode Sans"/>
          <w:color w:val="243782"/>
          <w:sz w:val="16"/>
        </w:rPr>
      </w:pPr>
      <w:r>
        <w:rPr>
          <w:rFonts w:ascii="Encode Sans" w:eastAsia="Encode Sans" w:hAnsi="Encode Sans" w:cs="Encode Sans"/>
          <w:sz w:val="16"/>
        </w:rPr>
        <w:t xml:space="preserve">(D) Pro forma </w:t>
      </w:r>
      <w:proofErr w:type="spellStart"/>
      <w:r>
        <w:rPr>
          <w:rFonts w:ascii="Encode Sans" w:eastAsia="Encode Sans" w:hAnsi="Encode Sans" w:cs="Encode Sans"/>
          <w:sz w:val="16"/>
        </w:rPr>
        <w:t>Stellantis</w:t>
      </w:r>
      <w:proofErr w:type="spellEnd"/>
      <w:r>
        <w:rPr>
          <w:rFonts w:ascii="Encode Sans" w:eastAsia="Encode Sans" w:hAnsi="Encode Sans" w:cs="Encode Sans"/>
          <w:sz w:val="16"/>
        </w:rPr>
        <w:t xml:space="preserve"> consolidated Net revenues present</w:t>
      </w:r>
      <w:r>
        <w:rPr>
          <w:rFonts w:ascii="Encode Sans" w:eastAsia="Encode Sans" w:hAnsi="Encode Sans" w:cs="Encode Sans"/>
          <w:sz w:val="16"/>
        </w:rPr>
        <w:t>ed as if the FCA-PSA merger had been completed on January 1, 2020</w:t>
      </w:r>
    </w:p>
    <w:p w:rsidR="00D763F2" w:rsidRDefault="00D763F2">
      <w:pPr>
        <w:spacing w:line="288" w:lineRule="auto"/>
        <w:rPr>
          <w:rFonts w:ascii="Encode Sans" w:eastAsia="Encode Sans" w:hAnsi="Encode Sans" w:cs="Encode Sans"/>
          <w:color w:val="243782"/>
          <w:sz w:val="16"/>
        </w:rPr>
        <w:sectPr w:rsidR="00D763F2">
          <w:type w:val="continuous"/>
          <w:pgSz w:w="12240" w:h="15840"/>
          <w:pgMar w:top="2070" w:right="990" w:bottom="720" w:left="900" w:header="270" w:footer="270" w:gutter="0"/>
          <w:cols w:space="708"/>
        </w:sectPr>
      </w:pPr>
    </w:p>
    <w:p w:rsidR="00D763F2" w:rsidRDefault="00D763F2">
      <w:pPr>
        <w:spacing w:line="288" w:lineRule="auto"/>
        <w:jc w:val="center"/>
        <w:rPr>
          <w:rFonts w:ascii="Century Gothic" w:eastAsia="Century Gothic" w:hAnsi="Century Gothic" w:cs="Century Gothic"/>
          <w:sz w:val="20"/>
        </w:rPr>
      </w:pPr>
      <w:bookmarkStart w:id="4" w:name="Section4"/>
      <w:bookmarkEnd w:id="4"/>
    </w:p>
    <w:p w:rsidR="00D763F2" w:rsidRDefault="00952064">
      <w:pPr>
        <w:pageBreakBefore/>
        <w:spacing w:after="120" w:line="288" w:lineRule="auto"/>
        <w:jc w:val="center"/>
        <w:outlineLvl w:val="0"/>
        <w:rPr>
          <w:rFonts w:ascii="Century Gothic" w:eastAsia="Century Gothic" w:hAnsi="Century Gothic" w:cs="Century Gothic"/>
          <w:sz w:val="20"/>
        </w:rPr>
      </w:pPr>
      <w:r>
        <w:rPr>
          <w:rFonts w:ascii="Encode Sans" w:eastAsia="Encode Sans" w:hAnsi="Encode Sans" w:cs="Encode Sans"/>
          <w:b/>
          <w:i/>
          <w:sz w:val="18"/>
        </w:rPr>
        <w:lastRenderedPageBreak/>
        <w:t>NOTES</w:t>
      </w:r>
    </w:p>
    <w:p w:rsidR="00D763F2" w:rsidRDefault="00952064">
      <w:pPr>
        <w:spacing w:line="288" w:lineRule="auto"/>
        <w:rPr>
          <w:rFonts w:ascii="Encode Sans" w:eastAsia="Encode Sans" w:hAnsi="Encode Sans" w:cs="Encode Sans"/>
          <w:b/>
          <w:i/>
          <w:color w:val="243782"/>
          <w:sz w:val="17"/>
        </w:rPr>
      </w:pPr>
      <w:r>
        <w:rPr>
          <w:rFonts w:ascii="Encode Sans" w:eastAsia="Encode Sans" w:hAnsi="Encode Sans" w:cs="Encode Sans"/>
          <w:i/>
          <w:sz w:val="16"/>
        </w:rPr>
        <w:t>(1) Completed merger of Peugeot S.A. (“PSA”) with and into Fiat Chrysler Automobiles N.V. (“FCA”) on January 16, 2021 (“Merger”). On January 17, 2021, combined compa</w:t>
      </w:r>
      <w:r>
        <w:rPr>
          <w:rFonts w:ascii="Encode Sans" w:eastAsia="Encode Sans" w:hAnsi="Encode Sans" w:cs="Encode Sans"/>
          <w:i/>
          <w:sz w:val="16"/>
        </w:rPr>
        <w:t xml:space="preserve">ny was renamed </w:t>
      </w:r>
      <w:proofErr w:type="spellStart"/>
      <w:r>
        <w:rPr>
          <w:rFonts w:ascii="Encode Sans" w:eastAsia="Encode Sans" w:hAnsi="Encode Sans" w:cs="Encode Sans"/>
          <w:i/>
          <w:sz w:val="16"/>
        </w:rPr>
        <w:t>Stellantis</w:t>
      </w:r>
      <w:proofErr w:type="spellEnd"/>
      <w:r>
        <w:rPr>
          <w:rFonts w:ascii="Encode Sans" w:eastAsia="Encode Sans" w:hAnsi="Encode Sans" w:cs="Encode Sans"/>
          <w:i/>
          <w:sz w:val="16"/>
        </w:rPr>
        <w:t xml:space="preserve"> N.V. (“</w:t>
      </w:r>
      <w:proofErr w:type="spellStart"/>
      <w:r>
        <w:rPr>
          <w:rFonts w:ascii="Encode Sans" w:eastAsia="Encode Sans" w:hAnsi="Encode Sans" w:cs="Encode Sans"/>
          <w:i/>
          <w:sz w:val="16"/>
        </w:rPr>
        <w:t>Stellantis</w:t>
      </w:r>
      <w:proofErr w:type="spellEnd"/>
      <w:r>
        <w:rPr>
          <w:rFonts w:ascii="Encode Sans" w:eastAsia="Encode Sans" w:hAnsi="Encode Sans" w:cs="Encode Sans"/>
          <w:i/>
          <w:sz w:val="16"/>
        </w:rPr>
        <w:t xml:space="preserve">” or “Group”). PSA was determined to be the acquirer for accounting purposes, therefore, the historical financial statements of </w:t>
      </w:r>
      <w:proofErr w:type="spellStart"/>
      <w:r>
        <w:rPr>
          <w:rFonts w:ascii="Encode Sans" w:eastAsia="Encode Sans" w:hAnsi="Encode Sans" w:cs="Encode Sans"/>
          <w:i/>
          <w:sz w:val="16"/>
        </w:rPr>
        <w:t>Stellantis</w:t>
      </w:r>
      <w:proofErr w:type="spellEnd"/>
      <w:r>
        <w:rPr>
          <w:rFonts w:ascii="Encode Sans" w:eastAsia="Encode Sans" w:hAnsi="Encode Sans" w:cs="Encode Sans"/>
          <w:i/>
          <w:sz w:val="16"/>
        </w:rPr>
        <w:t xml:space="preserve"> represent the continuing operations of PSA, which also reflect the loss of</w:t>
      </w:r>
      <w:r>
        <w:rPr>
          <w:rFonts w:ascii="Encode Sans" w:eastAsia="Encode Sans" w:hAnsi="Encode Sans" w:cs="Encode Sans"/>
          <w:i/>
          <w:sz w:val="16"/>
        </w:rPr>
        <w:t xml:space="preserve"> control and the classification of Faurecia S.E. (Faurecia) as a discontinued operation as of January 1, 2021 with the restatement of comparative periods. Acquisition date of business combination was January 17, 2021, therefore, results of FCA for the peri</w:t>
      </w:r>
      <w:r>
        <w:rPr>
          <w:rFonts w:ascii="Encode Sans" w:eastAsia="Encode Sans" w:hAnsi="Encode Sans" w:cs="Encode Sans"/>
          <w:i/>
          <w:sz w:val="16"/>
        </w:rPr>
        <w:t>od January 1 -16, 2021 are excluded from Q1 2021 results unless otherwise stated. Q1 2021 Pro Forma results are presented as if the Merger had occurred on January 1, 2020 and include results of FCA for the period January 1 –16, 2021. Q1 2020 represents res</w:t>
      </w:r>
      <w:r>
        <w:rPr>
          <w:rFonts w:ascii="Encode Sans" w:eastAsia="Encode Sans" w:hAnsi="Encode Sans" w:cs="Encode Sans"/>
          <w:i/>
          <w:sz w:val="16"/>
        </w:rPr>
        <w:t>ults of the continuing operations of PSA only and are not directly comparable to previously reported results of PSA and reflect accounting policies and reporting classifications of the Group. Q1 2020 Pro Forma results are presented as if the Merger had occ</w:t>
      </w:r>
      <w:r>
        <w:rPr>
          <w:rFonts w:ascii="Encode Sans" w:eastAsia="Encode Sans" w:hAnsi="Encode Sans" w:cs="Encode Sans"/>
          <w:i/>
          <w:sz w:val="16"/>
        </w:rPr>
        <w:t>urred on January 1, 2020. Amounts are subject to change, as the Group’s purchase price allocation (“PPA”) accounting has not been finalized.</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 xml:space="preserve">(2) Passenger cars plus LCVs. Market share information is derived from third-party industry sources (e.g. European </w:t>
      </w:r>
      <w:r>
        <w:rPr>
          <w:rFonts w:ascii="Encode Sans" w:eastAsia="Encode Sans" w:hAnsi="Encode Sans" w:cs="Encode Sans"/>
          <w:i/>
          <w:sz w:val="16"/>
        </w:rPr>
        <w:t xml:space="preserve">Automobile Manufacturers Association (ACEA), Ward’s Automotive, </w:t>
      </w:r>
      <w:proofErr w:type="spellStart"/>
      <w:r>
        <w:rPr>
          <w:rFonts w:ascii="Encode Sans" w:eastAsia="Encode Sans" w:hAnsi="Encode Sans" w:cs="Encode Sans"/>
          <w:i/>
          <w:sz w:val="16"/>
        </w:rPr>
        <w:t>Associação</w:t>
      </w:r>
      <w:proofErr w:type="spellEnd"/>
      <w:r>
        <w:rPr>
          <w:rFonts w:ascii="Encode Sans" w:eastAsia="Encode Sans" w:hAnsi="Encode Sans" w:cs="Encode Sans"/>
          <w:i/>
          <w:sz w:val="16"/>
        </w:rPr>
        <w:t xml:space="preserve"> Nacional dos </w:t>
      </w:r>
      <w:proofErr w:type="spellStart"/>
      <w:r>
        <w:rPr>
          <w:rFonts w:ascii="Encode Sans" w:eastAsia="Encode Sans" w:hAnsi="Encode Sans" w:cs="Encode Sans"/>
          <w:i/>
          <w:sz w:val="16"/>
        </w:rPr>
        <w:t>Fabricantes</w:t>
      </w:r>
      <w:proofErr w:type="spellEnd"/>
      <w:r>
        <w:rPr>
          <w:rFonts w:ascii="Encode Sans" w:eastAsia="Encode Sans" w:hAnsi="Encode Sans" w:cs="Encode Sans"/>
          <w:i/>
          <w:sz w:val="16"/>
        </w:rPr>
        <w:t xml:space="preserve"> de </w:t>
      </w:r>
      <w:proofErr w:type="spellStart"/>
      <w:r>
        <w:rPr>
          <w:rFonts w:ascii="Encode Sans" w:eastAsia="Encode Sans" w:hAnsi="Encode Sans" w:cs="Encode Sans"/>
          <w:i/>
          <w:sz w:val="16"/>
        </w:rPr>
        <w:t>Veículos</w:t>
      </w:r>
      <w:proofErr w:type="spellEnd"/>
      <w:r>
        <w:rPr>
          <w:rFonts w:ascii="Encode Sans" w:eastAsia="Encode Sans" w:hAnsi="Encode Sans" w:cs="Encode Sans"/>
          <w:i/>
          <w:sz w:val="16"/>
        </w:rPr>
        <w:t xml:space="preserve"> </w:t>
      </w:r>
      <w:proofErr w:type="spellStart"/>
      <w:r>
        <w:rPr>
          <w:rFonts w:ascii="Encode Sans" w:eastAsia="Encode Sans" w:hAnsi="Encode Sans" w:cs="Encode Sans"/>
          <w:i/>
          <w:sz w:val="16"/>
        </w:rPr>
        <w:t>Automotores</w:t>
      </w:r>
      <w:proofErr w:type="spellEnd"/>
      <w:r>
        <w:rPr>
          <w:rFonts w:ascii="Encode Sans" w:eastAsia="Encode Sans" w:hAnsi="Encode Sans" w:cs="Encode Sans"/>
          <w:i/>
          <w:sz w:val="16"/>
        </w:rPr>
        <w:t xml:space="preserve"> (ANFAVEA)) and internal information.</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(3) EU 27 (excluding Malta) + Iceland + Norway+ Switzerland + UK.</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(4) Combined shipments includ</w:t>
      </w:r>
      <w:r>
        <w:rPr>
          <w:rFonts w:ascii="Encode Sans" w:eastAsia="Encode Sans" w:hAnsi="Encode Sans" w:cs="Encode Sans"/>
          <w:i/>
          <w:sz w:val="16"/>
        </w:rPr>
        <w:t xml:space="preserve">e shipments by the </w:t>
      </w:r>
      <w:proofErr w:type="spellStart"/>
      <w:r>
        <w:rPr>
          <w:rFonts w:ascii="Encode Sans" w:eastAsia="Encode Sans" w:hAnsi="Encode Sans" w:cs="Encode Sans"/>
          <w:i/>
          <w:sz w:val="16"/>
        </w:rPr>
        <w:t>Stellantis</w:t>
      </w:r>
      <w:proofErr w:type="spellEnd"/>
      <w:r>
        <w:rPr>
          <w:rFonts w:ascii="Encode Sans" w:eastAsia="Encode Sans" w:hAnsi="Encode Sans" w:cs="Encode Sans"/>
          <w:i/>
          <w:sz w:val="16"/>
        </w:rPr>
        <w:t xml:space="preserve"> Group's consolidated subsidiaries and unconsolidated joint ventures. Consolidated shipments only include shipments by the </w:t>
      </w:r>
      <w:proofErr w:type="spellStart"/>
      <w:r>
        <w:rPr>
          <w:rFonts w:ascii="Encode Sans" w:eastAsia="Encode Sans" w:hAnsi="Encode Sans" w:cs="Encode Sans"/>
          <w:i/>
          <w:sz w:val="16"/>
        </w:rPr>
        <w:t>Stellantis</w:t>
      </w:r>
      <w:proofErr w:type="spellEnd"/>
      <w:r>
        <w:rPr>
          <w:rFonts w:ascii="Encode Sans" w:eastAsia="Encode Sans" w:hAnsi="Encode Sans" w:cs="Encode Sans"/>
          <w:i/>
          <w:sz w:val="16"/>
        </w:rPr>
        <w:t xml:space="preserve"> Group's consolidated subsidiaries.</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(5) Represents simple aggregation of FCA and PSA inventory</w:t>
      </w:r>
      <w:r>
        <w:rPr>
          <w:rFonts w:ascii="Encode Sans" w:eastAsia="Encode Sans" w:hAnsi="Encode Sans" w:cs="Encode Sans"/>
          <w:i/>
          <w:sz w:val="16"/>
        </w:rPr>
        <w:t xml:space="preserve"> units as of period end.</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(6) Source: IHS Global Insight, Wards, China Passenger Car Association and Group estimates.</w:t>
      </w:r>
    </w:p>
    <w:p w:rsidR="00D763F2" w:rsidRDefault="00952064">
      <w:pPr>
        <w:spacing w:line="288" w:lineRule="auto"/>
        <w:rPr>
          <w:rFonts w:ascii="Encode Sans" w:eastAsia="Encode Sans" w:hAnsi="Encode Sans" w:cs="Encode Sans"/>
          <w:i/>
          <w:sz w:val="16"/>
        </w:rPr>
      </w:pPr>
      <w:r>
        <w:rPr>
          <w:rFonts w:ascii="Encode Sans" w:eastAsia="Encode Sans" w:hAnsi="Encode Sans" w:cs="Encode Sans"/>
          <w:i/>
          <w:sz w:val="16"/>
        </w:rPr>
        <w:t>(7) Adjusted operating income/(loss) excludes from Net profit/(loss) from continuing operations adjustments comprising restructuring, impai</w:t>
      </w:r>
      <w:r>
        <w:rPr>
          <w:rFonts w:ascii="Encode Sans" w:eastAsia="Encode Sans" w:hAnsi="Encode Sans" w:cs="Encode Sans"/>
          <w:i/>
          <w:sz w:val="16"/>
        </w:rPr>
        <w:t>rments, asset write-offs, disposals of investments and unusual operating income/(expense) that are considered rare or discrete events and are infrequent in nature, as inclusion of such items is not considered to be indicative of the Group's ongoing operati</w:t>
      </w:r>
      <w:r>
        <w:rPr>
          <w:rFonts w:ascii="Encode Sans" w:eastAsia="Encode Sans" w:hAnsi="Encode Sans" w:cs="Encode Sans"/>
          <w:i/>
          <w:sz w:val="16"/>
        </w:rPr>
        <w:t>ng performance, and also excludes Net financial expenses, Tax expense/(benefit) and Share of the profit of equity method investees. Guidance does not reflect impacts from purchase accounting adjustments or changes in accounting policies as required by IFRS</w:t>
      </w:r>
      <w:r>
        <w:rPr>
          <w:rFonts w:ascii="Encode Sans" w:eastAsia="Encode Sans" w:hAnsi="Encode Sans" w:cs="Encode Sans"/>
          <w:i/>
          <w:sz w:val="16"/>
        </w:rPr>
        <w:t xml:space="preserve"> in connection with the Merger.</w:t>
      </w:r>
    </w:p>
    <w:p w:rsidR="00D763F2" w:rsidRDefault="00952064">
      <w:pPr>
        <w:spacing w:before="120" w:after="120" w:line="276" w:lineRule="auto"/>
        <w:jc w:val="center"/>
        <w:rPr>
          <w:rFonts w:ascii="Encode Sans" w:eastAsia="Encode Sans" w:hAnsi="Encode Sans" w:cs="Encode Sans"/>
          <w:b/>
          <w:sz w:val="18"/>
        </w:rPr>
      </w:pPr>
      <w:r>
        <w:rPr>
          <w:rFonts w:ascii="Encode Sans" w:eastAsia="Encode Sans" w:hAnsi="Encode Sans" w:cs="Encode Sans"/>
          <w:b/>
          <w:sz w:val="18"/>
        </w:rPr>
        <w:t>SAFE HARBOR STATEMENT</w:t>
      </w:r>
    </w:p>
    <w:p w:rsidR="00D763F2" w:rsidRDefault="00952064">
      <w:pPr>
        <w:spacing w:line="276" w:lineRule="auto"/>
        <w:rPr>
          <w:rFonts w:ascii="Encode Sans" w:eastAsia="Encode Sans" w:hAnsi="Encode Sans" w:cs="Encode Sans"/>
          <w:b/>
          <w:color w:val="243782"/>
          <w:sz w:val="17"/>
        </w:rPr>
      </w:pPr>
      <w:r>
        <w:rPr>
          <w:rFonts w:ascii="Encode Sans" w:eastAsia="Encode Sans" w:hAnsi="Encode Sans" w:cs="Encode Sans"/>
          <w:sz w:val="17"/>
        </w:rPr>
        <w:t>This document, in particular references to “2021 Guidance”, contains forward-looking statements.</w:t>
      </w:r>
      <w:r>
        <w:rPr>
          <w:rFonts w:ascii="Encode Sans" w:eastAsia="Encode Sans" w:hAnsi="Encode Sans" w:cs="Encode Sans"/>
          <w:sz w:val="17"/>
        </w:rPr>
        <w:t xml:space="preserve"> In particular, statements regarding future financial performance and the Company’s expectations as to the achievement of certain targeted metrics, including revenues, industrial free cash flows, vehicle shipments, capital investments, research and develop</w:t>
      </w:r>
      <w:r>
        <w:rPr>
          <w:rFonts w:ascii="Encode Sans" w:eastAsia="Encode Sans" w:hAnsi="Encode Sans" w:cs="Encode Sans"/>
          <w:sz w:val="17"/>
        </w:rPr>
        <w:t>ment costs and other expenses at any future date or for any future period are forward-looking statements. These statements may include terms such as “may”, “will”, “expect”, “could”, “should”, “intend”, “estimate”, “anticipate”, “believe”, “remain”, “on tr</w:t>
      </w:r>
      <w:r>
        <w:rPr>
          <w:rFonts w:ascii="Encode Sans" w:eastAsia="Encode Sans" w:hAnsi="Encode Sans" w:cs="Encode Sans"/>
          <w:sz w:val="17"/>
        </w:rPr>
        <w:t>ack”, “design”, “target”, “objective”, “goal”, “forecast”, “projection”, “outlook”, “prospects”, “plan”, or similar terms. Forward-looking statements are not guarantees of future performance. Rather, they are based on the Group’s current state of knowledge</w:t>
      </w:r>
      <w:r>
        <w:rPr>
          <w:rFonts w:ascii="Encode Sans" w:eastAsia="Encode Sans" w:hAnsi="Encode Sans" w:cs="Encode Sans"/>
          <w:sz w:val="17"/>
        </w:rPr>
        <w:t xml:space="preserve">, future expectations and projections about future events and are by their nature, subject to inherent risks and uncertainties. They relate to events and depend on circumstances that may or may not occur or exist in the future and, as such, undue reliance </w:t>
      </w:r>
      <w:r>
        <w:rPr>
          <w:rFonts w:ascii="Encode Sans" w:eastAsia="Encode Sans" w:hAnsi="Encode Sans" w:cs="Encode Sans"/>
          <w:sz w:val="17"/>
        </w:rPr>
        <w:t>should not be placed on them.</w:t>
      </w:r>
    </w:p>
    <w:p w:rsidR="00D763F2" w:rsidRDefault="00D763F2">
      <w:pPr>
        <w:spacing w:line="276" w:lineRule="auto"/>
        <w:rPr>
          <w:rFonts w:ascii="Encode Sans" w:eastAsia="Encode Sans" w:hAnsi="Encode Sans" w:cs="Encode Sans"/>
          <w:sz w:val="17"/>
        </w:rPr>
      </w:pPr>
    </w:p>
    <w:p w:rsidR="00D763F2" w:rsidRDefault="00952064">
      <w:pPr>
        <w:spacing w:line="276" w:lineRule="auto"/>
        <w:rPr>
          <w:rFonts w:ascii="Encode Sans" w:eastAsia="Encode Sans" w:hAnsi="Encode Sans" w:cs="Encode Sans"/>
          <w:sz w:val="17"/>
        </w:rPr>
      </w:pPr>
      <w:r>
        <w:rPr>
          <w:rFonts w:ascii="Encode Sans" w:eastAsia="Encode Sans" w:hAnsi="Encode Sans" w:cs="Encode Sans"/>
          <w:sz w:val="17"/>
        </w:rPr>
        <w:t>Actual results may differ materially from those expressed in forward-looking statements as a result of a variety of factors, including: the impact of the COVID-19 pandemic; the ability of the Group to launch new products succ</w:t>
      </w:r>
      <w:r>
        <w:rPr>
          <w:rFonts w:ascii="Encode Sans" w:eastAsia="Encode Sans" w:hAnsi="Encode Sans" w:cs="Encode Sans"/>
          <w:sz w:val="17"/>
        </w:rPr>
        <w:t>essfully and to maintain vehicle shipment volumes; changes in the global financial markets, general economic environment and changes in demand for automotive products, which is subject to cyclicality; changes in local economic and political conditions, cha</w:t>
      </w:r>
      <w:r>
        <w:rPr>
          <w:rFonts w:ascii="Encode Sans" w:eastAsia="Encode Sans" w:hAnsi="Encode Sans" w:cs="Encode Sans"/>
          <w:sz w:val="17"/>
        </w:rPr>
        <w:t>nges in trade policy and the imposition of global and regional tariffs or tariffs targeted to the automotive industry, the enactment of tax reforms or other changes in tax laws and regulations; the Group’s ability to expand certain of their brands globally</w:t>
      </w:r>
      <w:r>
        <w:rPr>
          <w:rFonts w:ascii="Encode Sans" w:eastAsia="Encode Sans" w:hAnsi="Encode Sans" w:cs="Encode Sans"/>
          <w:sz w:val="17"/>
        </w:rPr>
        <w:t>; its ability to offer innovative, attractive products; its ability to develop, manufacture and sell vehicles with advanced features including enhanced electrification, connectivity and autonomous-driving characteristics; various types of claims, lawsuits,</w:t>
      </w:r>
      <w:r>
        <w:rPr>
          <w:rFonts w:ascii="Encode Sans" w:eastAsia="Encode Sans" w:hAnsi="Encode Sans" w:cs="Encode Sans"/>
          <w:sz w:val="17"/>
        </w:rPr>
        <w:t xml:space="preserve"> governmental investigations and other contingencies, including product liability and warranty claims and environmental claims, investigations and lawsuits; material operating expenditures in relation to compliance with environmental, health and safety reg</w:t>
      </w:r>
      <w:r>
        <w:rPr>
          <w:rFonts w:ascii="Encode Sans" w:eastAsia="Encode Sans" w:hAnsi="Encode Sans" w:cs="Encode Sans"/>
          <w:sz w:val="17"/>
        </w:rPr>
        <w:t>ulations; the intense level of competition in the automotive industry, which may increase due to consolidation; exposure to shortfalls in the funding of the Group’s defined benefit pension plans; the ability to provide or arrange for access to adequate fin</w:t>
      </w:r>
      <w:r>
        <w:rPr>
          <w:rFonts w:ascii="Encode Sans" w:eastAsia="Encode Sans" w:hAnsi="Encode Sans" w:cs="Encode Sans"/>
          <w:sz w:val="17"/>
        </w:rPr>
        <w:t xml:space="preserve">ancing for dealers and retail customers and associated risks related to the establishment and operations of financial services companies; the ability to access funding to execute the Group’s business plans and improve their businesses, financial condition </w:t>
      </w:r>
      <w:r>
        <w:rPr>
          <w:rFonts w:ascii="Encode Sans" w:eastAsia="Encode Sans" w:hAnsi="Encode Sans" w:cs="Encode Sans"/>
          <w:sz w:val="17"/>
        </w:rPr>
        <w:t>and results of operations; a significant malfunction, disruption or security breach compromising information technology systems or the electronic control systems contained in the Group’s vehicles; the Group’s ability to realize anticipated benefits from jo</w:t>
      </w:r>
      <w:r>
        <w:rPr>
          <w:rFonts w:ascii="Encode Sans" w:eastAsia="Encode Sans" w:hAnsi="Encode Sans" w:cs="Encode Sans"/>
          <w:sz w:val="17"/>
        </w:rPr>
        <w:t>int venture arrangements; disruptions arising from political, social and economic instability; risks associated with our relationships with employees, dealers and suppliers; increases in costs, disruptions of supply or shortages of raw materials, parts, co</w:t>
      </w:r>
      <w:r>
        <w:rPr>
          <w:rFonts w:ascii="Encode Sans" w:eastAsia="Encode Sans" w:hAnsi="Encode Sans" w:cs="Encode Sans"/>
          <w:sz w:val="17"/>
        </w:rPr>
        <w:t xml:space="preserve">mponents and systems used in the Group's vehicles; developments in labor and industrial relations and developments in applicable labor laws; exchange rate fluctuations, interest rate changes, credit risk and other market risks; political and civil unrest; </w:t>
      </w:r>
      <w:r>
        <w:rPr>
          <w:rFonts w:ascii="Encode Sans" w:eastAsia="Encode Sans" w:hAnsi="Encode Sans" w:cs="Encode Sans"/>
          <w:sz w:val="17"/>
        </w:rPr>
        <w:t>earthquakes or other disasters; the risk that the operations of Peugeot S.A. and Fiat Chrysler Automobiles N.V. will not be integrated successfully and other risks and uncertainties.</w:t>
      </w:r>
    </w:p>
    <w:p w:rsidR="00D763F2" w:rsidRDefault="00D763F2">
      <w:pPr>
        <w:spacing w:line="276" w:lineRule="auto"/>
        <w:rPr>
          <w:rFonts w:ascii="Encode Sans" w:eastAsia="Encode Sans" w:hAnsi="Encode Sans" w:cs="Encode Sans"/>
          <w:sz w:val="17"/>
        </w:rPr>
      </w:pPr>
    </w:p>
    <w:p w:rsidR="00D763F2" w:rsidRDefault="00952064">
      <w:pPr>
        <w:spacing w:line="276" w:lineRule="auto"/>
        <w:rPr>
          <w:rFonts w:ascii="Encode Sans" w:eastAsia="Encode Sans" w:hAnsi="Encode Sans" w:cs="Encode Sans"/>
          <w:sz w:val="17"/>
        </w:rPr>
      </w:pPr>
      <w:r>
        <w:rPr>
          <w:rFonts w:ascii="Encode Sans" w:eastAsia="Encode Sans" w:hAnsi="Encode Sans" w:cs="Encode Sans"/>
          <w:sz w:val="17"/>
        </w:rPr>
        <w:t xml:space="preserve">Any forward-looking statements contained in this document speak only as </w:t>
      </w:r>
      <w:r>
        <w:rPr>
          <w:rFonts w:ascii="Encode Sans" w:eastAsia="Encode Sans" w:hAnsi="Encode Sans" w:cs="Encode Sans"/>
          <w:sz w:val="17"/>
        </w:rPr>
        <w:t>of the date of this document and the Group disclaims any obligation to update or revise publicly forward-looking statements. Further information concerning the Group and its businesses, including factors that could materially affect the Group’s financial r</w:t>
      </w:r>
      <w:r>
        <w:rPr>
          <w:rFonts w:ascii="Encode Sans" w:eastAsia="Encode Sans" w:hAnsi="Encode Sans" w:cs="Encode Sans"/>
          <w:sz w:val="17"/>
        </w:rPr>
        <w:t>esults, is included in the Group's reports and filings with the U.S. Securities and Exchange Commission, AFM and CONSOB.</w:t>
      </w:r>
    </w:p>
    <w:p w:rsidR="00D763F2" w:rsidRDefault="00D763F2">
      <w:pPr>
        <w:spacing w:line="276" w:lineRule="auto"/>
        <w:rPr>
          <w:rFonts w:ascii="Encode Sans" w:eastAsia="Encode Sans" w:hAnsi="Encode Sans" w:cs="Encode Sans"/>
          <w:sz w:val="17"/>
        </w:rPr>
      </w:pPr>
    </w:p>
    <w:p w:rsidR="00D763F2" w:rsidRDefault="00952064">
      <w:pPr>
        <w:spacing w:line="276" w:lineRule="auto"/>
        <w:rPr>
          <w:rFonts w:ascii="Encode Sans" w:eastAsia="Encode Sans" w:hAnsi="Encode Sans" w:cs="Encode Sans"/>
          <w:sz w:val="17"/>
        </w:rPr>
      </w:pPr>
      <w:r>
        <w:rPr>
          <w:rFonts w:ascii="Encode Sans" w:eastAsia="Encode Sans" w:hAnsi="Encode Sans" w:cs="Encode Sans"/>
          <w:sz w:val="17"/>
        </w:rPr>
        <w:t>On May 5, 2021 at 2:00 p.m. CEST / 8:00 a.m. EDT, a live audio webcast and conference call will be held to present the First Quarter 2</w:t>
      </w:r>
      <w:r>
        <w:rPr>
          <w:rFonts w:ascii="Encode Sans" w:eastAsia="Encode Sans" w:hAnsi="Encode Sans" w:cs="Encode Sans"/>
          <w:sz w:val="17"/>
        </w:rPr>
        <w:t xml:space="preserve">021 Shipments and Revenues of </w:t>
      </w:r>
      <w:proofErr w:type="spellStart"/>
      <w:r>
        <w:rPr>
          <w:rFonts w:ascii="Encode Sans" w:eastAsia="Encode Sans" w:hAnsi="Encode Sans" w:cs="Encode Sans"/>
          <w:sz w:val="17"/>
        </w:rPr>
        <w:t>Stellantis</w:t>
      </w:r>
      <w:proofErr w:type="spellEnd"/>
      <w:r>
        <w:rPr>
          <w:rFonts w:ascii="Encode Sans" w:eastAsia="Encode Sans" w:hAnsi="Encode Sans" w:cs="Encode Sans"/>
          <w:sz w:val="17"/>
        </w:rPr>
        <w:t>. The call can be followed live and a recorded replay will be available later on the Group's corporate website (https://www.stellantis.com/en). The supporting documents will be made available on the Group's website p</w:t>
      </w:r>
      <w:r>
        <w:rPr>
          <w:rFonts w:ascii="Encode Sans" w:eastAsia="Encode Sans" w:hAnsi="Encode Sans" w:cs="Encode Sans"/>
          <w:sz w:val="17"/>
        </w:rPr>
        <w:t>rior to the call.</w:t>
      </w:r>
    </w:p>
    <w:p w:rsidR="00D763F2" w:rsidRDefault="00D763F2">
      <w:pPr>
        <w:spacing w:line="276" w:lineRule="auto"/>
        <w:rPr>
          <w:rFonts w:ascii="Encode Sans" w:eastAsia="Encode Sans" w:hAnsi="Encode Sans" w:cs="Encode Sans"/>
          <w:sz w:val="17"/>
        </w:rPr>
      </w:pPr>
    </w:p>
    <w:p w:rsidR="00D763F2" w:rsidRDefault="00952064">
      <w:pPr>
        <w:spacing w:line="276" w:lineRule="auto"/>
        <w:rPr>
          <w:rFonts w:ascii="Encode Sans" w:eastAsia="Encode Sans" w:hAnsi="Encode Sans" w:cs="Encode Sans"/>
          <w:sz w:val="18"/>
        </w:rPr>
      </w:pPr>
      <w:r>
        <w:rPr>
          <w:rFonts w:ascii="Encode Sans" w:eastAsia="Encode Sans" w:hAnsi="Encode Sans" w:cs="Encode Sans"/>
          <w:b/>
          <w:color w:val="243782"/>
          <w:sz w:val="22"/>
        </w:rPr>
        <w:t>Amsterdam, May 5, 2021</w:t>
      </w:r>
    </w:p>
    <w:sectPr w:rsidR="00D763F2">
      <w:headerReference w:type="default" r:id="rId11"/>
      <w:type w:val="continuous"/>
      <w:pgSz w:w="12240" w:h="15840"/>
      <w:pgMar w:top="2070" w:right="990" w:bottom="720" w:left="900" w:header="238"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64" w:rsidRDefault="00952064">
      <w:r>
        <w:separator/>
      </w:r>
    </w:p>
  </w:endnote>
  <w:endnote w:type="continuationSeparator" w:id="0">
    <w:p w:rsidR="00952064" w:rsidRDefault="009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ncode Sans">
    <w:panose1 w:val="00000000000000000000"/>
    <w:charset w:val="00"/>
    <w:family w:val="auto"/>
    <w:pitch w:val="variable"/>
    <w:sig w:usb0="A00000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F2" w:rsidRDefault="00952064">
    <w:pPr>
      <w:spacing w:line="288" w:lineRule="auto"/>
      <w:outlineLvl w:val="0"/>
      <w:rPr>
        <w:rFonts w:ascii="Century Gothic" w:eastAsia="Century Gothic" w:hAnsi="Century Gothic" w:cs="Century Gothic"/>
        <w:i/>
        <w:sz w:val="12"/>
      </w:rPr>
    </w:pPr>
    <w:r>
      <w:rPr>
        <w:rFonts w:ascii="Century Gothic" w:eastAsia="Century Gothic" w:hAnsi="Century Gothic" w:cs="Century Gothic"/>
        <w:i/>
        <w:sz w:val="12"/>
      </w:rPr>
      <w:t>Refer to page 4 for an explanation of the items referenced on this pa</w:t>
    </w:r>
    <w:r>
      <w:rPr>
        <w:rFonts w:ascii="Century Gothic" w:eastAsia="Century Gothic" w:hAnsi="Century Gothic" w:cs="Century Gothic"/>
        <w:i/>
        <w:sz w:val="12"/>
      </w:rPr>
      <w:t>ge.</w:t>
    </w:r>
  </w:p>
  <w:p w:rsidR="00D763F2" w:rsidRDefault="00952064">
    <w:pPr>
      <w:spacing w:line="288" w:lineRule="auto"/>
      <w:jc w:val="center"/>
      <w:rPr>
        <w:rFonts w:ascii="Century Gothic" w:eastAsia="Century Gothic" w:hAnsi="Century Gothic" w:cs="Century Gothic"/>
        <w:i/>
        <w:sz w:val="16"/>
      </w:rPr>
    </w:pPr>
    <w:r>
      <w:rPr>
        <w:rFonts w:ascii="Century Gothic" w:eastAsia="Century Gothic" w:hAnsi="Century Gothic" w:cs="Century Gothic"/>
        <w:sz w:val="16"/>
      </w:rPr>
      <w:fldChar w:fldCharType="begin"/>
    </w:r>
    <w:r>
      <w:rPr>
        <w:rFonts w:ascii="Century Gothic" w:eastAsia="Century Gothic" w:hAnsi="Century Gothic" w:cs="Century Gothic"/>
        <w:sz w:val="16"/>
      </w:rPr>
      <w:instrText xml:space="preserve"> PAGE </w:instrText>
    </w:r>
    <w:r>
      <w:rPr>
        <w:rFonts w:ascii="Century Gothic" w:eastAsia="Century Gothic" w:hAnsi="Century Gothic" w:cs="Century Gothic"/>
        <w:sz w:val="16"/>
      </w:rPr>
      <w:fldChar w:fldCharType="separate"/>
    </w:r>
    <w:r w:rsidR="000234D5">
      <w:rPr>
        <w:rFonts w:ascii="Century Gothic" w:eastAsia="Century Gothic" w:hAnsi="Century Gothic" w:cs="Century Gothic"/>
        <w:noProof/>
        <w:sz w:val="16"/>
      </w:rPr>
      <w:t>1</w:t>
    </w:r>
    <w:r>
      <w:rPr>
        <w:rFonts w:ascii="Century Gothic" w:eastAsia="Century Gothic" w:hAnsi="Century Gothic" w:cs="Century Gothic"/>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F2" w:rsidRDefault="00952064">
    <w:pPr>
      <w:spacing w:line="288" w:lineRule="auto"/>
      <w:outlineLvl w:val="0"/>
      <w:rPr>
        <w:rFonts w:ascii="Century Gothic" w:eastAsia="Century Gothic" w:hAnsi="Century Gothic" w:cs="Century Gothic"/>
        <w:i/>
        <w:sz w:val="12"/>
      </w:rPr>
    </w:pPr>
    <w:r>
      <w:rPr>
        <w:rFonts w:ascii="Century Gothic" w:eastAsia="Century Gothic" w:hAnsi="Century Gothic" w:cs="Century Gothic"/>
        <w:i/>
        <w:sz w:val="12"/>
      </w:rPr>
      <w:t>Refer to page 4 for an explanation of the items referenced on this page.</w:t>
    </w:r>
  </w:p>
  <w:p w:rsidR="00D763F2" w:rsidRDefault="00952064">
    <w:pPr>
      <w:spacing w:line="288" w:lineRule="auto"/>
      <w:jc w:val="center"/>
      <w:rPr>
        <w:rFonts w:ascii="Century Gothic" w:eastAsia="Century Gothic" w:hAnsi="Century Gothic" w:cs="Century Gothic"/>
        <w:i/>
        <w:sz w:val="16"/>
      </w:rPr>
    </w:pPr>
    <w:r>
      <w:rPr>
        <w:rFonts w:ascii="Century Gothic" w:eastAsia="Century Gothic" w:hAnsi="Century Gothic" w:cs="Century Gothic"/>
        <w:sz w:val="16"/>
      </w:rPr>
      <w:fldChar w:fldCharType="begin"/>
    </w:r>
    <w:r>
      <w:rPr>
        <w:rFonts w:ascii="Century Gothic" w:eastAsia="Century Gothic" w:hAnsi="Century Gothic" w:cs="Century Gothic"/>
        <w:sz w:val="16"/>
      </w:rPr>
      <w:instrText xml:space="preserve"> PAGE </w:instrText>
    </w:r>
    <w:r>
      <w:rPr>
        <w:rFonts w:ascii="Century Gothic" w:eastAsia="Century Gothic" w:hAnsi="Century Gothic" w:cs="Century Gothic"/>
        <w:sz w:val="16"/>
      </w:rPr>
      <w:fldChar w:fldCharType="separate"/>
    </w:r>
    <w:r w:rsidR="000234D5">
      <w:rPr>
        <w:rFonts w:ascii="Century Gothic" w:eastAsia="Century Gothic" w:hAnsi="Century Gothic" w:cs="Century Gothic"/>
        <w:noProof/>
        <w:sz w:val="16"/>
      </w:rPr>
      <w:t>4</w:t>
    </w:r>
    <w:r>
      <w:rPr>
        <w:rFonts w:ascii="Century Gothic" w:eastAsia="Century Gothic" w:hAnsi="Century Gothic" w:cs="Century Gothic"/>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64" w:rsidRDefault="00952064">
      <w:r>
        <w:separator/>
      </w:r>
    </w:p>
  </w:footnote>
  <w:footnote w:type="continuationSeparator" w:id="0">
    <w:p w:rsidR="00952064" w:rsidRDefault="0095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F2" w:rsidRDefault="00952064">
    <w:pPr>
      <w:spacing w:line="288" w:lineRule="auto"/>
      <w:jc w:val="center"/>
      <w:rPr>
        <w:rFonts w:ascii="Century Gothic" w:eastAsia="Century Gothic" w:hAnsi="Century Gothic" w:cs="Century Gothic"/>
        <w:sz w:val="20"/>
      </w:rPr>
    </w:pPr>
    <w:r>
      <w:rPr>
        <w:rFonts w:ascii="Century Gothic" w:eastAsia="Century Gothic" w:hAnsi="Century Gothic" w:cs="Century Gothic"/>
        <w:sz w:val="20"/>
      </w:rPr>
      <w:t xml:space="preserve">                                           </w:t>
    </w:r>
  </w:p>
  <w:p w:rsidR="00D763F2" w:rsidRDefault="00952064">
    <w:pPr>
      <w:spacing w:line="288" w:lineRule="auto"/>
      <w:jc w:val="center"/>
      <w:rPr>
        <w:rFonts w:ascii="Century Gothic" w:eastAsia="Century Gothic" w:hAnsi="Century Gothic" w:cs="Century Gothic"/>
        <w:sz w:val="20"/>
      </w:rPr>
    </w:pPr>
    <w:r>
      <w:rPr>
        <w:noProof/>
        <w:lang w:val="it-IT" w:eastAsia="it-IT"/>
      </w:rPr>
      <w:drawing>
        <wp:inline distT="0" distB="0" distL="0" distR="0">
          <wp:extent cx="3343275" cy="942975"/>
          <wp:effectExtent l="0" t="0" r="0" b="0"/>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43275" cy="942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F2" w:rsidRDefault="00952064">
    <w:pPr>
      <w:spacing w:line="288" w:lineRule="auto"/>
      <w:jc w:val="center"/>
      <w:rPr>
        <w:rFonts w:ascii="Century Gothic" w:eastAsia="Century Gothic" w:hAnsi="Century Gothic" w:cs="Century Gothic"/>
        <w:sz w:val="20"/>
      </w:rPr>
    </w:pPr>
    <w:r>
      <w:rPr>
        <w:rFonts w:ascii="Century Gothic" w:eastAsia="Century Gothic" w:hAnsi="Century Gothic" w:cs="Century Gothic"/>
        <w:sz w:val="20"/>
      </w:rPr>
      <w:t xml:space="preserve">                                           </w:t>
    </w:r>
  </w:p>
  <w:p w:rsidR="00D763F2" w:rsidRDefault="00952064">
    <w:pPr>
      <w:spacing w:line="288" w:lineRule="auto"/>
      <w:jc w:val="center"/>
      <w:rPr>
        <w:rFonts w:ascii="Century Gothic" w:eastAsia="Century Gothic" w:hAnsi="Century Gothic" w:cs="Century Gothic"/>
        <w:sz w:val="20"/>
      </w:rPr>
    </w:pPr>
    <w:r>
      <w:rPr>
        <w:noProof/>
        <w:lang w:val="it-IT" w:eastAsia="it-IT"/>
      </w:rPr>
      <w:drawing>
        <wp:inline distT="0" distB="0" distL="0" distR="0">
          <wp:extent cx="3343275" cy="942975"/>
          <wp:effectExtent l="0" t="0" r="0" b="0"/>
          <wp:docPr id="2050" name="Imag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20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43275" cy="942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F2" w:rsidRDefault="00D763F2">
    <w:pPr>
      <w:spacing w:line="288" w:lineRule="auto"/>
      <w:jc w:val="center"/>
      <w:rPr>
        <w:rFonts w:ascii="Century Gothic" w:eastAsia="Century Gothic" w:hAnsi="Century Gothic" w:cs="Century Gothic"/>
        <w:sz w:val="20"/>
      </w:rPr>
    </w:pPr>
  </w:p>
  <w:p w:rsidR="00D763F2" w:rsidRDefault="00952064">
    <w:pPr>
      <w:spacing w:line="288" w:lineRule="auto"/>
      <w:jc w:val="center"/>
      <w:rPr>
        <w:rFonts w:ascii="Century Gothic" w:eastAsia="Century Gothic" w:hAnsi="Century Gothic" w:cs="Century Gothic"/>
        <w:sz w:val="20"/>
      </w:rPr>
    </w:pPr>
    <w:r>
      <w:rPr>
        <w:noProof/>
        <w:lang w:val="it-IT" w:eastAsia="it-IT"/>
      </w:rPr>
      <w:drawing>
        <wp:inline distT="0" distB="0" distL="0" distR="0">
          <wp:extent cx="3343275" cy="942975"/>
          <wp:effectExtent l="0" t="0" r="0" b="0"/>
          <wp:docPr id="2051" name="Imag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20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432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13"/>
    <w:multiLevelType w:val="multilevel"/>
    <w:tmpl w:val="00000001"/>
    <w:lvl w:ilvl="0">
      <w:start w:val="1"/>
      <w:numFmt w:val="decimal"/>
      <w:lvlText w:val="•"/>
      <w:lvlJc w:val="left"/>
      <w:pPr>
        <w:tabs>
          <w:tab w:val="num" w:pos="720"/>
        </w:tabs>
        <w:ind w:left="720" w:hanging="360"/>
      </w:pPr>
      <w:rPr>
        <w:rFonts w:ascii="Encode Sans" w:eastAsia="Encode Sans" w:hAnsi="Encode Sans" w:cs="Encode Sans"/>
        <w:color w:val="243782"/>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29"/>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3"/>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30"/>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44"/>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51"/>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60"/>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6A"/>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4D5"/>
    <w:rsid w:val="00952064"/>
    <w:rsid w:val="00A77B3E"/>
    <w:rsid w:val="00CA2A55"/>
    <w:rsid w:val="00D76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B3128D-DDBA-4D7B-AFFD-65D70AF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DiscSYMBOL">
    <w:name w:val="DiscSYMBO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2687</Words>
  <Characters>15318</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Stellantis NV Q1 2021 Press Release</vt: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Stellantis NV Q1 2021 Press Release</dc:title>
  <dc:creator>Carlo Moschietto La Fransa</dc:creator>
  <cp:lastModifiedBy>Carlo Moschietto La Fransa</cp:lastModifiedBy>
  <cp:revision>2</cp:revision>
  <dcterms:created xsi:type="dcterms:W3CDTF">2021-05-05T07:34:00Z</dcterms:created>
  <dcterms:modified xsi:type="dcterms:W3CDTF">2021-05-05T07:34:00Z</dcterms:modified>
</cp:coreProperties>
</file>