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D1" w:rsidRDefault="007135D1">
      <w:pPr>
        <w:shd w:val="clear" w:color="auto" w:fill="FFFFFF"/>
        <w:rPr>
          <w:rFonts w:ascii="Encode Sans" w:eastAsia="Encode Sans" w:hAnsi="Encode Sans" w:cs="Encode Sans"/>
          <w:color w:val="222222"/>
        </w:rPr>
      </w:pPr>
    </w:p>
    <w:p w:rsidR="007135D1" w:rsidRPr="00D9161E" w:rsidRDefault="00E36C02">
      <w:pPr>
        <w:shd w:val="clear" w:color="auto" w:fill="FFFFFF"/>
        <w:spacing w:before="240" w:after="240"/>
        <w:rPr>
          <w:rFonts w:eastAsia="Encode Sans"/>
          <w:i/>
        </w:rPr>
      </w:pPr>
      <w:r>
        <w:rPr>
          <w:b/>
          <w:color w:val="222222"/>
        </w:rPr>
        <w:t>Stellantis e Foxconn svilupperanno rivoluzionari Digital Cockpits e servizi connessi personalizzati</w:t>
      </w:r>
      <w:r>
        <w:rPr>
          <w:b/>
        </w:rPr>
        <w:t xml:space="preserve"> in </w:t>
      </w:r>
      <w:r w:rsidR="001A3526">
        <w:rPr>
          <w:b/>
        </w:rPr>
        <w:t xml:space="preserve">una </w:t>
      </w:r>
      <w:r>
        <w:rPr>
          <w:b/>
        </w:rPr>
        <w:t>nuova joint venture che si chiamerà Mobile Drive</w:t>
      </w:r>
    </w:p>
    <w:p w:rsidR="007135D1" w:rsidRPr="00F8481F" w:rsidRDefault="00E36C02">
      <w:pPr>
        <w:numPr>
          <w:ilvl w:val="0"/>
          <w:numId w:val="1"/>
        </w:numPr>
        <w:shd w:val="clear" w:color="auto" w:fill="FFFFFF"/>
        <w:spacing w:before="240"/>
        <w:rPr>
          <w:rFonts w:eastAsia="Encode Sans"/>
          <w:color w:val="222222"/>
        </w:rPr>
      </w:pPr>
      <w:r>
        <w:rPr>
          <w:color w:val="222222"/>
        </w:rPr>
        <w:t>Mobile Drive, con investimenti di Foxconn e Stellantis, sarà in grado di accelerare i tempi per la messa sul mercato delle più avanzate tecnologie di in-car e connected-car del settore</w:t>
      </w:r>
    </w:p>
    <w:p w:rsidR="007135D1" w:rsidRPr="00F8481F" w:rsidRDefault="00E36C02">
      <w:pPr>
        <w:numPr>
          <w:ilvl w:val="0"/>
          <w:numId w:val="1"/>
        </w:numPr>
        <w:shd w:val="clear" w:color="auto" w:fill="FFFFFF"/>
        <w:rPr>
          <w:rFonts w:eastAsia="Encode Sans"/>
          <w:color w:val="222222"/>
        </w:rPr>
      </w:pPr>
      <w:r>
        <w:rPr>
          <w:color w:val="222222"/>
        </w:rPr>
        <w:t>Mobile Drive unisce insieme competenze nelle innovazioni per il consumatore nei settori della mobilità sostenibile e dei componenti elettronici all’avanguardia</w:t>
      </w:r>
    </w:p>
    <w:p w:rsidR="007135D1" w:rsidRPr="00F8481F" w:rsidRDefault="00E36C02">
      <w:pPr>
        <w:numPr>
          <w:ilvl w:val="0"/>
          <w:numId w:val="1"/>
        </w:numPr>
        <w:shd w:val="clear" w:color="auto" w:fill="FFFFFF"/>
        <w:spacing w:after="240"/>
        <w:rPr>
          <w:rFonts w:eastAsia="Encode Sans"/>
          <w:color w:val="222222"/>
        </w:rPr>
      </w:pPr>
      <w:r>
        <w:rPr>
          <w:color w:val="222222"/>
        </w:rPr>
        <w:t xml:space="preserve">La joint venture sarà in grado di mettere in campo offerte competitive per contratti globali </w:t>
      </w:r>
      <w:r w:rsidR="001A3526">
        <w:rPr>
          <w:color w:val="222222"/>
        </w:rPr>
        <w:t xml:space="preserve">riguardanti </w:t>
      </w:r>
      <w:r>
        <w:rPr>
          <w:color w:val="222222"/>
        </w:rPr>
        <w:t xml:space="preserve">veicoli </w:t>
      </w:r>
      <w:r w:rsidR="001A3526">
        <w:rPr>
          <w:color w:val="222222"/>
        </w:rPr>
        <w:t>di</w:t>
      </w:r>
      <w:r>
        <w:rPr>
          <w:color w:val="222222"/>
        </w:rPr>
        <w:t xml:space="preserve"> Stellantis e </w:t>
      </w:r>
      <w:r w:rsidR="001A3526">
        <w:rPr>
          <w:color w:val="222222"/>
        </w:rPr>
        <w:t xml:space="preserve">di </w:t>
      </w:r>
      <w:r>
        <w:rPr>
          <w:color w:val="222222"/>
        </w:rPr>
        <w:t>altre aziende del settore automobilistico</w:t>
      </w:r>
    </w:p>
    <w:p w:rsidR="007135D1" w:rsidRPr="00F8481F" w:rsidRDefault="008C6D4C">
      <w:pPr>
        <w:shd w:val="clear" w:color="auto" w:fill="FFFFFF"/>
        <w:spacing w:before="240" w:after="240"/>
        <w:rPr>
          <w:rFonts w:eastAsia="Encode Sans"/>
          <w:color w:val="222222"/>
        </w:rPr>
      </w:pPr>
      <w:r>
        <w:rPr>
          <w:color w:val="222222"/>
        </w:rPr>
        <w:t>Amsterdam, Taipe</w:t>
      </w:r>
      <w:r w:rsidR="00D349A7">
        <w:rPr>
          <w:color w:val="222222"/>
        </w:rPr>
        <w:t>i, 1</w:t>
      </w:r>
      <w:r w:rsidR="005B0D34">
        <w:rPr>
          <w:color w:val="222222"/>
        </w:rPr>
        <w:t>8</w:t>
      </w:r>
      <w:r w:rsidR="00D349A7">
        <w:rPr>
          <w:color w:val="222222"/>
        </w:rPr>
        <w:t xml:space="preserve"> Maggio 2021 - Stellantis NV (NYSE / MTA / Euronext Paris: STLA) (“Stellantis”) e Hon Hai Precision Industry Co., Ltd., (“Foxconn”) (TPE: 2317), in collaborazione con la sua società sussidiaria FIH Mobile Ltd., (“FIH”) (HKG:2038), annunciano oggi la firma di un memorandum d’intesa non vincolante per dare vita a Mobile Drive, una joint venture 50/50, che mira a velocizzare i tempi di sviluppo per fornire esperienze innovative agli automobilisti, rese possibili da elettronica di consumo avanzata, interfaccia HMI e servizi che supereranno le aspettative dei clienti. </w:t>
      </w:r>
    </w:p>
    <w:p w:rsidR="007135D1" w:rsidRPr="00F8481F" w:rsidRDefault="00E36C02">
      <w:pPr>
        <w:shd w:val="clear" w:color="auto" w:fill="FFFFFF"/>
        <w:spacing w:before="240" w:after="240"/>
        <w:rPr>
          <w:rFonts w:eastAsia="Encode Sans"/>
          <w:color w:val="222222"/>
        </w:rPr>
      </w:pPr>
      <w:r>
        <w:rPr>
          <w:color w:val="222222"/>
        </w:rPr>
        <w:t>Mobile Drive unirà l’esperienza di Stellantis nella progettazione dei veicoli a 360° e le sue competenze ingegneristiche, con la capacità di Foxconn di sviluppare a livello globale software e hardware per smartphone e elettronica destinata al consumatore finale. Un mix che posizionerà Mobile Drive in prima linea nello sforzo globale per fornire nuove frontiere di informazioni a bordo del veicolo e di capacità di intrattenimento, connesse senza soluzione di continuità all’interno e all'esterno dei veicoli in cui sono installate.</w:t>
      </w:r>
    </w:p>
    <w:p w:rsidR="007135D1" w:rsidRPr="00F8481F" w:rsidRDefault="00E36C02">
      <w:pPr>
        <w:shd w:val="clear" w:color="auto" w:fill="FFFFFF"/>
        <w:spacing w:before="240" w:after="240"/>
        <w:rPr>
          <w:rFonts w:eastAsia="Encode Sans"/>
          <w:color w:val="222222"/>
        </w:rPr>
      </w:pPr>
      <w:r>
        <w:rPr>
          <w:color w:val="222222"/>
        </w:rPr>
        <w:t>“Oggi, c’è qualcosa che conta tanto quanto un design accattivante o una tecnologia innovativa, è il modo in cui le caratteristiche all’interno dei nostri veicoli migliorano la vita dei nostri clienti,” afferma Carlos Tavares, amministratore delegato di Stellantis. “Il software è un elemento strategico per il nostro settore e Stellantis vuole esserne leader con Mobile Drive, una società che renderà possibile il rapido sviluppo</w:t>
      </w:r>
      <w:r>
        <w:t xml:space="preserve"> di funzioni di connettività e servizi che rappresentano la prossima grande evoluzione nel nostro settore, così come è stato con la tecnologia di elettrificazione.</w:t>
      </w:r>
      <w:r>
        <w:rPr>
          <w:color w:val="222222"/>
        </w:rPr>
        <w:t>”</w:t>
      </w:r>
    </w:p>
    <w:p w:rsidR="007135D1" w:rsidRPr="00F8481F" w:rsidRDefault="001978F7">
      <w:pPr>
        <w:shd w:val="clear" w:color="auto" w:fill="FFFFFF"/>
        <w:spacing w:before="240" w:after="240"/>
        <w:rPr>
          <w:rFonts w:eastAsia="Encode Sans"/>
          <w:color w:val="222222"/>
        </w:rPr>
      </w:pPr>
      <w:r>
        <w:rPr>
          <w:color w:val="222222"/>
        </w:rPr>
        <w:t>“I veicoli del futuro saranno sempre più guidati e caratterizzati dal software. I clienti di oggi e quelli di domani chiedono e si aspettano soluzioni sempre più creative e basate sul software, soluzioni che permettano di connettere i conducenti e i passeggeri al veicolo, dentro e fuori. Mobile Drive intende andare incontro e superare queste aspettative grazie al coinvolgimento di team di designer e di ingegneri software e hardware,” afferma Young Liu, presidente di Foxconn. “Si tratta di un’estensione naturale della leadership globale di Foxconn nello sviluppo e nell’impiego di tecnologie intelligenti per migliorare la qualità della vita dei consumatori in tutto il mondo.”</w:t>
      </w:r>
    </w:p>
    <w:p w:rsidR="007135D1" w:rsidRPr="00F8481F" w:rsidRDefault="00E36C02">
      <w:pPr>
        <w:shd w:val="clear" w:color="auto" w:fill="FFFFFF"/>
        <w:spacing w:before="240" w:after="240"/>
        <w:rPr>
          <w:rFonts w:eastAsia="Encode Sans"/>
          <w:color w:val="222222"/>
        </w:rPr>
      </w:pPr>
      <w:r>
        <w:rPr>
          <w:color w:val="222222"/>
        </w:rPr>
        <w:lastRenderedPageBreak/>
        <w:t xml:space="preserve">Tutto quanto sviluppato da Mobile Drive sarà in comproprietà </w:t>
      </w:r>
      <w:r w:rsidR="00035605">
        <w:rPr>
          <w:color w:val="222222"/>
        </w:rPr>
        <w:t>tra</w:t>
      </w:r>
      <w:r>
        <w:rPr>
          <w:color w:val="222222"/>
        </w:rPr>
        <w:t xml:space="preserve"> Stellantis e Foxconn. La joint venture</w:t>
      </w:r>
      <w:r>
        <w:t xml:space="preserve">, con sede in Olanda, </w:t>
      </w:r>
      <w:r>
        <w:rPr>
          <w:color w:val="222222"/>
        </w:rPr>
        <w:t>opererà come fornitore del settore automobilistico, elaborando offerte competitive per fornire soluzioni software e relativi hardware a Stellantis e altre case automobilistiche interessate.</w:t>
      </w:r>
    </w:p>
    <w:p w:rsidR="001978F7" w:rsidRDefault="001978F7">
      <w:pPr>
        <w:shd w:val="clear" w:color="auto" w:fill="FFFFFF"/>
        <w:spacing w:before="240" w:after="240"/>
        <w:rPr>
          <w:rFonts w:eastAsia="Encode Sans"/>
          <w:color w:val="222222"/>
        </w:rPr>
      </w:pPr>
      <w:r>
        <w:rPr>
          <w:color w:val="222222"/>
        </w:rPr>
        <w:t xml:space="preserve">“Facendo leva sulle vaste conoscenze di Foxconn in merito all’esperienza dell’utente e allo sviluppo di software nel panorama delle soluzioni mobile, Mobile Drive offrirà la rivoluzionaria soluzione smart cockpit che integrerà perfettamente l’automobile nello stile di vita incentrato sui dispositivi mobili dell’automobilista,” Calvin Chih, amministratore delegato di FIH. </w:t>
      </w:r>
    </w:p>
    <w:p w:rsidR="007135D1" w:rsidRPr="00F8481F" w:rsidRDefault="00E36C02">
      <w:pPr>
        <w:shd w:val="clear" w:color="auto" w:fill="FFFFFF"/>
        <w:spacing w:before="240" w:after="240"/>
        <w:rPr>
          <w:rFonts w:eastAsia="Encode Sans"/>
          <w:color w:val="222222"/>
        </w:rPr>
      </w:pPr>
      <w:r>
        <w:rPr>
          <w:color w:val="222222"/>
        </w:rPr>
        <w:t xml:space="preserve">“Grazie a questa partnership, saremo in grado di superare gli attuali confini della tecnologia delle auto connesse e offriremo esperienze coinvolgenti mai viste prima,” afferma Yves Bonnefont, Chief Software Officer di Stellantis. “Sostanzialmente Mobile Drive ci fornisce l’agilità di cui abbiamo bisogno per offrire l'esperienza digitale del futuro con la rapidità richiesta dai nostri clienti.” </w:t>
      </w:r>
    </w:p>
    <w:p w:rsidR="00D9161E" w:rsidRDefault="00E36C02">
      <w:pPr>
        <w:shd w:val="clear" w:color="auto" w:fill="FFFFFF"/>
        <w:spacing w:before="240" w:after="240"/>
        <w:rPr>
          <w:rFonts w:eastAsia="Encode Sans"/>
        </w:rPr>
      </w:pPr>
      <w:r>
        <w:t xml:space="preserve">Mobile Drive si focalizzerà su infotainment, telematica e sviluppo di piattaforme cloud service attraverso innovazioni di software che dovrebbero includere applicazioni basate su intelligenza artificiale, comunicazione 5G, servizi over-the-air avanzati, opportunità di e-commerce e integrazioni smart cockpit. </w:t>
      </w:r>
    </w:p>
    <w:p w:rsidR="007135D1" w:rsidRPr="00F8481F" w:rsidRDefault="00E36C02">
      <w:pPr>
        <w:shd w:val="clear" w:color="auto" w:fill="FFFFFF"/>
        <w:spacing w:before="240" w:after="240"/>
        <w:rPr>
          <w:rFonts w:eastAsia="Encode Sans"/>
          <w:color w:val="222222"/>
        </w:rPr>
      </w:pPr>
      <w:r>
        <w:rPr>
          <w:color w:val="222222"/>
        </w:rPr>
        <w:t>Foxconn e Stellantis sono già stati partner in precedenza nello sviluppo del progetto</w:t>
      </w:r>
      <w:hyperlink r:id="rId7">
        <w:r>
          <w:rPr>
            <w:color w:val="222222"/>
          </w:rPr>
          <w:t xml:space="preserve"> </w:t>
        </w:r>
      </w:hyperlink>
      <w:hyperlink r:id="rId8">
        <w:r>
          <w:rPr>
            <w:color w:val="1155CC"/>
            <w:u w:val="single"/>
          </w:rPr>
          <w:t>Airflow Vision</w:t>
        </w:r>
      </w:hyperlink>
      <w:r>
        <w:rPr>
          <w:color w:val="222222"/>
        </w:rPr>
        <w:t xml:space="preserve"> concept, presentato al CES®, il più importante evento tecnologico mondiale. Il concept ha saputo rappresentare il pensiero di entrambe le aziende riguardo una nuova generazione di trasporto premium e esperienza dell’utente.</w:t>
      </w:r>
    </w:p>
    <w:p w:rsidR="007135D1" w:rsidRPr="00F8481F" w:rsidRDefault="00E36C02">
      <w:pPr>
        <w:shd w:val="clear" w:color="auto" w:fill="FFFFFF"/>
        <w:spacing w:before="240" w:after="240"/>
        <w:jc w:val="center"/>
        <w:rPr>
          <w:rFonts w:eastAsia="Encode Sans"/>
          <w:color w:val="222222"/>
        </w:rPr>
      </w:pPr>
      <w:r>
        <w:rPr>
          <w:color w:val="222222"/>
        </w:rPr>
        <w:t xml:space="preserve"> # # #</w:t>
      </w:r>
    </w:p>
    <w:p w:rsidR="007135D1" w:rsidRPr="00F8481F" w:rsidRDefault="007135D1">
      <w:pPr>
        <w:shd w:val="clear" w:color="auto" w:fill="FFFFFF"/>
        <w:spacing w:before="240" w:after="240"/>
        <w:jc w:val="center"/>
        <w:rPr>
          <w:rFonts w:eastAsia="Encode Sans"/>
          <w:color w:val="222222"/>
        </w:rPr>
      </w:pPr>
    </w:p>
    <w:p w:rsidR="00716F99" w:rsidRPr="00716F99" w:rsidRDefault="00716F99" w:rsidP="00E02675">
      <w:pPr>
        <w:shd w:val="clear" w:color="auto" w:fill="FFFFFF"/>
        <w:spacing w:line="240" w:lineRule="auto"/>
        <w:rPr>
          <w:rFonts w:eastAsia="Encode Sans"/>
          <w:b/>
          <w:color w:val="222222"/>
        </w:rPr>
      </w:pPr>
      <w:r>
        <w:rPr>
          <w:b/>
          <w:color w:val="222222"/>
        </w:rPr>
        <w:t>Foxconn</w:t>
      </w:r>
    </w:p>
    <w:p w:rsidR="00716F99" w:rsidRPr="000D7DF7" w:rsidRDefault="00716F99" w:rsidP="00E02675">
      <w:pPr>
        <w:shd w:val="clear" w:color="auto" w:fill="FFFFFF"/>
        <w:spacing w:line="240" w:lineRule="auto"/>
        <w:rPr>
          <w:rFonts w:eastAsia="Encode Sans"/>
          <w:i/>
          <w:color w:val="222222"/>
          <w:sz w:val="18"/>
          <w:szCs w:val="18"/>
        </w:rPr>
      </w:pPr>
      <w:r w:rsidRPr="000D7DF7">
        <w:rPr>
          <w:i/>
          <w:color w:val="222222"/>
          <w:sz w:val="18"/>
          <w:szCs w:val="18"/>
        </w:rPr>
        <w:t>Fondata a Taiwan nel 1974, Hon Hai Precision Industry Co., Ltd., (“Foxconn”) (TPE: 2317) è il più grande produttore di componenti elettronici al mondo. Foxconn è anche il principale fornitore di soluzioni tecnologiche e sfrutta continuamente le sue competenze in termini di software e hardware al fine di integrare i suoi sistemi produttivi esclusivi con le tecnologie emergenti. Per maggiori informazioni, visita il sito</w:t>
      </w:r>
      <w:r w:rsidRPr="000D7DF7">
        <w:rPr>
          <w:sz w:val="18"/>
          <w:szCs w:val="18"/>
        </w:rPr>
        <w:t xml:space="preserve"> </w:t>
      </w:r>
      <w:hyperlink r:id="rId9" w:history="1">
        <w:r w:rsidRPr="000D7DF7">
          <w:rPr>
            <w:rStyle w:val="Hyperlink"/>
            <w:i/>
            <w:sz w:val="18"/>
            <w:szCs w:val="18"/>
          </w:rPr>
          <w:t>www.honhai.com</w:t>
        </w:r>
      </w:hyperlink>
      <w:r w:rsidRPr="000D7DF7">
        <w:rPr>
          <w:i/>
          <w:color w:val="222222"/>
          <w:sz w:val="18"/>
          <w:szCs w:val="18"/>
        </w:rPr>
        <w:t>.</w:t>
      </w:r>
    </w:p>
    <w:p w:rsidR="00E02675" w:rsidRDefault="00E02675" w:rsidP="00E02675">
      <w:pPr>
        <w:shd w:val="clear" w:color="auto" w:fill="FFFFFF"/>
        <w:spacing w:line="240" w:lineRule="auto"/>
        <w:rPr>
          <w:rFonts w:eastAsia="Encode Sans"/>
          <w:b/>
          <w:color w:val="222222"/>
        </w:rPr>
      </w:pPr>
    </w:p>
    <w:p w:rsidR="007135D1" w:rsidRPr="00F8481F" w:rsidRDefault="00E36C02" w:rsidP="00E02675">
      <w:pPr>
        <w:shd w:val="clear" w:color="auto" w:fill="FFFFFF"/>
        <w:spacing w:line="240" w:lineRule="auto"/>
        <w:rPr>
          <w:rFonts w:eastAsia="Encode Sans"/>
          <w:b/>
          <w:color w:val="222222"/>
        </w:rPr>
      </w:pPr>
      <w:r>
        <w:rPr>
          <w:b/>
          <w:color w:val="222222"/>
        </w:rPr>
        <w:t>FIH</w:t>
      </w:r>
    </w:p>
    <w:p w:rsidR="007135D1" w:rsidRPr="000D7DF7" w:rsidRDefault="00E36C02" w:rsidP="00E02675">
      <w:pPr>
        <w:shd w:val="clear" w:color="auto" w:fill="FFFFFF"/>
        <w:spacing w:line="240" w:lineRule="auto"/>
        <w:rPr>
          <w:rFonts w:eastAsia="Encode Sans"/>
          <w:i/>
          <w:color w:val="222222"/>
          <w:sz w:val="18"/>
          <w:szCs w:val="18"/>
        </w:rPr>
      </w:pPr>
      <w:r w:rsidRPr="000D7DF7">
        <w:rPr>
          <w:i/>
          <w:color w:val="222222"/>
          <w:sz w:val="18"/>
          <w:szCs w:val="18"/>
        </w:rPr>
        <w:t>Sussidiaria di Hon Hai Precision Industry e leader nel settore mondiale dei dispositivi mobili, FIH offre servizi di progettazione, sviluppo e produzione end-to-end integrati verticalmente, compresi telefoni, dispositivi mobili e dispositivi di comunicazione wireless e prodotti di elettronica di consumo. Entrando nell'era di internet, FIH ha sfruttato i suoi principali punti di forza nel campo hardware e software per accedere ai settori 5G, AI, IoT e IoV (Internet of Vehicle), costruendo un ecosistema internet e mobile completo.</w:t>
      </w:r>
    </w:p>
    <w:p w:rsidR="00E02675" w:rsidRPr="00D349A7" w:rsidRDefault="00E02675" w:rsidP="00E02675">
      <w:pPr>
        <w:shd w:val="clear" w:color="auto" w:fill="FFFFFF"/>
        <w:spacing w:line="240" w:lineRule="auto"/>
        <w:rPr>
          <w:rFonts w:eastAsia="Encode Sans"/>
          <w:b/>
          <w:i/>
          <w:color w:val="222222"/>
        </w:rPr>
      </w:pPr>
    </w:p>
    <w:p w:rsidR="007135D1" w:rsidRPr="008C6D4C" w:rsidRDefault="00E36C02" w:rsidP="00E02675">
      <w:pPr>
        <w:shd w:val="clear" w:color="auto" w:fill="FFFFFF"/>
        <w:spacing w:line="240" w:lineRule="auto"/>
        <w:rPr>
          <w:rFonts w:ascii="Encode Sans Light" w:eastAsia="Encode Sans" w:hAnsi="Encode Sans Light"/>
          <w:b/>
          <w:color w:val="222222"/>
        </w:rPr>
      </w:pPr>
      <w:r w:rsidRPr="008C6D4C">
        <w:rPr>
          <w:rFonts w:ascii="Encode Sans Light" w:hAnsi="Encode Sans Light"/>
          <w:b/>
          <w:color w:val="222222"/>
        </w:rPr>
        <w:t>Stellantis</w:t>
      </w:r>
    </w:p>
    <w:p w:rsidR="007135D1" w:rsidRPr="008C6D4C" w:rsidRDefault="00E36C02" w:rsidP="00E02675">
      <w:pPr>
        <w:shd w:val="clear" w:color="auto" w:fill="FFFFFF"/>
        <w:spacing w:line="240" w:lineRule="auto"/>
        <w:rPr>
          <w:rFonts w:ascii="Encode Sans Light" w:eastAsia="Encode Sans" w:hAnsi="Encode Sans Light"/>
          <w:i/>
          <w:color w:val="222222"/>
          <w:sz w:val="18"/>
          <w:szCs w:val="18"/>
        </w:rPr>
      </w:pPr>
      <w:r w:rsidRPr="008C6D4C">
        <w:rPr>
          <w:rFonts w:ascii="Encode Sans Light" w:hAnsi="Encode Sans Light"/>
          <w:i/>
          <w:color w:val="222222"/>
          <w:sz w:val="18"/>
          <w:szCs w:val="18"/>
        </w:rPr>
        <w:t xml:space="preserve">Stellantis 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w:t>
      </w:r>
      <w:r w:rsidRPr="008C6D4C">
        <w:rPr>
          <w:rFonts w:ascii="Encode Sans Light" w:hAnsi="Encode Sans Light"/>
          <w:i/>
          <w:color w:val="222222"/>
          <w:sz w:val="18"/>
          <w:szCs w:val="18"/>
        </w:rPr>
        <w:lastRenderedPageBreak/>
        <w:t>dipendenti e clienti. Stellantis punta all’eccellenza, non alla grandezza, e si pone l’obiettivo di creare valore aggiunto per tutti gli stakeholder e le comunità in cui opera.</w:t>
      </w:r>
    </w:p>
    <w:tbl>
      <w:tblPr>
        <w:tblStyle w:val="Grilledutableau2"/>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5"/>
        <w:gridCol w:w="2265"/>
        <w:gridCol w:w="2266"/>
        <w:gridCol w:w="2266"/>
      </w:tblGrid>
      <w:tr w:rsidR="00D349A7" w:rsidTr="00D349A7">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82761980" r:id="rId11"/>
              </w:object>
            </w:r>
            <w:hyperlink r:id="rId12" w:history="1">
              <w:r>
                <w:rPr>
                  <w:rStyle w:val="Hyperlink"/>
                  <w:rFonts w:ascii="Encode Sans ExpandedLight" w:hAnsi="Encode Sans ExpandedLight"/>
                  <w:sz w:val="20"/>
                </w:rPr>
                <w:t>@Stellantis</w:t>
              </w:r>
            </w:hyperlink>
          </w:p>
        </w:tc>
        <w:tc>
          <w:tcPr>
            <w:tcW w:w="2265"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35" w:dyaOrig="435">
                <v:shape id="_x0000_i1026" type="#_x0000_t75" style="width:21.75pt;height:21.75pt" o:ole="">
                  <v:imagedata r:id="rId13" o:title=""/>
                </v:shape>
                <o:OLEObject Type="Embed" ProgID="PBrush" ShapeID="_x0000_i1026" DrawAspect="Content" ObjectID="_1682761981" r:id="rId14"/>
              </w:object>
            </w:r>
            <w:hyperlink r:id="rId15" w:history="1">
              <w:r>
                <w:rPr>
                  <w:rStyle w:val="Hyperlink"/>
                  <w:rFonts w:ascii="Encode Sans ExpandedLight" w:hAnsi="Encode Sans ExpandedLight"/>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20" w:dyaOrig="420">
                <v:shape id="_x0000_i1027" type="#_x0000_t75" style="width:21pt;height:21pt" o:ole="">
                  <v:imagedata r:id="rId16" o:title=""/>
                </v:shape>
                <o:OLEObject Type="Embed" ProgID="PBrush" ShapeID="_x0000_i1027" DrawAspect="Content" ObjectID="_1682761982" r:id="rId17"/>
              </w:object>
            </w:r>
            <w:hyperlink r:id="rId18" w:history="1">
              <w:r>
                <w:rPr>
                  <w:rStyle w:val="Hyperlink"/>
                  <w:rFonts w:ascii="Encode Sans ExpandedLight" w:hAnsi="Encode Sans ExpandedLight"/>
                  <w:sz w:val="20"/>
                </w:rPr>
                <w:t>Stellantis</w:t>
              </w:r>
            </w:hyperlink>
          </w:p>
        </w:tc>
        <w:tc>
          <w:tcPr>
            <w:tcW w:w="2266" w:type="dxa"/>
            <w:tcBorders>
              <w:top w:val="single" w:sz="4" w:space="0" w:color="FFFFFF"/>
              <w:left w:val="single" w:sz="4" w:space="0" w:color="FFFFFF"/>
              <w:bottom w:val="single" w:sz="4" w:space="0" w:color="FFFFFF"/>
              <w:right w:val="single" w:sz="4" w:space="0" w:color="FFFFFF"/>
            </w:tcBorders>
            <w:vAlign w:val="bottom"/>
            <w:hideMark/>
          </w:tcPr>
          <w:p w:rsidR="00D349A7" w:rsidRDefault="00D349A7">
            <w:pPr>
              <w:jc w:val="center"/>
              <w:rPr>
                <w:rFonts w:ascii="Encode Sans ExpandedLight" w:eastAsia="Calibri" w:hAnsi="Encode Sans ExpandedLight" w:cs="Times New Roman"/>
              </w:rPr>
            </w:pPr>
            <w:r>
              <w:rPr>
                <w:rFonts w:ascii="Encode Sans ExpandedLight" w:eastAsia="Arial" w:hAnsi="Encode Sans ExpandedLight" w:cs="Arial"/>
                <w:sz w:val="16"/>
                <w:szCs w:val="16"/>
              </w:rPr>
              <w:object w:dxaOrig="465" w:dyaOrig="465">
                <v:shape id="_x0000_i1028" type="#_x0000_t75" style="width:23.25pt;height:23.25pt" o:ole="">
                  <v:imagedata r:id="rId19" o:title=""/>
                </v:shape>
                <o:OLEObject Type="Embed" ProgID="PBrush" ShapeID="_x0000_i1028" DrawAspect="Content" ObjectID="_1682761983" r:id="rId20"/>
              </w:object>
            </w:r>
            <w:hyperlink r:id="rId21" w:history="1">
              <w:r>
                <w:rPr>
                  <w:rStyle w:val="Hyperlink"/>
                  <w:rFonts w:ascii="Encode Sans ExpandedLight" w:hAnsi="Encode Sans ExpandedLight"/>
                  <w:sz w:val="20"/>
                </w:rPr>
                <w:t>Stellantis</w:t>
              </w:r>
            </w:hyperlink>
          </w:p>
        </w:tc>
      </w:tr>
    </w:tbl>
    <w:p w:rsidR="00B61C33" w:rsidRPr="00F8481F" w:rsidRDefault="00B61C33" w:rsidP="00E02675">
      <w:pPr>
        <w:shd w:val="clear" w:color="auto" w:fill="FFFFFF"/>
        <w:spacing w:line="240" w:lineRule="auto"/>
        <w:rPr>
          <w:rFonts w:eastAsia="Encode Sans"/>
          <w:color w:val="222222"/>
        </w:rPr>
      </w:pPr>
    </w:p>
    <w:p w:rsidR="009A623A" w:rsidRPr="00E02675" w:rsidRDefault="009A623A" w:rsidP="009A623A">
      <w:pPr>
        <w:shd w:val="clear" w:color="auto" w:fill="FFFFFF"/>
        <w:spacing w:line="240" w:lineRule="auto"/>
        <w:jc w:val="both"/>
        <w:rPr>
          <w:rFonts w:eastAsia="Times New Roman"/>
          <w:color w:val="222222"/>
          <w:sz w:val="18"/>
          <w:szCs w:val="24"/>
          <w:lang w:val="en-US"/>
        </w:rPr>
      </w:pPr>
    </w:p>
    <w:tbl>
      <w:tblPr>
        <w:tblStyle w:val="TableGrid"/>
        <w:tblW w:w="83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24"/>
      </w:tblGrid>
      <w:tr w:rsidR="00725FD5" w:rsidTr="00725FD5">
        <w:trPr>
          <w:trHeight w:val="99"/>
        </w:trPr>
        <w:tc>
          <w:tcPr>
            <w:tcW w:w="8324" w:type="dxa"/>
          </w:tcPr>
          <w:p w:rsidR="00725FD5" w:rsidRDefault="00725FD5">
            <w:pPr>
              <w:spacing w:after="360" w:line="288" w:lineRule="auto"/>
              <w:rPr>
                <w:color w:val="1F497D" w:themeColor="text2"/>
                <w:sz w:val="20"/>
                <w:szCs w:val="20"/>
              </w:rPr>
            </w:pPr>
            <w:r>
              <w:rPr>
                <w:noProof/>
                <w:lang w:val="en-US"/>
              </w:rPr>
              <mc:AlternateContent>
                <mc:Choice Requires="wps">
                  <w:drawing>
                    <wp:inline distT="0" distB="0" distL="0" distR="0">
                      <wp:extent cx="431800" cy="62230"/>
                      <wp:effectExtent l="0" t="0" r="6350" b="4445"/>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89729507 w 354"/>
                                  <a:gd name="T1" fmla="*/ 98790923 h 39"/>
                                  <a:gd name="T2" fmla="*/ 0 w 354"/>
                                  <a:gd name="T3" fmla="*/ 98790923 h 39"/>
                                  <a:gd name="T4" fmla="*/ 40190334 w 354"/>
                                  <a:gd name="T5" fmla="*/ 0 h 39"/>
                                  <a:gd name="T6" fmla="*/ 526942373 w 354"/>
                                  <a:gd name="T7" fmla="*/ 0 h 39"/>
                                  <a:gd name="T8" fmla="*/ 489729507 w 354"/>
                                  <a:gd name="T9" fmla="*/ 9879092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DAB0395" id="Freeform 4"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" path="m329,39l,39,27,,354,,329,39xe" fillcolor="#4f81bd [3204]" stroked="f">
                      <v:path arrowok="t" o:connecttype="custom" o:connectlocs="2147483646,2147483646;0,2147483646;2147483646,0;2147483646,0;2147483646,2147483646" o:connectangles="0,0,0,0,0"/>
                      <w10:anchorlock/>
                    </v:shape>
                  </w:pict>
                </mc:Fallback>
              </mc:AlternateContent>
            </w:r>
          </w:p>
          <w:p w:rsidR="008924E0" w:rsidRPr="008924E0" w:rsidRDefault="008924E0" w:rsidP="008924E0">
            <w:pPr>
              <w:spacing w:after="120" w:line="288" w:lineRule="auto"/>
              <w:rPr>
                <w:rFonts w:ascii="Arial" w:hAnsi="Arial" w:cs="Arial"/>
                <w:color w:val="1F497D" w:themeColor="text2"/>
                <w:sz w:val="18"/>
                <w:szCs w:val="18"/>
              </w:rPr>
            </w:pPr>
            <w:r w:rsidRPr="008924E0">
              <w:rPr>
                <w:rFonts w:ascii="Arial" w:hAnsi="Arial" w:cs="Arial"/>
                <w:color w:val="1F497D" w:themeColor="text2"/>
                <w:sz w:val="18"/>
                <w:szCs w:val="18"/>
              </w:rPr>
              <w:t>Per maggiori informazioni, contattare:</w:t>
            </w:r>
          </w:p>
          <w:p w:rsidR="00725FD5" w:rsidRPr="008C6D4C" w:rsidRDefault="00725FD5">
            <w:pPr>
              <w:shd w:val="clear" w:color="auto" w:fill="FFFFFF"/>
              <w:ind w:left="708"/>
              <w:rPr>
                <w:rFonts w:ascii="Arial" w:eastAsia="Times New Roman" w:hAnsi="Arial" w:cs="Arial"/>
                <w:sz w:val="18"/>
                <w:szCs w:val="18"/>
              </w:rPr>
            </w:pPr>
            <w:r w:rsidRPr="008C6D4C">
              <w:rPr>
                <w:rFonts w:ascii="Arial" w:hAnsi="Arial" w:cs="Arial"/>
                <w:b/>
                <w:sz w:val="18"/>
                <w:szCs w:val="18"/>
              </w:rPr>
              <w:t>Simon KAO:</w:t>
            </w:r>
            <w:r w:rsidRPr="008C6D4C">
              <w:rPr>
                <w:rFonts w:ascii="Arial" w:hAnsi="Arial" w:cs="Arial"/>
                <w:sz w:val="18"/>
                <w:szCs w:val="18"/>
              </w:rPr>
              <w:t xml:space="preserve"> </w:t>
            </w:r>
            <w:r w:rsidRPr="008C6D4C">
              <w:rPr>
                <w:rFonts w:ascii="Arial" w:eastAsia="Times New Roman" w:hAnsi="Arial" w:cs="Arial"/>
                <w:sz w:val="18"/>
                <w:szCs w:val="18"/>
              </w:rPr>
              <w:t xml:space="preserve">+886 917 266330 - </w:t>
            </w:r>
            <w:r w:rsidRPr="008C6D4C">
              <w:rPr>
                <w:rFonts w:ascii="Arial" w:hAnsi="Arial" w:cs="Arial"/>
                <w:sz w:val="18"/>
                <w:szCs w:val="18"/>
                <w:shd w:val="clear" w:color="auto" w:fill="FFFFFF"/>
              </w:rPr>
              <w:t>simonmhkao@fih-foxconn.com</w:t>
            </w:r>
          </w:p>
          <w:p w:rsidR="00725FD5" w:rsidRPr="008C6D4C" w:rsidRDefault="00725FD5">
            <w:pPr>
              <w:shd w:val="clear" w:color="auto" w:fill="FFFFFF"/>
              <w:ind w:left="708"/>
              <w:rPr>
                <w:rFonts w:ascii="Arial" w:eastAsia="Times New Roman" w:hAnsi="Arial" w:cs="Arial"/>
                <w:b/>
                <w:sz w:val="18"/>
                <w:szCs w:val="18"/>
              </w:rPr>
            </w:pPr>
          </w:p>
          <w:p w:rsidR="00725FD5" w:rsidRPr="008C6D4C" w:rsidRDefault="00725FD5">
            <w:pPr>
              <w:shd w:val="clear" w:color="auto" w:fill="FFFFFF"/>
              <w:ind w:left="708"/>
              <w:rPr>
                <w:rFonts w:ascii="Arial" w:hAnsi="Arial" w:cs="Arial"/>
                <w:sz w:val="18"/>
                <w:szCs w:val="18"/>
                <w:lang w:val="en-US"/>
              </w:rPr>
            </w:pPr>
            <w:r w:rsidRPr="008C6D4C">
              <w:rPr>
                <w:rFonts w:ascii="Arial" w:eastAsia="Times New Roman" w:hAnsi="Arial" w:cs="Arial"/>
                <w:b/>
                <w:sz w:val="18"/>
                <w:szCs w:val="18"/>
                <w:lang w:val="en-US"/>
              </w:rPr>
              <w:t>Jimmy HUANG:</w:t>
            </w:r>
            <w:r w:rsidRPr="008C6D4C">
              <w:rPr>
                <w:rFonts w:ascii="Arial" w:eastAsia="Times New Roman" w:hAnsi="Arial" w:cs="Arial"/>
                <w:sz w:val="18"/>
                <w:szCs w:val="18"/>
                <w:lang w:val="en-US"/>
              </w:rPr>
              <w:t xml:space="preserve"> +866.2.2268.3466 - </w:t>
            </w:r>
            <w:r w:rsidRPr="008C6D4C">
              <w:rPr>
                <w:rFonts w:ascii="Arial" w:hAnsi="Arial" w:cs="Arial"/>
                <w:sz w:val="18"/>
                <w:szCs w:val="18"/>
                <w:shd w:val="clear" w:color="auto" w:fill="FFFFFF"/>
                <w:lang w:val="en-US"/>
              </w:rPr>
              <w:t>media@foxconn.com</w:t>
            </w:r>
          </w:p>
          <w:p w:rsidR="00725FD5" w:rsidRPr="008C6D4C" w:rsidRDefault="00725FD5">
            <w:pPr>
              <w:shd w:val="clear" w:color="auto" w:fill="FFFFFF"/>
              <w:ind w:left="708"/>
              <w:rPr>
                <w:rFonts w:ascii="Arial" w:hAnsi="Arial" w:cs="Arial"/>
                <w:b/>
                <w:sz w:val="18"/>
                <w:szCs w:val="18"/>
                <w:lang w:val="en-US"/>
              </w:rPr>
            </w:pPr>
          </w:p>
          <w:p w:rsidR="00725FD5" w:rsidRPr="008C6D4C" w:rsidRDefault="00725FD5">
            <w:pPr>
              <w:shd w:val="clear" w:color="auto" w:fill="FFFFFF"/>
              <w:ind w:left="708"/>
              <w:rPr>
                <w:rFonts w:ascii="Arial" w:hAnsi="Arial" w:cs="Arial"/>
                <w:b/>
                <w:sz w:val="18"/>
                <w:szCs w:val="18"/>
                <w:lang w:val="en-US"/>
              </w:rPr>
            </w:pPr>
            <w:r w:rsidRPr="008C6D4C">
              <w:rPr>
                <w:rFonts w:ascii="Arial" w:hAnsi="Arial" w:cs="Arial"/>
                <w:b/>
                <w:sz w:val="18"/>
                <w:szCs w:val="18"/>
                <w:lang w:val="en-US"/>
              </w:rPr>
              <w:t xml:space="preserve">Bertrand BLAISE: </w:t>
            </w:r>
            <w:r w:rsidRPr="008C6D4C">
              <w:rPr>
                <w:rFonts w:ascii="Arial" w:eastAsia="Times New Roman" w:hAnsi="Arial" w:cs="Arial"/>
                <w:sz w:val="18"/>
                <w:szCs w:val="18"/>
                <w:lang w:val="en-US"/>
              </w:rPr>
              <w:t>+33 6 33 72 61 86 - bertrand.blaise@stellantis.com</w:t>
            </w:r>
          </w:p>
          <w:p w:rsidR="00725FD5" w:rsidRPr="008C6D4C" w:rsidRDefault="00725FD5">
            <w:pPr>
              <w:shd w:val="clear" w:color="auto" w:fill="FFFFFF"/>
              <w:ind w:left="708"/>
              <w:rPr>
                <w:rFonts w:ascii="Arial" w:hAnsi="Arial" w:cs="Arial"/>
                <w:b/>
                <w:sz w:val="18"/>
                <w:szCs w:val="18"/>
                <w:lang w:val="en-US"/>
              </w:rPr>
            </w:pPr>
          </w:p>
          <w:p w:rsidR="00725FD5" w:rsidRPr="008C6D4C" w:rsidRDefault="00725FD5">
            <w:pPr>
              <w:shd w:val="clear" w:color="auto" w:fill="FFFFFF"/>
              <w:ind w:left="708"/>
              <w:rPr>
                <w:rFonts w:ascii="Arial" w:hAnsi="Arial" w:cs="Arial"/>
                <w:sz w:val="18"/>
                <w:szCs w:val="18"/>
                <w:lang w:val="en-US"/>
              </w:rPr>
            </w:pPr>
            <w:r w:rsidRPr="008C6D4C">
              <w:rPr>
                <w:rFonts w:ascii="Arial" w:hAnsi="Arial" w:cs="Arial"/>
                <w:b/>
                <w:sz w:val="18"/>
                <w:szCs w:val="18"/>
                <w:lang w:val="en-US"/>
              </w:rPr>
              <w:t xml:space="preserve">Pierre OLIVIER SALMON: </w:t>
            </w:r>
            <w:r w:rsidRPr="008C6D4C">
              <w:rPr>
                <w:rFonts w:ascii="Arial" w:eastAsia="Times New Roman" w:hAnsi="Arial" w:cs="Arial"/>
                <w:sz w:val="18"/>
                <w:szCs w:val="18"/>
                <w:lang w:val="en-US"/>
              </w:rPr>
              <w:t xml:space="preserve">+33 6 76 86 45 48 - </w:t>
            </w:r>
            <w:r w:rsidRPr="008C6D4C">
              <w:rPr>
                <w:rFonts w:ascii="Arial" w:hAnsi="Arial" w:cs="Arial"/>
                <w:bCs/>
                <w:sz w:val="18"/>
                <w:szCs w:val="18"/>
                <w:shd w:val="clear" w:color="auto" w:fill="FFFFFF"/>
                <w:lang w:val="en-US"/>
              </w:rPr>
              <w:t>pierreolivier.salmon@stellantis.com</w:t>
            </w:r>
          </w:p>
          <w:p w:rsidR="00725FD5" w:rsidRPr="008C6D4C" w:rsidRDefault="00725FD5">
            <w:pPr>
              <w:shd w:val="clear" w:color="auto" w:fill="FFFFFF"/>
              <w:ind w:left="708"/>
              <w:rPr>
                <w:rFonts w:ascii="Arial" w:hAnsi="Arial" w:cs="Arial"/>
                <w:b/>
                <w:sz w:val="18"/>
                <w:szCs w:val="18"/>
                <w:lang w:val="en-US"/>
              </w:rPr>
            </w:pPr>
          </w:p>
          <w:p w:rsidR="00725FD5" w:rsidRPr="008C6D4C" w:rsidRDefault="00725FD5">
            <w:pPr>
              <w:shd w:val="clear" w:color="auto" w:fill="FFFFFF"/>
              <w:ind w:left="708"/>
              <w:rPr>
                <w:rFonts w:ascii="Arial" w:hAnsi="Arial" w:cs="Arial"/>
                <w:b/>
                <w:sz w:val="18"/>
                <w:szCs w:val="18"/>
                <w:lang w:val="en-US"/>
              </w:rPr>
            </w:pPr>
            <w:r w:rsidRPr="008C6D4C">
              <w:rPr>
                <w:rFonts w:ascii="Arial" w:hAnsi="Arial" w:cs="Arial"/>
                <w:b/>
                <w:sz w:val="18"/>
                <w:szCs w:val="18"/>
                <w:lang w:val="en-US"/>
              </w:rPr>
              <w:t xml:space="preserve">Valerie GILLOT: </w:t>
            </w:r>
            <w:r w:rsidRPr="008C6D4C">
              <w:rPr>
                <w:rFonts w:ascii="Arial" w:hAnsi="Arial" w:cs="Arial"/>
                <w:sz w:val="18"/>
                <w:szCs w:val="18"/>
                <w:lang w:val="en-US"/>
              </w:rPr>
              <w:t>+33 6 83 92 92 96 - valerie.gillot@stellantis.com</w:t>
            </w:r>
          </w:p>
          <w:p w:rsidR="00725FD5" w:rsidRPr="008C6D4C" w:rsidRDefault="00725FD5">
            <w:pPr>
              <w:shd w:val="clear" w:color="auto" w:fill="FFFFFF"/>
              <w:ind w:left="708"/>
              <w:rPr>
                <w:rFonts w:ascii="Arial" w:hAnsi="Arial" w:cs="Arial"/>
                <w:b/>
                <w:sz w:val="18"/>
                <w:szCs w:val="18"/>
                <w:lang w:val="en-US"/>
              </w:rPr>
            </w:pPr>
          </w:p>
          <w:p w:rsidR="00725FD5" w:rsidRPr="008C6D4C" w:rsidRDefault="00725FD5">
            <w:pPr>
              <w:shd w:val="clear" w:color="auto" w:fill="FFFFFF"/>
              <w:ind w:left="708"/>
              <w:rPr>
                <w:rFonts w:ascii="Arial" w:hAnsi="Arial" w:cs="Arial"/>
                <w:b/>
                <w:sz w:val="18"/>
                <w:szCs w:val="18"/>
                <w:lang w:val="en-US"/>
              </w:rPr>
            </w:pPr>
            <w:r w:rsidRPr="008C6D4C">
              <w:rPr>
                <w:rFonts w:ascii="Arial" w:hAnsi="Arial" w:cs="Arial"/>
                <w:b/>
                <w:sz w:val="18"/>
                <w:szCs w:val="18"/>
                <w:lang w:val="en-US"/>
              </w:rPr>
              <w:t xml:space="preserve">Shawn MORGAN: </w:t>
            </w:r>
            <w:r w:rsidRPr="008C6D4C">
              <w:rPr>
                <w:rFonts w:ascii="Arial" w:hAnsi="Arial" w:cs="Arial"/>
                <w:sz w:val="18"/>
                <w:szCs w:val="18"/>
                <w:lang w:val="en-US"/>
              </w:rPr>
              <w:t>+1 248 760 2621 - shawn.morgan@stellantis.com</w:t>
            </w:r>
          </w:p>
          <w:p w:rsidR="00725FD5" w:rsidRPr="008C6D4C" w:rsidRDefault="00725FD5">
            <w:pPr>
              <w:shd w:val="clear" w:color="auto" w:fill="FFFFFF"/>
              <w:ind w:left="708"/>
              <w:rPr>
                <w:rFonts w:ascii="Arial" w:hAnsi="Arial" w:cs="Arial"/>
                <w:b/>
                <w:sz w:val="18"/>
                <w:szCs w:val="18"/>
                <w:lang w:val="en-US"/>
              </w:rPr>
            </w:pPr>
            <w:bookmarkStart w:id="0" w:name="_GoBack"/>
            <w:bookmarkEnd w:id="0"/>
          </w:p>
          <w:p w:rsidR="00725FD5" w:rsidRPr="008C6D4C" w:rsidRDefault="00725FD5">
            <w:pPr>
              <w:shd w:val="clear" w:color="auto" w:fill="FFFFFF"/>
              <w:ind w:left="708"/>
              <w:rPr>
                <w:rFonts w:ascii="Arial" w:hAnsi="Arial" w:cs="Arial"/>
                <w:b/>
                <w:sz w:val="18"/>
                <w:szCs w:val="18"/>
                <w:lang w:val="en-US"/>
              </w:rPr>
            </w:pPr>
            <w:r w:rsidRPr="008C6D4C">
              <w:rPr>
                <w:rFonts w:ascii="Arial" w:hAnsi="Arial" w:cs="Arial"/>
                <w:b/>
                <w:sz w:val="18"/>
                <w:szCs w:val="18"/>
                <w:lang w:val="en-US"/>
              </w:rPr>
              <w:t xml:space="preserve">Jack WANG: </w:t>
            </w:r>
            <w:r w:rsidRPr="008C6D4C">
              <w:rPr>
                <w:rFonts w:ascii="Arial" w:hAnsi="Arial" w:cs="Arial"/>
                <w:sz w:val="18"/>
                <w:szCs w:val="18"/>
                <w:lang w:val="en-US"/>
              </w:rPr>
              <w:t xml:space="preserve">+86 -186 2105 6209 </w:t>
            </w:r>
            <w:r w:rsidRPr="008C6D4C">
              <w:rPr>
                <w:rFonts w:ascii="Arial" w:hAnsi="Arial" w:cs="Arial"/>
                <w:b/>
                <w:sz w:val="18"/>
                <w:szCs w:val="18"/>
                <w:lang w:val="en-US"/>
              </w:rPr>
              <w:t xml:space="preserve">- </w:t>
            </w:r>
            <w:r w:rsidRPr="008C6D4C">
              <w:rPr>
                <w:rFonts w:ascii="Arial" w:hAnsi="Arial" w:cs="Arial"/>
                <w:sz w:val="18"/>
                <w:szCs w:val="18"/>
                <w:lang w:val="en-US"/>
              </w:rPr>
              <w:t>chao.wang1@stellantis.com</w:t>
            </w:r>
          </w:p>
          <w:p w:rsidR="00725FD5" w:rsidRPr="008C6D4C" w:rsidRDefault="00725FD5">
            <w:pPr>
              <w:shd w:val="clear" w:color="auto" w:fill="FFFFFF"/>
              <w:ind w:left="708"/>
              <w:rPr>
                <w:rFonts w:ascii="Arial" w:hAnsi="Arial" w:cs="Arial"/>
                <w:b/>
                <w:sz w:val="18"/>
                <w:szCs w:val="18"/>
                <w:lang w:val="en-US"/>
              </w:rPr>
            </w:pPr>
          </w:p>
          <w:p w:rsidR="00725FD5" w:rsidRPr="008C6D4C" w:rsidRDefault="00725FD5">
            <w:pPr>
              <w:shd w:val="clear" w:color="auto" w:fill="FFFFFF"/>
              <w:ind w:left="708"/>
              <w:rPr>
                <w:rFonts w:ascii="Arial" w:hAnsi="Arial" w:cs="Arial"/>
                <w:b/>
                <w:sz w:val="18"/>
                <w:szCs w:val="18"/>
              </w:rPr>
            </w:pPr>
            <w:r w:rsidRPr="008C6D4C">
              <w:rPr>
                <w:rFonts w:ascii="Arial" w:hAnsi="Arial" w:cs="Arial"/>
                <w:b/>
                <w:sz w:val="18"/>
                <w:szCs w:val="18"/>
              </w:rPr>
              <w:t xml:space="preserve">Andrea PALLARD: </w:t>
            </w:r>
            <w:r w:rsidRPr="008C6D4C">
              <w:rPr>
                <w:rFonts w:ascii="Arial" w:hAnsi="Arial" w:cs="Arial"/>
                <w:sz w:val="18"/>
                <w:szCs w:val="18"/>
              </w:rPr>
              <w:t>+39 335 873 7298 - andrea.pallard@stellantis.com</w:t>
            </w:r>
          </w:p>
          <w:p w:rsidR="00725FD5" w:rsidRPr="008C6D4C" w:rsidRDefault="00725FD5">
            <w:pPr>
              <w:shd w:val="clear" w:color="auto" w:fill="FFFFFF"/>
              <w:ind w:left="708"/>
              <w:rPr>
                <w:rFonts w:ascii="Arial" w:hAnsi="Arial" w:cs="Arial"/>
                <w:b/>
                <w:sz w:val="18"/>
                <w:szCs w:val="18"/>
              </w:rPr>
            </w:pPr>
          </w:p>
          <w:p w:rsidR="008A551E" w:rsidRPr="008C6D4C" w:rsidRDefault="008A551E" w:rsidP="008A551E">
            <w:pPr>
              <w:shd w:val="clear" w:color="auto" w:fill="FFFFFF"/>
              <w:ind w:left="708"/>
              <w:rPr>
                <w:rFonts w:ascii="Arial" w:hAnsi="Arial" w:cs="Arial"/>
                <w:sz w:val="18"/>
                <w:szCs w:val="18"/>
              </w:rPr>
            </w:pPr>
            <w:r w:rsidRPr="008C6D4C">
              <w:rPr>
                <w:rFonts w:ascii="Arial" w:hAnsi="Arial" w:cs="Arial"/>
                <w:b/>
                <w:sz w:val="18"/>
                <w:szCs w:val="18"/>
              </w:rPr>
              <w:t>Salima RAHLAOUI: +</w:t>
            </w:r>
            <w:r w:rsidRPr="008C6D4C">
              <w:rPr>
                <w:rFonts w:ascii="Arial" w:hAnsi="Arial" w:cs="Arial"/>
                <w:sz w:val="18"/>
                <w:szCs w:val="18"/>
                <w:shd w:val="clear" w:color="auto" w:fill="FFFFFF"/>
              </w:rPr>
              <w:t xml:space="preserve">00 212 669 844 145 </w:t>
            </w:r>
            <w:r w:rsidRPr="008C6D4C">
              <w:rPr>
                <w:rFonts w:ascii="Arial" w:hAnsi="Arial" w:cs="Arial"/>
                <w:color w:val="1F497D"/>
                <w:sz w:val="18"/>
                <w:szCs w:val="18"/>
                <w:shd w:val="clear" w:color="auto" w:fill="FFFFFF"/>
              </w:rPr>
              <w:t xml:space="preserve">- </w:t>
            </w:r>
            <w:r w:rsidRPr="008C6D4C">
              <w:rPr>
                <w:rFonts w:ascii="Arial" w:hAnsi="Arial" w:cs="Arial"/>
                <w:sz w:val="18"/>
                <w:szCs w:val="18"/>
              </w:rPr>
              <w:t>salima.rahmaoui@stellantis.com</w:t>
            </w:r>
          </w:p>
          <w:p w:rsidR="008A551E" w:rsidRPr="008C6D4C" w:rsidRDefault="008A551E" w:rsidP="008A551E">
            <w:pPr>
              <w:shd w:val="clear" w:color="auto" w:fill="FFFFFF"/>
              <w:ind w:left="708"/>
              <w:rPr>
                <w:rFonts w:ascii="Arial" w:hAnsi="Arial" w:cs="Arial"/>
                <w:b/>
                <w:sz w:val="18"/>
                <w:szCs w:val="18"/>
              </w:rPr>
            </w:pPr>
          </w:p>
          <w:p w:rsidR="008A551E" w:rsidRPr="008C6D4C" w:rsidRDefault="008A551E" w:rsidP="008A551E">
            <w:pPr>
              <w:shd w:val="clear" w:color="auto" w:fill="FFFFFF"/>
              <w:ind w:left="708"/>
              <w:rPr>
                <w:rFonts w:ascii="Arial" w:hAnsi="Arial" w:cs="Arial"/>
                <w:b/>
                <w:sz w:val="18"/>
                <w:szCs w:val="18"/>
              </w:rPr>
            </w:pPr>
            <w:r w:rsidRPr="008C6D4C">
              <w:rPr>
                <w:rFonts w:ascii="Arial" w:hAnsi="Arial" w:cs="Arial"/>
                <w:b/>
                <w:sz w:val="18"/>
                <w:szCs w:val="18"/>
              </w:rPr>
              <w:t>Fabricio BIONDO</w:t>
            </w:r>
            <w:r w:rsidRPr="008C6D4C">
              <w:rPr>
                <w:rFonts w:ascii="Arial" w:hAnsi="Arial" w:cs="Arial"/>
                <w:sz w:val="18"/>
                <w:szCs w:val="18"/>
              </w:rPr>
              <w:t xml:space="preserve">: </w:t>
            </w:r>
            <w:r w:rsidRPr="008C6D4C">
              <w:rPr>
                <w:rFonts w:ascii="Arial" w:hAnsi="Arial" w:cs="Arial"/>
                <w:sz w:val="18"/>
                <w:szCs w:val="18"/>
                <w:shd w:val="clear" w:color="auto" w:fill="FFFFFF"/>
              </w:rPr>
              <w:t>+5511992992833 -</w:t>
            </w:r>
            <w:r w:rsidRPr="008C6D4C">
              <w:rPr>
                <w:rFonts w:ascii="Arial" w:hAnsi="Arial" w:cs="Arial"/>
                <w:sz w:val="18"/>
                <w:szCs w:val="18"/>
              </w:rPr>
              <w:t xml:space="preserve"> fabricio.biondo@stellantis.com</w:t>
            </w:r>
          </w:p>
          <w:p w:rsidR="00725FD5" w:rsidRDefault="00725FD5">
            <w:pPr>
              <w:shd w:val="clear" w:color="auto" w:fill="FFFFFF"/>
              <w:ind w:left="708"/>
              <w:rPr>
                <w:rFonts w:ascii="Arial" w:hAnsi="Arial" w:cs="Arial"/>
                <w:b/>
                <w:sz w:val="18"/>
                <w:szCs w:val="18"/>
              </w:rPr>
            </w:pPr>
          </w:p>
        </w:tc>
      </w:tr>
      <w:tr w:rsidR="00725FD5" w:rsidTr="00725FD5">
        <w:trPr>
          <w:trHeight w:val="99"/>
        </w:trPr>
        <w:tc>
          <w:tcPr>
            <w:tcW w:w="8324" w:type="dxa"/>
          </w:tcPr>
          <w:p w:rsidR="00725FD5" w:rsidRDefault="00725FD5">
            <w:pPr>
              <w:shd w:val="clear" w:color="auto" w:fill="FFFFFF"/>
              <w:rPr>
                <w:noProof/>
                <w:color w:val="1F497D" w:themeColor="text2"/>
                <w:sz w:val="20"/>
                <w:szCs w:val="20"/>
              </w:rPr>
            </w:pPr>
          </w:p>
        </w:tc>
      </w:tr>
      <w:tr w:rsidR="00D349A7" w:rsidTr="00725FD5">
        <w:trPr>
          <w:trHeight w:val="99"/>
        </w:trPr>
        <w:tc>
          <w:tcPr>
            <w:tcW w:w="8324" w:type="dxa"/>
          </w:tcPr>
          <w:p w:rsidR="00D349A7" w:rsidRDefault="00D349A7" w:rsidP="00725FD5">
            <w:pPr>
              <w:shd w:val="clear" w:color="auto" w:fill="FFFFFF"/>
              <w:rPr>
                <w:rFonts w:ascii="Arial" w:hAnsi="Arial" w:cs="Arial"/>
                <w:b/>
                <w:sz w:val="18"/>
                <w:szCs w:val="18"/>
              </w:rPr>
            </w:pPr>
          </w:p>
        </w:tc>
      </w:tr>
      <w:tr w:rsidR="00D349A7" w:rsidTr="00725FD5">
        <w:trPr>
          <w:trHeight w:val="99"/>
        </w:trPr>
        <w:tc>
          <w:tcPr>
            <w:tcW w:w="8324" w:type="dxa"/>
          </w:tcPr>
          <w:p w:rsidR="00D349A7" w:rsidRDefault="00D349A7">
            <w:pPr>
              <w:spacing w:after="360" w:line="288" w:lineRule="auto"/>
              <w:rPr>
                <w:noProof/>
                <w:color w:val="1F497D" w:themeColor="text2"/>
                <w:sz w:val="20"/>
                <w:szCs w:val="20"/>
              </w:rPr>
            </w:pPr>
          </w:p>
        </w:tc>
      </w:tr>
    </w:tbl>
    <w:p w:rsidR="00D349A7" w:rsidRPr="00D349A7" w:rsidRDefault="00D349A7" w:rsidP="00D349A7">
      <w:pPr>
        <w:shd w:val="clear" w:color="auto" w:fill="FFFFFF"/>
        <w:spacing w:line="240" w:lineRule="auto"/>
        <w:rPr>
          <w:rFonts w:eastAsia="Times New Roman"/>
          <w:b/>
          <w:i/>
          <w:iCs/>
          <w:color w:val="243782"/>
          <w:sz w:val="18"/>
          <w:szCs w:val="24"/>
        </w:rPr>
      </w:pPr>
      <w:r>
        <w:rPr>
          <w:b/>
          <w:i/>
          <w:iCs/>
          <w:color w:val="243782"/>
          <w:sz w:val="18"/>
          <w:szCs w:val="24"/>
        </w:rPr>
        <w:t>DICHIARAZIONI PREVISIONALI DI STELLANTIS</w:t>
      </w:r>
    </w:p>
    <w:p w:rsidR="00D349A7" w:rsidRPr="008C6D4C" w:rsidRDefault="00D349A7" w:rsidP="00D349A7">
      <w:pPr>
        <w:shd w:val="clear" w:color="auto" w:fill="FFFFFF"/>
        <w:spacing w:line="240" w:lineRule="auto"/>
        <w:rPr>
          <w:rFonts w:eastAsia="Times New Roman"/>
          <w:color w:val="222222"/>
          <w:sz w:val="18"/>
          <w:szCs w:val="24"/>
        </w:rPr>
      </w:pPr>
    </w:p>
    <w:p w:rsidR="00D349A7" w:rsidRPr="00D349A7" w:rsidRDefault="00D349A7" w:rsidP="00D349A7">
      <w:pPr>
        <w:shd w:val="clear" w:color="auto" w:fill="FFFFFF"/>
        <w:spacing w:line="240" w:lineRule="auto"/>
        <w:rPr>
          <w:rFonts w:eastAsia="Times New Roman"/>
          <w:i/>
          <w:color w:val="222222"/>
          <w:sz w:val="18"/>
          <w:szCs w:val="24"/>
        </w:rPr>
      </w:pPr>
      <w:r>
        <w:rPr>
          <w:i/>
          <w:color w:val="222222"/>
          <w:sz w:val="18"/>
          <w:szCs w:val="24"/>
        </w:rPr>
        <w:t>La presente comunicazione contiene dichiarazioni previsionali. In particolare, tali dichiarazioni che comprendono dichiarazioni riguardanti la performance finanziaria futura e le aspettative del gruppo congiunto (il “Gruppo”) risultante dalla fusione di FCA e Groupe PSA riguardo al raggiungimento di determinati obiettivi di grandezza in qualsiasi data futura o periodo futuro sono dichiarazioni previsionali. Tali dichiarazioni possono comprendere termini quali “può”, “sarà”, “ci si aspetta”, “potrebbe”, “dovrebbe”, “intende”, “stima”, “anticipa”, “crede”, “rimane”, “in linea”, “progetta”, “target”, “obiettivo”, “scopo”, “previsione”, “proiezione”, “aspettativa”, “prospettiva”, “piano”, o termini simili. Le dichiarazioni previsionali non sono garanzia di performance future. Piuttosto, esse sono basate sull’attuale stato di conoscenza del Gruppo, sulle aspettative e sulle proiezioni future riguardo eventi futuri e sono per loro natura soggette a rischi intrinseci e incertezze. Tali dichiarazioni riguardano eventi e dipendono da circostanze che potrebbero o non potrebbero verificarsi o esistere in futuro e, in quanto tali, non si dovrebbe fare indebito affidamento su di esse.</w:t>
      </w:r>
    </w:p>
    <w:p w:rsidR="00D349A7" w:rsidRPr="008C6D4C" w:rsidRDefault="00D349A7" w:rsidP="00D349A7">
      <w:pPr>
        <w:shd w:val="clear" w:color="auto" w:fill="FFFFFF"/>
        <w:spacing w:line="240" w:lineRule="auto"/>
        <w:rPr>
          <w:rFonts w:eastAsia="Times New Roman"/>
          <w:i/>
          <w:color w:val="222222"/>
          <w:sz w:val="18"/>
          <w:szCs w:val="24"/>
        </w:rPr>
      </w:pPr>
    </w:p>
    <w:p w:rsidR="00D349A7" w:rsidRPr="00D349A7" w:rsidRDefault="00D349A7" w:rsidP="00D349A7">
      <w:pPr>
        <w:shd w:val="clear" w:color="auto" w:fill="FFFFFF"/>
        <w:spacing w:line="240" w:lineRule="auto"/>
        <w:jc w:val="both"/>
        <w:rPr>
          <w:rFonts w:eastAsia="Times New Roman"/>
          <w:i/>
          <w:color w:val="222222"/>
          <w:sz w:val="18"/>
          <w:szCs w:val="24"/>
        </w:rPr>
      </w:pPr>
      <w:r>
        <w:rPr>
          <w:i/>
          <w:color w:val="222222"/>
          <w:sz w:val="18"/>
          <w:szCs w:val="24"/>
        </w:rPr>
        <w:t xml:space="preserve">I risultati effetti potrebbero differire materialmente da quelli espressi nelle dichiarazioni previsionali quale risultato di una molteplicità di fattori, inclusi: l’impatto della pandemia da COVID-19, la capacità del Gruppo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del Gruppo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w:t>
      </w:r>
      <w:r>
        <w:rPr>
          <w:i/>
          <w:color w:val="222222"/>
          <w:sz w:val="18"/>
          <w:szCs w:val="24"/>
        </w:rPr>
        <w:lastRenderedPageBreak/>
        <w:t>normative di tutela dell’ambiente, della salute e della sicurezza; l’elevato livello di concorrenza nel settore automobilistico, che potrebbe aumentare a causa di consolidamenti; la potenziale carenza nel finanziamento dei piani pensionistici del Gruppo; la capacità di fornire o organizzare accesso a finanziamenti adeguati per i concessionari e i clienti finali e i rischi associati alla costituzione e alle 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 i sistemi di information technology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sviluppi in relazioni sindacali, industriali e nella normativa del lavoro; fluttuazioni dei tassi di cambio, variazioni dai tassi di interesse, rischio di credito e altri rischi di mercato; tensioni politiche e sociali; terremoti o altri disastri; il rischio che le attività di Groupe PSA e FCA non siano integrate con successo e altri rischi e incertezze.</w:t>
      </w:r>
    </w:p>
    <w:p w:rsidR="00D349A7" w:rsidRPr="008C6D4C" w:rsidRDefault="00D349A7" w:rsidP="00D349A7">
      <w:pPr>
        <w:shd w:val="clear" w:color="auto" w:fill="FFFFFF"/>
        <w:spacing w:line="240" w:lineRule="auto"/>
        <w:jc w:val="both"/>
        <w:rPr>
          <w:rFonts w:eastAsia="Times New Roman"/>
          <w:i/>
          <w:color w:val="222222"/>
          <w:sz w:val="18"/>
          <w:szCs w:val="24"/>
        </w:rPr>
      </w:pPr>
    </w:p>
    <w:p w:rsidR="007135D1" w:rsidRPr="00D349A7" w:rsidRDefault="00D349A7" w:rsidP="00D349A7">
      <w:pPr>
        <w:rPr>
          <w:i/>
        </w:rPr>
      </w:pPr>
      <w:r>
        <w:rPr>
          <w:i/>
          <w:color w:val="222222"/>
          <w:sz w:val="18"/>
          <w:szCs w:val="24"/>
        </w:rPr>
        <w:t>Qualsiasi dichiarazione previsionale contenuta nella presente comunicazione sono da considerare valide alla data del presente documento e il Gruppo declina ogni obbligo di aggiornare o revisionare pubblicamente tali dichiarazioni. Ulteriori informazioni riguardanti il Gruppo e le sue attività, inclusi i fattori che potrebbero materialmente influenzare i risultati finanziari del Gruppo, sono contenute nei documenti depositati da FCA presso la Securities and Exchange Commission statunitense (inclusa la dichiarazione di registrazione sul modulo F-4 dichiarata efficace dalla SEC il 20 novembre 2020), la AFM e la CONSOB e nei documenti depositati da PSA presso la AMF.</w:t>
      </w:r>
    </w:p>
    <w:sectPr w:rsidR="007135D1" w:rsidRPr="00D349A7">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E8" w:rsidRDefault="002876E8">
      <w:pPr>
        <w:spacing w:line="240" w:lineRule="auto"/>
      </w:pPr>
      <w:r>
        <w:separator/>
      </w:r>
    </w:p>
  </w:endnote>
  <w:endnote w:type="continuationSeparator" w:id="0">
    <w:p w:rsidR="002876E8" w:rsidRDefault="0028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code Sans">
    <w:panose1 w:val="00000000000000000000"/>
    <w:charset w:val="00"/>
    <w:family w:val="auto"/>
    <w:pitch w:val="variable"/>
    <w:sig w:usb0="A00000FF" w:usb1="4000207B" w:usb2="00000000" w:usb3="00000000" w:csb0="00000193" w:csb1="00000000"/>
  </w:font>
  <w:font w:name="Encode Sans Light">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E8" w:rsidRDefault="002876E8">
      <w:pPr>
        <w:spacing w:line="240" w:lineRule="auto"/>
      </w:pPr>
      <w:r>
        <w:separator/>
      </w:r>
    </w:p>
  </w:footnote>
  <w:footnote w:type="continuationSeparator" w:id="0">
    <w:p w:rsidR="002876E8" w:rsidRDefault="00287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D1" w:rsidRDefault="00BD5D19">
    <w:r>
      <w:rPr>
        <w:noProof/>
        <w:lang w:val="en-US"/>
      </w:rPr>
      <w:drawing>
        <wp:inline distT="0" distB="0" distL="0" distR="0">
          <wp:extent cx="1647825" cy="4126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 Hai Foxconn logo.png"/>
                  <pic:cNvPicPr/>
                </pic:nvPicPr>
                <pic:blipFill>
                  <a:blip r:embed="rId1">
                    <a:extLst>
                      <a:ext uri="{28A0092B-C50C-407E-A947-70E740481C1C}">
                        <a14:useLocalDpi xmlns:a14="http://schemas.microsoft.com/office/drawing/2010/main" val="0"/>
                      </a:ext>
                    </a:extLst>
                  </a:blip>
                  <a:stretch>
                    <a:fillRect/>
                  </a:stretch>
                </pic:blipFill>
                <pic:spPr>
                  <a:xfrm>
                    <a:off x="0" y="0"/>
                    <a:ext cx="1675202" cy="419516"/>
                  </a:xfrm>
                  <a:prstGeom prst="rect">
                    <a:avLst/>
                  </a:prstGeom>
                </pic:spPr>
              </pic:pic>
            </a:graphicData>
          </a:graphic>
        </wp:inline>
      </w:drawing>
    </w:r>
    <w:r>
      <w:t xml:space="preserve">                                                     </w:t>
    </w:r>
    <w:r>
      <w:rPr>
        <w:noProof/>
        <w:lang w:val="en-US"/>
      </w:rPr>
      <w:drawing>
        <wp:inline distT="114300" distB="114300" distL="114300" distR="114300">
          <wp:extent cx="1982928" cy="52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b="16919"/>
                  <a:stretch/>
                </pic:blipFill>
                <pic:spPr bwMode="auto">
                  <a:xfrm>
                    <a:off x="0" y="0"/>
                    <a:ext cx="1984623" cy="5243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274"/>
    <w:multiLevelType w:val="multilevel"/>
    <w:tmpl w:val="16F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1"/>
    <w:rsid w:val="00035605"/>
    <w:rsid w:val="000463E8"/>
    <w:rsid w:val="0004746B"/>
    <w:rsid w:val="000A7784"/>
    <w:rsid w:val="000B2CD4"/>
    <w:rsid w:val="000D7DF7"/>
    <w:rsid w:val="000F65B7"/>
    <w:rsid w:val="001464F8"/>
    <w:rsid w:val="00183237"/>
    <w:rsid w:val="001978F7"/>
    <w:rsid w:val="001A3526"/>
    <w:rsid w:val="002876E8"/>
    <w:rsid w:val="002F004B"/>
    <w:rsid w:val="0030053A"/>
    <w:rsid w:val="00454E4D"/>
    <w:rsid w:val="004C1DA0"/>
    <w:rsid w:val="005B0D34"/>
    <w:rsid w:val="005F42E1"/>
    <w:rsid w:val="0060420E"/>
    <w:rsid w:val="006320DE"/>
    <w:rsid w:val="006E3421"/>
    <w:rsid w:val="007135D1"/>
    <w:rsid w:val="00716F99"/>
    <w:rsid w:val="00725FD5"/>
    <w:rsid w:val="00834DD5"/>
    <w:rsid w:val="008647B3"/>
    <w:rsid w:val="0088348C"/>
    <w:rsid w:val="008924E0"/>
    <w:rsid w:val="008A551E"/>
    <w:rsid w:val="008B36F4"/>
    <w:rsid w:val="008C6D4C"/>
    <w:rsid w:val="00963D1E"/>
    <w:rsid w:val="00992776"/>
    <w:rsid w:val="009A623A"/>
    <w:rsid w:val="009C0A6D"/>
    <w:rsid w:val="00A33678"/>
    <w:rsid w:val="00B457F9"/>
    <w:rsid w:val="00B61C33"/>
    <w:rsid w:val="00BD5D19"/>
    <w:rsid w:val="00C12C8C"/>
    <w:rsid w:val="00C22847"/>
    <w:rsid w:val="00C76412"/>
    <w:rsid w:val="00C95160"/>
    <w:rsid w:val="00D349A7"/>
    <w:rsid w:val="00D87392"/>
    <w:rsid w:val="00D9161E"/>
    <w:rsid w:val="00DF638D"/>
    <w:rsid w:val="00E02675"/>
    <w:rsid w:val="00E23D35"/>
    <w:rsid w:val="00E36C02"/>
    <w:rsid w:val="00ED0706"/>
    <w:rsid w:val="00F50D57"/>
    <w:rsid w:val="00F8481F"/>
    <w:rsid w:val="00F9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BA6A"/>
  <w15:docId w15:val="{5BA0B6A2-6509-4983-B32D-8FA1B333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D5D19"/>
    <w:pPr>
      <w:tabs>
        <w:tab w:val="center" w:pos="4680"/>
        <w:tab w:val="right" w:pos="9360"/>
      </w:tabs>
      <w:spacing w:line="240" w:lineRule="auto"/>
    </w:pPr>
  </w:style>
  <w:style w:type="character" w:customStyle="1" w:styleId="HeaderChar">
    <w:name w:val="Header Char"/>
    <w:basedOn w:val="DefaultParagraphFont"/>
    <w:link w:val="Header"/>
    <w:uiPriority w:val="99"/>
    <w:rsid w:val="00BD5D19"/>
  </w:style>
  <w:style w:type="paragraph" w:styleId="Footer">
    <w:name w:val="footer"/>
    <w:basedOn w:val="Normal"/>
    <w:link w:val="FooterChar"/>
    <w:uiPriority w:val="99"/>
    <w:unhideWhenUsed/>
    <w:rsid w:val="00BD5D19"/>
    <w:pPr>
      <w:tabs>
        <w:tab w:val="center" w:pos="4680"/>
        <w:tab w:val="right" w:pos="9360"/>
      </w:tabs>
      <w:spacing w:line="240" w:lineRule="auto"/>
    </w:pPr>
  </w:style>
  <w:style w:type="character" w:customStyle="1" w:styleId="FooterChar">
    <w:name w:val="Footer Char"/>
    <w:basedOn w:val="DefaultParagraphFont"/>
    <w:link w:val="Footer"/>
    <w:uiPriority w:val="99"/>
    <w:rsid w:val="00BD5D19"/>
  </w:style>
  <w:style w:type="character" w:styleId="Hyperlink">
    <w:name w:val="Hyperlink"/>
    <w:basedOn w:val="DefaultParagraphFont"/>
    <w:uiPriority w:val="99"/>
    <w:unhideWhenUsed/>
    <w:rsid w:val="00716F99"/>
    <w:rPr>
      <w:color w:val="0000FF" w:themeColor="hyperlink"/>
      <w:u w:val="single"/>
    </w:rPr>
  </w:style>
  <w:style w:type="paragraph" w:styleId="BalloonText">
    <w:name w:val="Balloon Text"/>
    <w:basedOn w:val="Normal"/>
    <w:link w:val="BalloonTextChar"/>
    <w:uiPriority w:val="99"/>
    <w:semiHidden/>
    <w:unhideWhenUsed/>
    <w:rsid w:val="00716F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99"/>
    <w:rPr>
      <w:rFonts w:ascii="Segoe UI" w:hAnsi="Segoe UI" w:cs="Segoe UI"/>
      <w:sz w:val="18"/>
      <w:szCs w:val="18"/>
    </w:rPr>
  </w:style>
  <w:style w:type="table" w:styleId="TableGrid">
    <w:name w:val="Table Grid"/>
    <w:basedOn w:val="TableNormal"/>
    <w:uiPriority w:val="59"/>
    <w:rsid w:val="00D349A7"/>
    <w:pPr>
      <w:spacing w:line="240" w:lineRule="auto"/>
    </w:pPr>
    <w:rPr>
      <w:rFonts w:asciiTheme="minorHAnsi" w:eastAsiaTheme="minorHAnsi" w:hAnsiTheme="minorHAnsi" w:cstheme="minorBidi"/>
      <w:sz w:val="16"/>
      <w:szCs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39"/>
    <w:rsid w:val="00D349A7"/>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8538">
      <w:bodyDiv w:val="1"/>
      <w:marLeft w:val="0"/>
      <w:marRight w:val="0"/>
      <w:marTop w:val="0"/>
      <w:marBottom w:val="0"/>
      <w:divBdr>
        <w:top w:val="none" w:sz="0" w:space="0" w:color="auto"/>
        <w:left w:val="none" w:sz="0" w:space="0" w:color="auto"/>
        <w:bottom w:val="none" w:sz="0" w:space="0" w:color="auto"/>
        <w:right w:val="none" w:sz="0" w:space="0" w:color="auto"/>
      </w:divBdr>
    </w:div>
    <w:div w:id="859201486">
      <w:bodyDiv w:val="1"/>
      <w:marLeft w:val="0"/>
      <w:marRight w:val="0"/>
      <w:marTop w:val="0"/>
      <w:marBottom w:val="0"/>
      <w:divBdr>
        <w:top w:val="none" w:sz="0" w:space="0" w:color="auto"/>
        <w:left w:val="none" w:sz="0" w:space="0" w:color="auto"/>
        <w:bottom w:val="none" w:sz="0" w:space="0" w:color="auto"/>
        <w:right w:val="none" w:sz="0" w:space="0" w:color="auto"/>
      </w:divBdr>
    </w:div>
    <w:div w:id="1263295732">
      <w:bodyDiv w:val="1"/>
      <w:marLeft w:val="0"/>
      <w:marRight w:val="0"/>
      <w:marTop w:val="0"/>
      <w:marBottom w:val="0"/>
      <w:divBdr>
        <w:top w:val="none" w:sz="0" w:space="0" w:color="auto"/>
        <w:left w:val="none" w:sz="0" w:space="0" w:color="auto"/>
        <w:bottom w:val="none" w:sz="0" w:space="0" w:color="auto"/>
        <w:right w:val="none" w:sz="0" w:space="0" w:color="auto"/>
      </w:divBdr>
    </w:div>
    <w:div w:id="1513911364">
      <w:bodyDiv w:val="1"/>
      <w:marLeft w:val="0"/>
      <w:marRight w:val="0"/>
      <w:marTop w:val="0"/>
      <w:marBottom w:val="0"/>
      <w:divBdr>
        <w:top w:val="none" w:sz="0" w:space="0" w:color="auto"/>
        <w:left w:val="none" w:sz="0" w:space="0" w:color="auto"/>
        <w:bottom w:val="none" w:sz="0" w:space="0" w:color="auto"/>
        <w:right w:val="none" w:sz="0" w:space="0" w:color="auto"/>
      </w:divBdr>
    </w:div>
    <w:div w:id="1607419391">
      <w:bodyDiv w:val="1"/>
      <w:marLeft w:val="0"/>
      <w:marRight w:val="0"/>
      <w:marTop w:val="0"/>
      <w:marBottom w:val="0"/>
      <w:divBdr>
        <w:top w:val="none" w:sz="0" w:space="0" w:color="auto"/>
        <w:left w:val="none" w:sz="0" w:space="0" w:color="auto"/>
        <w:bottom w:val="none" w:sz="0" w:space="0" w:color="auto"/>
        <w:right w:val="none" w:sz="0" w:space="0" w:color="auto"/>
      </w:divBdr>
    </w:div>
    <w:div w:id="202277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stellantisnorthamerica.com/newsrelease.do?id=21462&amp;mid=&amp;searchresult"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3" Type="http://schemas.openxmlformats.org/officeDocument/2006/relationships/settings" Target="settings.xml"/><Relationship Id="rId21" Type="http://schemas.openxmlformats.org/officeDocument/2006/relationships/hyperlink" Target="https://www.youtube.com/channel/UCKgSLvI1SYKOTpEToycAz7Q" TargetMode="External"/><Relationship Id="rId7" Type="http://schemas.openxmlformats.org/officeDocument/2006/relationships/hyperlink" Target="https://media.stellantisnorthamerica.com/newsrelease.do?id=21462&amp;mid=&amp;searchresult" TargetMode="Externa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onhai.com"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FCA US</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Connelly Kaileen (FCA)</cp:lastModifiedBy>
  <cp:revision>3</cp:revision>
  <dcterms:created xsi:type="dcterms:W3CDTF">2021-05-17T17:06:00Z</dcterms:created>
  <dcterms:modified xsi:type="dcterms:W3CDTF">2021-05-17T17:07:00Z</dcterms:modified>
</cp:coreProperties>
</file>