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544D8D" w:rsidRPr="00A14145" w:rsidRDefault="00544D8D" w:rsidP="00A14145">
      <w:pPr>
        <w:rPr>
          <w:b/>
        </w:rPr>
      </w:pPr>
    </w:p>
    <w:p w14:paraId="00000003" w14:textId="197C4F7E" w:rsidR="00544D8D" w:rsidRPr="00A14145" w:rsidRDefault="002B7C68" w:rsidP="00A14145">
      <w:pPr>
        <w:spacing w:line="240" w:lineRule="auto"/>
        <w:jc w:val="center"/>
        <w:rPr>
          <w:rFonts w:eastAsia="Encode Sans"/>
          <w:b/>
          <w:sz w:val="28"/>
          <w:szCs w:val="28"/>
        </w:rPr>
      </w:pPr>
      <w:r w:rsidRPr="00A14145">
        <w:rPr>
          <w:b/>
          <w:sz w:val="28"/>
          <w:szCs w:val="28"/>
        </w:rPr>
        <w:t>Stellantis e Factorial Energy collaboreranno per sviluppare batterie a stato solido per i veicoli elettrici</w:t>
      </w:r>
    </w:p>
    <w:p w14:paraId="00000004" w14:textId="77777777" w:rsidR="00544D8D" w:rsidRPr="00A14145" w:rsidRDefault="00544D8D" w:rsidP="00A14145">
      <w:pPr>
        <w:spacing w:line="240" w:lineRule="auto"/>
        <w:rPr>
          <w:b/>
        </w:rPr>
      </w:pPr>
    </w:p>
    <w:p w14:paraId="00000005" w14:textId="1026D1DA" w:rsidR="00544D8D" w:rsidRDefault="00320443" w:rsidP="00A14145">
      <w:pPr>
        <w:shd w:val="clear" w:color="auto" w:fill="FFFFFF"/>
        <w:spacing w:line="240" w:lineRule="auto"/>
      </w:pPr>
      <w:r w:rsidRPr="00A14145">
        <w:rPr>
          <w:b/>
        </w:rPr>
        <w:t>AMSTERDAM, 30 novembre 2021</w:t>
      </w:r>
      <w:r w:rsidRPr="00A14145">
        <w:t xml:space="preserve"> -</w:t>
      </w:r>
      <w:r w:rsidR="00A14145">
        <w:t xml:space="preserve"> </w:t>
      </w:r>
      <w:hyperlink r:id="rId7" w:history="1">
        <w:r w:rsidR="00A14145" w:rsidRPr="00F16C81">
          <w:rPr>
            <w:rStyle w:val="Hyperlink"/>
            <w:rFonts w:eastAsia="Encode Sans"/>
          </w:rPr>
          <w:t>Stellantis N.V.</w:t>
        </w:r>
      </w:hyperlink>
      <w:bookmarkStart w:id="0" w:name="_GoBack"/>
      <w:bookmarkEnd w:id="0"/>
      <w:r w:rsidR="00A14145">
        <w:t xml:space="preserve"> (</w:t>
      </w:r>
      <w:r w:rsidR="002B7C68" w:rsidRPr="00A14145">
        <w:t xml:space="preserve">NYSE/MTA/Euronext Paris: STLA) e </w:t>
      </w:r>
      <w:hyperlink r:id="rId8" w:history="1">
        <w:r w:rsidR="00A14145" w:rsidRPr="00436DFE">
          <w:rPr>
            <w:rStyle w:val="Hyperlink"/>
            <w:rFonts w:eastAsia="Encode Sans"/>
          </w:rPr>
          <w:t>Factorial Energy</w:t>
        </w:r>
      </w:hyperlink>
      <w:r w:rsidRPr="00A14145">
        <w:t xml:space="preserve"> (Factorial) hanno annunciato oggi la firma di</w:t>
      </w:r>
      <w:r w:rsidR="002B7C68" w:rsidRPr="00A14145">
        <w:t xml:space="preserve"> un accordo di sviluppo congiunto per implementare la tecnologia di Factorial delle batterie a stato solido ad alta tensione per applicazioni di trazione. L</w:t>
      </w:r>
      <w:r w:rsidR="001F0313">
        <w:t>’</w:t>
      </w:r>
      <w:r w:rsidR="002B7C68" w:rsidRPr="00A14145">
        <w:t xml:space="preserve">accordo prevede anche un investimento strategico da parte di Stellantis. </w:t>
      </w:r>
    </w:p>
    <w:p w14:paraId="770A1942" w14:textId="77777777" w:rsidR="00A14145" w:rsidRPr="00A14145" w:rsidRDefault="00A14145" w:rsidP="00A14145">
      <w:pPr>
        <w:shd w:val="clear" w:color="auto" w:fill="FFFFFF"/>
        <w:spacing w:line="240" w:lineRule="auto"/>
        <w:rPr>
          <w:rFonts w:eastAsia="Encode Sans"/>
        </w:rPr>
      </w:pPr>
    </w:p>
    <w:p w14:paraId="00000006" w14:textId="18A1AEC3" w:rsidR="00544D8D" w:rsidRDefault="001F0313" w:rsidP="00A14145">
      <w:pPr>
        <w:shd w:val="clear" w:color="auto" w:fill="FFFFFF"/>
        <w:spacing w:line="240" w:lineRule="auto"/>
      </w:pPr>
      <w:r>
        <w:t>“</w:t>
      </w:r>
      <w:r w:rsidR="002B7C68" w:rsidRPr="00A14145">
        <w:t>Il nostro investimento in Factorial e in altri partner autorevoli specializzati nello sviluppo di batterie aumenta la velocità e l</w:t>
      </w:r>
      <w:r>
        <w:t>’</w:t>
      </w:r>
      <w:r w:rsidR="002B7C68" w:rsidRPr="00A14145">
        <w:t>agilità necessarie ad adottare tecnologie all</w:t>
      </w:r>
      <w:r>
        <w:t>’</w:t>
      </w:r>
      <w:r w:rsidR="002B7C68" w:rsidRPr="00A14145">
        <w:t>avanguardia per il nostro portfolio di veicoli elettrici</w:t>
      </w:r>
      <w:r>
        <w:t>”</w:t>
      </w:r>
      <w:r w:rsidR="002B7C68" w:rsidRPr="00A14145">
        <w:t xml:space="preserve">, ha dichiarato il CEO di Stellantis Carlos Tavares. </w:t>
      </w:r>
      <w:r>
        <w:t>“</w:t>
      </w:r>
      <w:r w:rsidR="002B7C68" w:rsidRPr="00A14145">
        <w:t>Iniziative come questa ridurranno il time to market e renderanno più conveniente la transizione alla tecnologia a stato solido.</w:t>
      </w:r>
      <w:r>
        <w:t>”</w:t>
      </w:r>
    </w:p>
    <w:p w14:paraId="693ABB7E" w14:textId="77777777" w:rsidR="00A14145" w:rsidRPr="00A14145" w:rsidRDefault="00A14145" w:rsidP="00A14145">
      <w:pPr>
        <w:shd w:val="clear" w:color="auto" w:fill="FFFFFF"/>
        <w:spacing w:line="240" w:lineRule="auto"/>
        <w:rPr>
          <w:rFonts w:eastAsia="Encode Sans"/>
        </w:rPr>
      </w:pPr>
    </w:p>
    <w:p w14:paraId="00000007" w14:textId="329F4FA1" w:rsidR="00544D8D" w:rsidRDefault="002B7C68" w:rsidP="00A14145">
      <w:pPr>
        <w:shd w:val="clear" w:color="auto" w:fill="FFFFFF"/>
        <w:spacing w:line="240" w:lineRule="auto"/>
      </w:pPr>
      <w:proofErr w:type="spellStart"/>
      <w:r w:rsidRPr="00A14145">
        <w:t>Factorial</w:t>
      </w:r>
      <w:proofErr w:type="spellEnd"/>
      <w:r w:rsidRPr="00A14145">
        <w:t xml:space="preserve"> ha sviluppato un</w:t>
      </w:r>
      <w:r w:rsidR="001F0313">
        <w:t>’</w:t>
      </w:r>
      <w:r w:rsidRPr="00A14145">
        <w:t>innovativa tecnologia sullo stato solido, focalizzata sui problemi chiave che ostacolano l</w:t>
      </w:r>
      <w:r w:rsidR="001F0313">
        <w:t>’</w:t>
      </w:r>
      <w:r w:rsidRPr="00A14145">
        <w:t>adozione su larga scala dei veicoli elettrici da parte dei consumatori: l</w:t>
      </w:r>
      <w:r w:rsidR="001F0313">
        <w:t>’</w:t>
      </w:r>
      <w:r w:rsidRPr="00A14145">
        <w:t xml:space="preserve">autonomia e la sicurezza.  </w:t>
      </w:r>
    </w:p>
    <w:p w14:paraId="2E6A9A3F" w14:textId="77777777" w:rsidR="00A14145" w:rsidRPr="00A14145" w:rsidRDefault="00A14145" w:rsidP="00A14145">
      <w:pPr>
        <w:shd w:val="clear" w:color="auto" w:fill="FFFFFF"/>
        <w:spacing w:line="240" w:lineRule="auto"/>
        <w:rPr>
          <w:rFonts w:eastAsia="Encode Sans"/>
        </w:rPr>
      </w:pPr>
    </w:p>
    <w:p w14:paraId="662D7269" w14:textId="3DF8D022" w:rsidR="00E01060" w:rsidRDefault="001F0313" w:rsidP="00A14145">
      <w:pPr>
        <w:shd w:val="clear" w:color="auto" w:fill="FFFFFF"/>
        <w:spacing w:line="240" w:lineRule="auto"/>
      </w:pPr>
      <w:r>
        <w:t>“</w:t>
      </w:r>
      <w:r w:rsidR="00E01060" w:rsidRPr="00A14145">
        <w:t>È un grande onore collaborare con Stellantis, uno dei principali attori della mobilità globale, che include nel suo portfolio alcuni dei marchi automotive più iconici al mondo</w:t>
      </w:r>
      <w:r>
        <w:t>”</w:t>
      </w:r>
      <w:r w:rsidR="00E01060" w:rsidRPr="00A14145">
        <w:t xml:space="preserve">, ha dichiarato </w:t>
      </w:r>
      <w:proofErr w:type="spellStart"/>
      <w:r w:rsidR="00E01060" w:rsidRPr="00A14145">
        <w:t>Siyu</w:t>
      </w:r>
      <w:proofErr w:type="spellEnd"/>
      <w:r w:rsidR="00E01060" w:rsidRPr="00A14145">
        <w:t xml:space="preserve"> Huang, co-fondatore e CEO di Factorial Energy. </w:t>
      </w:r>
      <w:r>
        <w:t>“</w:t>
      </w:r>
      <w:r w:rsidR="00E01060" w:rsidRPr="00A14145">
        <w:t>Per noi è una straordinaria occasione per promuovere l</w:t>
      </w:r>
      <w:r>
        <w:t>’</w:t>
      </w:r>
      <w:r w:rsidR="00E01060" w:rsidRPr="00A14145">
        <w:t>adozione della nostra tecnologia legata alle batterie a stato solido nel mercato di massa, una tecnologia pulita, efficiente e sicura.</w:t>
      </w:r>
      <w:r>
        <w:t>”</w:t>
      </w:r>
    </w:p>
    <w:p w14:paraId="4CC7DB8F" w14:textId="77777777" w:rsidR="00A14145" w:rsidRPr="00A14145" w:rsidRDefault="00A14145" w:rsidP="00A14145">
      <w:pPr>
        <w:shd w:val="clear" w:color="auto" w:fill="FFFFFF"/>
        <w:spacing w:line="240" w:lineRule="auto"/>
        <w:rPr>
          <w:rFonts w:eastAsia="Encode Sans"/>
        </w:rPr>
      </w:pPr>
    </w:p>
    <w:p w14:paraId="0000000C" w14:textId="70F1B941" w:rsidR="00544D8D" w:rsidRPr="00A14145" w:rsidRDefault="002B7C68" w:rsidP="00A14145">
      <w:pPr>
        <w:spacing w:line="240" w:lineRule="auto"/>
        <w:rPr>
          <w:rFonts w:eastAsia="Encode Sans"/>
        </w:rPr>
      </w:pPr>
      <w:r w:rsidRPr="00A14145">
        <w:t>Durante l</w:t>
      </w:r>
      <w:r w:rsidR="001F0313">
        <w:t>’</w:t>
      </w:r>
      <w:r w:rsidRPr="00A14145">
        <w:t xml:space="preserve">evento </w:t>
      </w:r>
      <w:hyperlink r:id="rId9" w:history="1">
        <w:r w:rsidRPr="00A14145">
          <w:rPr>
            <w:rStyle w:val="Hyperlink"/>
          </w:rPr>
          <w:t>EV Day</w:t>
        </w:r>
      </w:hyperlink>
      <w:r w:rsidRPr="00A14145">
        <w:t>, svoltosi nel luglio 2021, Stellantis ha annunciato l</w:t>
      </w:r>
      <w:r w:rsidR="001F0313">
        <w:t>’</w:t>
      </w:r>
      <w:r w:rsidRPr="00A14145">
        <w:t xml:space="preserve">obiettivo di introdurre entro il 2026 la prima tecnologia di batterie a stato solido competitiva. </w:t>
      </w:r>
    </w:p>
    <w:p w14:paraId="0000000D" w14:textId="77777777" w:rsidR="00544D8D" w:rsidRPr="00A14145" w:rsidRDefault="00544D8D" w:rsidP="00A14145">
      <w:pPr>
        <w:spacing w:line="240" w:lineRule="auto"/>
        <w:rPr>
          <w:rFonts w:eastAsia="Encode Sans"/>
        </w:rPr>
      </w:pPr>
    </w:p>
    <w:p w14:paraId="0000000E" w14:textId="63D71E35" w:rsidR="00544D8D" w:rsidRDefault="002B7C68" w:rsidP="00A14145">
      <w:pPr>
        <w:shd w:val="clear" w:color="auto" w:fill="FFFFFF"/>
        <w:spacing w:line="240" w:lineRule="auto"/>
      </w:pPr>
      <w:r w:rsidRPr="00A14145">
        <w:t>I progressi di Factorial si basano sulla tecnologia FEST™ (Factorial Electrolyte System Technology), che sfrutta un materiale elettrolitico solido proprietario, garantendo prestazioni sicure e affidabili delle celle grazie a elettrodi ad alta tensione e alta capacità, venendo applicata in celle da 40 Ah funzionanti a temperatura ambiente. La tecnologia FEST™ è più sicura della tecnologia convenzionale agli ioni di litio, aumenta l</w:t>
      </w:r>
      <w:r w:rsidR="001F0313">
        <w:t>’</w:t>
      </w:r>
      <w:r w:rsidRPr="00A14145">
        <w:t>autonomia dei veicoli ed è integrabile in maniera semplice e rapida nelle infrastrutture già esistenti per la produzione delle batterie agli ioni di litio.</w:t>
      </w:r>
    </w:p>
    <w:p w14:paraId="4B29CDDE" w14:textId="77777777" w:rsidR="00A14145" w:rsidRDefault="00A14145" w:rsidP="00A14145">
      <w:pPr>
        <w:shd w:val="clear" w:color="auto" w:fill="FFFFFF"/>
        <w:spacing w:line="240" w:lineRule="auto"/>
      </w:pPr>
    </w:p>
    <w:p w14:paraId="11879F7D" w14:textId="77777777" w:rsidR="00A14145" w:rsidRPr="00972870" w:rsidRDefault="00A14145" w:rsidP="00A14145">
      <w:pPr>
        <w:spacing w:line="240" w:lineRule="auto"/>
        <w:jc w:val="center"/>
        <w:rPr>
          <w:rFonts w:eastAsia="Encode Sans"/>
        </w:rPr>
      </w:pPr>
      <w:r w:rsidRPr="00972870">
        <w:rPr>
          <w:rFonts w:eastAsia="Encode Sans"/>
        </w:rPr>
        <w:t>#</w:t>
      </w:r>
      <w:r>
        <w:rPr>
          <w:rFonts w:eastAsia="Encode Sans"/>
        </w:rPr>
        <w:t xml:space="preserve"> </w:t>
      </w:r>
      <w:r w:rsidRPr="00972870">
        <w:rPr>
          <w:rFonts w:eastAsia="Encode Sans"/>
        </w:rPr>
        <w:t>#</w:t>
      </w:r>
      <w:r>
        <w:rPr>
          <w:rFonts w:eastAsia="Encode Sans"/>
        </w:rPr>
        <w:t xml:space="preserve"> </w:t>
      </w:r>
      <w:r w:rsidRPr="00972870">
        <w:rPr>
          <w:rFonts w:eastAsia="Encode Sans"/>
        </w:rPr>
        <w:t>#</w:t>
      </w:r>
    </w:p>
    <w:p w14:paraId="0000000F" w14:textId="1DCBA859" w:rsidR="00544D8D" w:rsidRDefault="00544D8D" w:rsidP="00A14145">
      <w:pPr>
        <w:shd w:val="clear" w:color="auto" w:fill="FFFFFF"/>
        <w:spacing w:line="240" w:lineRule="auto"/>
        <w:rPr>
          <w:rFonts w:eastAsia="Encode Sans"/>
        </w:rPr>
      </w:pPr>
    </w:p>
    <w:p w14:paraId="29062AFC" w14:textId="77777777" w:rsidR="00A14145" w:rsidRPr="00A14145" w:rsidRDefault="00A14145" w:rsidP="00A14145">
      <w:pPr>
        <w:shd w:val="clear" w:color="auto" w:fill="FFFFFF"/>
        <w:spacing w:line="240" w:lineRule="auto"/>
        <w:rPr>
          <w:rFonts w:eastAsia="Encode Sans"/>
        </w:rPr>
      </w:pPr>
    </w:p>
    <w:p w14:paraId="00000012" w14:textId="77777777" w:rsidR="00544D8D" w:rsidRPr="00A14145" w:rsidRDefault="002B7C68" w:rsidP="00A14145">
      <w:pPr>
        <w:shd w:val="clear" w:color="auto" w:fill="FFFFFF"/>
        <w:spacing w:line="240" w:lineRule="auto"/>
        <w:rPr>
          <w:rFonts w:eastAsia="Encode Sans"/>
          <w:b/>
        </w:rPr>
      </w:pPr>
      <w:r w:rsidRPr="00A14145">
        <w:rPr>
          <w:b/>
        </w:rPr>
        <w:t>Stellantis</w:t>
      </w:r>
    </w:p>
    <w:p w14:paraId="00000013" w14:textId="6CABD86A" w:rsidR="00544D8D" w:rsidRDefault="003F31E0" w:rsidP="00A14145">
      <w:pPr>
        <w:shd w:val="clear" w:color="auto" w:fill="FFFFFF"/>
        <w:spacing w:line="240" w:lineRule="auto"/>
      </w:pPr>
      <w:r w:rsidRPr="00A14145">
        <w:t xml:space="preserve">Stellantis è leader a livello mondiale nella produzione di veicoli e fornitore di mobilità, guidata da una chiara visione: offrire libertà di movimento con soluzioni originali, economicamente accessibili e affidabili. Oltre al suo ricco patrimonio culturale e a una diffusa presenza geografica, i suoi principali punti di forza risiedono nelle sue prestazioni in termini di sostenibilità, nella sua vasta esperienza e nei talenti multidisciplinari dei suoi dipendenti in tutto il mondo. Stellantis farà leva sul suo ampio portfolio di marchi iconici, sviluppato da visionari che hanno infuso in essi la passione e lo spirito competitivo che contraddistinguono tanto i suoi </w:t>
      </w:r>
      <w:r w:rsidRPr="00A14145">
        <w:lastRenderedPageBreak/>
        <w:t xml:space="preserve">dipendenti quanto i clienti. Stellantis aspira a diventare non la realtà più grande, ma quella più significativa, creando valore aggiunto per tutti gli stakeholder e le comunità in cui opera. </w:t>
      </w:r>
    </w:p>
    <w:p w14:paraId="179A56AB" w14:textId="77777777" w:rsidR="00A14145" w:rsidRPr="00A14145" w:rsidRDefault="00A14145" w:rsidP="00A14145">
      <w:pPr>
        <w:shd w:val="clear" w:color="auto" w:fill="FFFFFF"/>
        <w:spacing w:line="240" w:lineRule="auto"/>
        <w:rPr>
          <w:rFonts w:eastAsia="Encode Sans"/>
        </w:rPr>
      </w:pPr>
    </w:p>
    <w:p w14:paraId="30CFF73C" w14:textId="77777777" w:rsidR="00A14145" w:rsidRPr="00A14145" w:rsidRDefault="00A14145" w:rsidP="00A14145">
      <w:pPr>
        <w:shd w:val="clear" w:color="auto" w:fill="FFFFFF"/>
        <w:spacing w:line="240" w:lineRule="auto"/>
        <w:rPr>
          <w:rFonts w:eastAsia="Encode Sans"/>
          <w:b/>
        </w:rPr>
      </w:pPr>
      <w:r w:rsidRPr="00A14145">
        <w:rPr>
          <w:b/>
        </w:rPr>
        <w:t>Factorial Energy</w:t>
      </w:r>
    </w:p>
    <w:p w14:paraId="354C7830" w14:textId="514257F2" w:rsidR="00A14145" w:rsidRPr="00A14145" w:rsidRDefault="00A14145" w:rsidP="00A14145">
      <w:pPr>
        <w:shd w:val="clear" w:color="auto" w:fill="FFFFFF"/>
        <w:spacing w:line="240" w:lineRule="auto"/>
        <w:rPr>
          <w:rFonts w:eastAsia="Encode Sans"/>
        </w:rPr>
      </w:pPr>
      <w:r w:rsidRPr="00A14145">
        <w:t>Factorial Energy, con sede a Woburn, nel Massachusetts, ha sviluppato batterie a stato solido rivoluzionarie che, senza alcun aumento del costo, offrono dal 20% al 50% di autonomia in più per ricarica e una maggiore sicurezza rispetto alle batterie tradizionali agli ioni di litio. La tecnologia proprietaria FEST™ (</w:t>
      </w:r>
      <w:proofErr w:type="spellStart"/>
      <w:r w:rsidRPr="00A14145">
        <w:t>Factorial</w:t>
      </w:r>
      <w:proofErr w:type="spellEnd"/>
      <w:r w:rsidRPr="00A14145">
        <w:t xml:space="preserve"> </w:t>
      </w:r>
      <w:proofErr w:type="spellStart"/>
      <w:r w:rsidRPr="00A14145">
        <w:t>Electrolyte</w:t>
      </w:r>
      <w:proofErr w:type="spellEnd"/>
      <w:r w:rsidRPr="00A14145">
        <w:t xml:space="preserve"> System Technology) dell</w:t>
      </w:r>
      <w:r w:rsidR="001F0313">
        <w:t>’</w:t>
      </w:r>
      <w:r w:rsidRPr="00A14145">
        <w:t>azienda sfrutta un materiale elettrolitico solido che garantisce prestazioni sicure e affidabili grazie a celle ad alta capacità con materiali catodici e anodici. L</w:t>
      </w:r>
      <w:r w:rsidR="001F0313">
        <w:t>’</w:t>
      </w:r>
      <w:r w:rsidRPr="00A14145">
        <w:t>elettrolita FEST™ è stato applicato con successo in celle da 40 Ah, funziona a temperatura ambiente e può utilizzare la maggior parte delle attrezzature esistenti per la produzione di batterie agli ioni di litio. L</w:t>
      </w:r>
      <w:r w:rsidR="001F0313">
        <w:t>’</w:t>
      </w:r>
      <w:r w:rsidRPr="00A14145">
        <w:t>azienda sta integrando la sua tecnologia collaborando con diversi produttori di automobili. Maggiori informazioni sono disponibili all</w:t>
      </w:r>
      <w:r w:rsidR="001F0313">
        <w:t>’</w:t>
      </w:r>
      <w:r w:rsidRPr="00A14145">
        <w:t xml:space="preserve">indirizzo </w:t>
      </w:r>
      <w:hyperlink r:id="rId10">
        <w:r w:rsidRPr="00A14145">
          <w:rPr>
            <w:color w:val="1155CC"/>
            <w:u w:val="single"/>
          </w:rPr>
          <w:t>www.factorialenergy.com</w:t>
        </w:r>
      </w:hyperlink>
      <w:r w:rsidRPr="00A14145">
        <w:t>.</w:t>
      </w:r>
    </w:p>
    <w:p w14:paraId="760161A2" w14:textId="77777777" w:rsidR="00A14145" w:rsidRDefault="00A14145" w:rsidP="00A14145">
      <w:pPr>
        <w:autoSpaceDE w:val="0"/>
        <w:autoSpaceDN w:val="0"/>
        <w:adjustRightInd w:val="0"/>
        <w:spacing w:line="240" w:lineRule="auto"/>
        <w:rPr>
          <w:b/>
          <w:bCs/>
          <w:color w:val="373737"/>
        </w:rPr>
      </w:pPr>
    </w:p>
    <w:p w14:paraId="0B237B6B" w14:textId="16FB90DA" w:rsidR="00A14145" w:rsidRDefault="00A14145" w:rsidP="00A14145">
      <w:pPr>
        <w:autoSpaceDE w:val="0"/>
        <w:autoSpaceDN w:val="0"/>
        <w:adjustRightInd w:val="0"/>
        <w:spacing w:line="240" w:lineRule="auto"/>
        <w:rPr>
          <w:b/>
          <w:bCs/>
          <w:color w:val="373737"/>
        </w:rPr>
      </w:pPr>
    </w:p>
    <w:p w14:paraId="4BF0AD8C" w14:textId="77777777" w:rsidR="00A14145" w:rsidRDefault="00A14145" w:rsidP="00A14145">
      <w:pPr>
        <w:autoSpaceDE w:val="0"/>
        <w:autoSpaceDN w:val="0"/>
        <w:adjustRightInd w:val="0"/>
        <w:spacing w:line="240" w:lineRule="auto"/>
        <w:rPr>
          <w:b/>
          <w:bCs/>
          <w:color w:val="373737"/>
        </w:rPr>
      </w:pPr>
    </w:p>
    <w:p w14:paraId="7D0F990B" w14:textId="2E0B8614" w:rsidR="00A14145" w:rsidRDefault="00A14145" w:rsidP="00A14145">
      <w:pPr>
        <w:autoSpaceDE w:val="0"/>
        <w:autoSpaceDN w:val="0"/>
        <w:adjustRightInd w:val="0"/>
        <w:spacing w:line="240" w:lineRule="auto"/>
        <w:rPr>
          <w:b/>
          <w:bCs/>
          <w:color w:val="373737"/>
        </w:rPr>
      </w:pPr>
      <w:r w:rsidRPr="00972870">
        <w:rPr>
          <w:b/>
          <w:bCs/>
          <w:color w:val="373737"/>
        </w:rPr>
        <w:t>Media Contacts</w:t>
      </w:r>
    </w:p>
    <w:p w14:paraId="5A6F3068" w14:textId="77777777" w:rsidR="00A14145" w:rsidRPr="00972870" w:rsidRDefault="00A14145" w:rsidP="00A14145">
      <w:pPr>
        <w:autoSpaceDE w:val="0"/>
        <w:autoSpaceDN w:val="0"/>
        <w:adjustRightInd w:val="0"/>
        <w:spacing w:line="240" w:lineRule="auto"/>
        <w:rPr>
          <w:b/>
          <w:bCs/>
          <w:color w:val="373737"/>
        </w:rPr>
      </w:pPr>
    </w:p>
    <w:p w14:paraId="76A0F7E5" w14:textId="77777777" w:rsidR="00A14145" w:rsidRPr="006C5036" w:rsidRDefault="00A14145" w:rsidP="00A14145">
      <w:pPr>
        <w:spacing w:line="240" w:lineRule="auto"/>
        <w:rPr>
          <w:b/>
        </w:rPr>
      </w:pPr>
      <w:r w:rsidRPr="006C5036">
        <w:rPr>
          <w:b/>
        </w:rPr>
        <w:t>Pierre-Olivier Salmon</w:t>
      </w:r>
    </w:p>
    <w:p w14:paraId="1852FE89" w14:textId="77777777" w:rsidR="00A14145" w:rsidRPr="006C5036" w:rsidRDefault="00A14145" w:rsidP="00A14145">
      <w:pPr>
        <w:spacing w:line="240" w:lineRule="auto"/>
        <w:rPr>
          <w:lang w:val="de-DE"/>
        </w:rPr>
      </w:pPr>
      <w:r w:rsidRPr="00972870">
        <w:rPr>
          <w:lang w:val="de-DE"/>
        </w:rPr>
        <w:t>Stellantis</w:t>
      </w:r>
    </w:p>
    <w:p w14:paraId="42FB8870" w14:textId="77777777" w:rsidR="00A14145" w:rsidRPr="00972870" w:rsidRDefault="00A14145" w:rsidP="00A14145">
      <w:pPr>
        <w:spacing w:line="240" w:lineRule="auto"/>
      </w:pPr>
      <w:r w:rsidRPr="00972870">
        <w:t>pierreolivier.salmon@stellantis.com</w:t>
      </w:r>
    </w:p>
    <w:p w14:paraId="46AE1325" w14:textId="77777777" w:rsidR="00A14145" w:rsidRPr="00972870" w:rsidRDefault="00A14145" w:rsidP="00A14145">
      <w:pPr>
        <w:spacing w:line="240" w:lineRule="auto"/>
        <w:rPr>
          <w:lang w:val="de-DE"/>
        </w:rPr>
      </w:pPr>
      <w:r w:rsidRPr="00972870">
        <w:t>+33 6 76 86 45</w:t>
      </w:r>
    </w:p>
    <w:p w14:paraId="1F213FD8" w14:textId="77777777" w:rsidR="00A14145" w:rsidRDefault="00A14145" w:rsidP="00A14145">
      <w:pPr>
        <w:autoSpaceDE w:val="0"/>
        <w:autoSpaceDN w:val="0"/>
        <w:adjustRightInd w:val="0"/>
        <w:spacing w:line="240" w:lineRule="auto"/>
      </w:pPr>
    </w:p>
    <w:p w14:paraId="599B0D4C" w14:textId="77777777" w:rsidR="00A14145" w:rsidRPr="006C5036" w:rsidRDefault="00A14145" w:rsidP="00A14145">
      <w:pPr>
        <w:autoSpaceDE w:val="0"/>
        <w:autoSpaceDN w:val="0"/>
        <w:adjustRightInd w:val="0"/>
        <w:spacing w:line="240" w:lineRule="auto"/>
        <w:rPr>
          <w:b/>
        </w:rPr>
      </w:pPr>
      <w:r w:rsidRPr="006C5036">
        <w:rPr>
          <w:b/>
        </w:rPr>
        <w:t>John Williams, Scoville PR</w:t>
      </w:r>
    </w:p>
    <w:p w14:paraId="2C59EF8E" w14:textId="77777777" w:rsidR="00A14145" w:rsidRPr="00972870" w:rsidRDefault="00A14145" w:rsidP="00A14145">
      <w:pPr>
        <w:autoSpaceDE w:val="0"/>
        <w:autoSpaceDN w:val="0"/>
        <w:adjustRightInd w:val="0"/>
        <w:spacing w:line="240" w:lineRule="auto"/>
      </w:pPr>
      <w:r>
        <w:t>Factorial</w:t>
      </w:r>
    </w:p>
    <w:p w14:paraId="1147F75A" w14:textId="77777777" w:rsidR="00A14145" w:rsidRPr="00972870" w:rsidRDefault="00A14145" w:rsidP="00A14145">
      <w:pPr>
        <w:spacing w:line="240" w:lineRule="auto"/>
        <w:rPr>
          <w:lang w:val="de-DE"/>
        </w:rPr>
      </w:pPr>
      <w:r w:rsidRPr="00972870">
        <w:rPr>
          <w:lang w:val="de-DE"/>
        </w:rPr>
        <w:t>jwilliams@scovillepr.com</w:t>
      </w:r>
    </w:p>
    <w:p w14:paraId="10E8E63B" w14:textId="77777777" w:rsidR="00A14145" w:rsidRPr="00972870" w:rsidRDefault="00A14145" w:rsidP="00A14145">
      <w:pPr>
        <w:spacing w:line="240" w:lineRule="auto"/>
        <w:rPr>
          <w:lang w:val="de-DE"/>
        </w:rPr>
      </w:pPr>
      <w:r w:rsidRPr="00972870">
        <w:rPr>
          <w:lang w:val="de-DE"/>
        </w:rPr>
        <w:t>206-660-5503</w:t>
      </w:r>
    </w:p>
    <w:p w14:paraId="5D9F16CD" w14:textId="77777777" w:rsidR="00A14145" w:rsidRDefault="00A14145" w:rsidP="00A14145"/>
    <w:p w14:paraId="54E6AEE2" w14:textId="6B427CA7" w:rsidR="00A14145" w:rsidRDefault="00A14145" w:rsidP="00A14145"/>
    <w:p w14:paraId="70B50921" w14:textId="6C2C1792" w:rsidR="00A14145" w:rsidRDefault="00A14145" w:rsidP="00A14145"/>
    <w:p w14:paraId="72911B1F" w14:textId="43CA616F" w:rsidR="00A14145" w:rsidRDefault="00A14145" w:rsidP="00A14145"/>
    <w:p w14:paraId="4608ABD3" w14:textId="55B4A8F3" w:rsidR="00A14145" w:rsidRDefault="00A14145" w:rsidP="00A14145"/>
    <w:p w14:paraId="0EC25051" w14:textId="4F8FE554" w:rsidR="00A14145" w:rsidRDefault="00A14145" w:rsidP="00A14145"/>
    <w:p w14:paraId="5E5DA04E" w14:textId="48DBB38A" w:rsidR="00A14145" w:rsidRDefault="00A14145" w:rsidP="00A14145"/>
    <w:p w14:paraId="2F83A1DB" w14:textId="67E51789" w:rsidR="00A14145" w:rsidRDefault="00A14145" w:rsidP="00A14145"/>
    <w:p w14:paraId="5AC4DFD3" w14:textId="4DCB818F" w:rsidR="00A14145" w:rsidRDefault="00A14145" w:rsidP="00A14145"/>
    <w:p w14:paraId="133637F9" w14:textId="220E09F3" w:rsidR="00A14145" w:rsidRDefault="00A14145" w:rsidP="00A14145"/>
    <w:p w14:paraId="0FA0757D" w14:textId="6B3EB018" w:rsidR="00A14145" w:rsidRDefault="00A14145" w:rsidP="00A14145"/>
    <w:p w14:paraId="5EF6798F" w14:textId="30A25212" w:rsidR="00A14145" w:rsidRDefault="00A14145" w:rsidP="00A14145"/>
    <w:p w14:paraId="5E333E53" w14:textId="6EEAE26C" w:rsidR="00A14145" w:rsidRDefault="00A14145" w:rsidP="00A14145"/>
    <w:p w14:paraId="43FD3522" w14:textId="63EC2268" w:rsidR="00A14145" w:rsidRDefault="00A14145" w:rsidP="00A14145"/>
    <w:p w14:paraId="74F0CD70" w14:textId="550643D6" w:rsidR="00A14145" w:rsidRDefault="00A14145" w:rsidP="00A14145"/>
    <w:p w14:paraId="6C655636" w14:textId="77777777" w:rsidR="00A14145" w:rsidRDefault="00A14145" w:rsidP="00A14145"/>
    <w:p w14:paraId="276CFC14" w14:textId="77777777" w:rsidR="00A14145" w:rsidRDefault="00A14145" w:rsidP="00A14145"/>
    <w:p w14:paraId="00000015" w14:textId="77777777" w:rsidR="00544D8D" w:rsidRPr="00A14145" w:rsidRDefault="00544D8D" w:rsidP="00A14145">
      <w:pPr>
        <w:rPr>
          <w:rFonts w:eastAsia="Encode Sans"/>
          <w:b/>
        </w:rPr>
      </w:pPr>
    </w:p>
    <w:p w14:paraId="00000016" w14:textId="77777777" w:rsidR="00544D8D" w:rsidRPr="00A14145" w:rsidRDefault="002B7C68" w:rsidP="00A14145">
      <w:pPr>
        <w:spacing w:before="240"/>
        <w:rPr>
          <w:rFonts w:eastAsia="Encode Sans"/>
          <w:b/>
          <w:i/>
          <w:sz w:val="18"/>
          <w:szCs w:val="18"/>
        </w:rPr>
      </w:pPr>
      <w:r w:rsidRPr="00A14145">
        <w:rPr>
          <w:b/>
          <w:i/>
          <w:sz w:val="18"/>
          <w:szCs w:val="18"/>
        </w:rPr>
        <w:lastRenderedPageBreak/>
        <w:t>Dichiarazioni previsionali</w:t>
      </w:r>
    </w:p>
    <w:p w14:paraId="549AB33B" w14:textId="7A04AEBA" w:rsidR="003F31E0" w:rsidRPr="00A14145" w:rsidRDefault="003F31E0" w:rsidP="00A14145">
      <w:pPr>
        <w:spacing w:before="240"/>
        <w:rPr>
          <w:i/>
          <w:sz w:val="18"/>
          <w:szCs w:val="18"/>
        </w:rPr>
      </w:pPr>
      <w:r w:rsidRPr="00A14145">
        <w:rPr>
          <w:i/>
          <w:sz w:val="18"/>
          <w:szCs w:val="18"/>
        </w:rPr>
        <w:t xml:space="preserve">La presente comunicazione contiene dichiarazioni previsionali. Tali dichiarazioni possono comprendere termini quali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può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 xml:space="preserve">,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sarà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 xml:space="preserve">,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ci si aspetta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 xml:space="preserve">,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potrebbe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 xml:space="preserve">,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dovrebbe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 xml:space="preserve">,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intende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 xml:space="preserve">,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stima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 xml:space="preserve">,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anticipa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 xml:space="preserve">,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crede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 xml:space="preserve">,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rimane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 xml:space="preserve">,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in linea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 xml:space="preserve">,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progetta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 xml:space="preserve">,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target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 xml:space="preserve">,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obiettivo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 xml:space="preserve">,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scopo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 xml:space="preserve">,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previsione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 xml:space="preserve">,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proiezione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 xml:space="preserve">,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aspettativa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 xml:space="preserve">,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prospettiva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 xml:space="preserve">, </w:t>
      </w:r>
      <w:r w:rsidR="001F0313">
        <w:rPr>
          <w:i/>
          <w:sz w:val="18"/>
          <w:szCs w:val="18"/>
        </w:rPr>
        <w:t>“</w:t>
      </w:r>
      <w:r w:rsidRPr="00A14145">
        <w:rPr>
          <w:i/>
          <w:sz w:val="18"/>
          <w:szCs w:val="18"/>
        </w:rPr>
        <w:t>piano</w:t>
      </w:r>
      <w:r w:rsidR="001F0313">
        <w:rPr>
          <w:i/>
          <w:sz w:val="18"/>
          <w:szCs w:val="18"/>
        </w:rPr>
        <w:t>”</w:t>
      </w:r>
      <w:r w:rsidRPr="00A14145">
        <w:rPr>
          <w:i/>
          <w:sz w:val="18"/>
          <w:szCs w:val="18"/>
        </w:rPr>
        <w:t>, o termini simili. Le dichiarazioni previsionali non sono garanzia di performance future. Piuttosto, esse sono basate sull</w:t>
      </w:r>
      <w:r w:rsidR="001F0313">
        <w:rPr>
          <w:i/>
          <w:sz w:val="18"/>
          <w:szCs w:val="18"/>
        </w:rPr>
        <w:t>’</w:t>
      </w:r>
      <w:r w:rsidRPr="00A14145">
        <w:rPr>
          <w:i/>
          <w:sz w:val="18"/>
          <w:szCs w:val="18"/>
        </w:rPr>
        <w:t>attuale stato di conoscenza del Gruppo, sulle aspettative e sulle proiezioni future riguardo eventi futuri e sono per loro natura soggette a rischi intrinseci e incertezze. Tali dichiarazioni riguardano eventi e dipendono da circostanze che potrebbero o non potrebbero verificarsi o esistere in futuro e, in quanto tali, non si dovrebbe fare indebito affidamento su di esse.</w:t>
      </w:r>
    </w:p>
    <w:p w14:paraId="4DDAC682" w14:textId="391174E4" w:rsidR="003F31E0" w:rsidRPr="00A14145" w:rsidRDefault="003F31E0" w:rsidP="00A14145">
      <w:pPr>
        <w:spacing w:before="240"/>
        <w:rPr>
          <w:i/>
          <w:sz w:val="18"/>
          <w:szCs w:val="18"/>
        </w:rPr>
      </w:pPr>
      <w:r w:rsidRPr="00A14145">
        <w:rPr>
          <w:i/>
          <w:sz w:val="18"/>
          <w:szCs w:val="18"/>
        </w:rPr>
        <w:t>I risultati effettivi potrebbero differire materialmente da quelli espressi nelle dichiarazioni previsionali quale risultato di una molteplicità di fattori, inclusi: l</w:t>
      </w:r>
      <w:r w:rsidR="001F0313">
        <w:rPr>
          <w:i/>
          <w:sz w:val="18"/>
          <w:szCs w:val="18"/>
        </w:rPr>
        <w:t>’</w:t>
      </w:r>
      <w:r w:rsidRPr="00A14145">
        <w:rPr>
          <w:i/>
          <w:sz w:val="18"/>
          <w:szCs w:val="18"/>
        </w:rPr>
        <w:t>impatto della pandemia da COVID-19, la capacità del Gruppo di lanciare nuovi prodotti con successo e di mantenere i volumi di consegna dei veicoli; i cambiamenti nei mercati finanziari globali, nel contesto economico generale e i cambiamenti nella domanda di prodotti automobilistici, soggetta a ciclicità; i cambiamenti delle condizioni economiche e politiche locali, i cambiamenti delle politiche commerciali e l</w:t>
      </w:r>
      <w:r w:rsidR="001F0313">
        <w:rPr>
          <w:i/>
          <w:sz w:val="18"/>
          <w:szCs w:val="18"/>
        </w:rPr>
        <w:t>’</w:t>
      </w:r>
      <w:r w:rsidRPr="00A14145">
        <w:rPr>
          <w:i/>
          <w:sz w:val="18"/>
          <w:szCs w:val="18"/>
        </w:rPr>
        <w:t>imposizione di dazi a livello globale e regionale o dazi mirati all</w:t>
      </w:r>
      <w:r w:rsidR="001F0313">
        <w:rPr>
          <w:i/>
          <w:sz w:val="18"/>
          <w:szCs w:val="18"/>
        </w:rPr>
        <w:t>’</w:t>
      </w:r>
      <w:r w:rsidRPr="00A14145">
        <w:rPr>
          <w:i/>
          <w:sz w:val="18"/>
          <w:szCs w:val="18"/>
        </w:rPr>
        <w:t>industria automobilistica, l</w:t>
      </w:r>
      <w:r w:rsidR="001F0313">
        <w:rPr>
          <w:i/>
          <w:sz w:val="18"/>
          <w:szCs w:val="18"/>
        </w:rPr>
        <w:t>’</w:t>
      </w:r>
      <w:r w:rsidRPr="00A14145">
        <w:rPr>
          <w:i/>
          <w:sz w:val="18"/>
          <w:szCs w:val="18"/>
        </w:rPr>
        <w:t>attuazione di riforme fiscali o altre variazioni nelle normative e regolamentazioni fiscali; la capacità del Gruppo di espandere a livello globale alcuni dei suoi marchi; la sua capacità di offrire prodotti innovativi e attraenti; la sua capacità di sviluppare, produrre e vendere veicoli con caratteristiche avanzate tra cui elettrificazione potenziata, connettività e guida autonoma; diversi tipi di reclami, azioni legali, indagini governative e altre controversie legali, inclusi responsabilità del prodotto e reclami di garanzia del prodotto e reclami, indagini e azioni legali in materia ambientale; costi operativi in relazione alla conformità con le normative di tutela dell</w:t>
      </w:r>
      <w:r w:rsidR="001F0313">
        <w:rPr>
          <w:i/>
          <w:sz w:val="18"/>
          <w:szCs w:val="18"/>
        </w:rPr>
        <w:t>’</w:t>
      </w:r>
      <w:r w:rsidRPr="00A14145">
        <w:rPr>
          <w:i/>
          <w:sz w:val="18"/>
          <w:szCs w:val="18"/>
        </w:rPr>
        <w:t>ambiente, della salute e della sicurezza; l</w:t>
      </w:r>
      <w:r w:rsidR="001F0313">
        <w:rPr>
          <w:i/>
          <w:sz w:val="18"/>
          <w:szCs w:val="18"/>
        </w:rPr>
        <w:t>’</w:t>
      </w:r>
      <w:r w:rsidRPr="00A14145">
        <w:rPr>
          <w:i/>
          <w:sz w:val="18"/>
          <w:szCs w:val="18"/>
        </w:rPr>
        <w:t>elevato livello di concorrenza nel settore automobilistico, che potrebbe aumentare a causa di consolidamenti; la potenziale carenza nel finanziamento dei piani pensionistici del Gruppo; la capacità di fornire o organizzare accesso a finanziamenti adeguati per i concessionari e i clienti finali e i rischi associati alla costituzione e alle operazioni di società di servizi finanziari; la capacità di accedere a finanziamenti per realizzare i piani industriali del Gruppo e migliorare le attività, la situazione finanziaria e i risultati operativi; un significativo malfunzionamento, interruzione o violazione della sicurezza che possa compromettere i sistemi di information technology o i sistemi di controllo elettronico contenuti nei veicoli del Gruppo; la capacità del Gruppo di realizzare i benefici previsti dagli accordi di joint venture; interruzioni dovute a instabilità politica, sociale ed economica; i rischi associati alle relazioni con dipendenti, concessionari e fornitori; aumenti dei costi, interruzioni di forniture o carenza di materie prime; sviluppi in relazioni sindacali, industriali e nella normativa del lavoro; fluttuazioni dei tassi di cambio, variazioni dai tassi di interesse, rischio di credito e altri rischi di mercato; tensioni politiche e sociali; terremoti o altri disastri; il rischio che le attività di Groupe PSA e FCA non siano integrate con successo e altri rischi e incertezze.</w:t>
      </w:r>
    </w:p>
    <w:p w14:paraId="00000019" w14:textId="5CFE4E87" w:rsidR="00544D8D" w:rsidRPr="00A14145" w:rsidRDefault="003F31E0" w:rsidP="00A14145">
      <w:pPr>
        <w:spacing w:before="240"/>
        <w:rPr>
          <w:rFonts w:eastAsia="Encode Sans"/>
          <w:i/>
          <w:sz w:val="18"/>
          <w:szCs w:val="18"/>
        </w:rPr>
      </w:pPr>
      <w:r w:rsidRPr="00A14145">
        <w:rPr>
          <w:i/>
          <w:sz w:val="18"/>
          <w:szCs w:val="18"/>
        </w:rPr>
        <w:t>Qualsiasi dichiarazione previsionale contenuta nella presente comunicazione sono da considerare valide alla data del presente documento e il Gruppo declina ogni obbligo di aggiornare o revisionare pubblicamente tali dichiarazioni. Tutte le dichiarazioni previsionali contenute nella presente comunicazione si riferiscono esclusivamente alla data del presente documento e il Gruppo declina qualsiasi obbligo di aggiornare o rivedere pubblicamente le dichiarazioni previsionali. Ulteriori informazioni riguardanti il Gruppo e le sue attività, inclusi i fattori che potrebbero materialmente influenzare i risultati finanziari del Gruppo, sono incluse nelle relazioni e nei fascicoli del Gruppo depositati presso la U.S. Securities and Exchange Commission e AFM.</w:t>
      </w:r>
    </w:p>
    <w:p w14:paraId="0000001A" w14:textId="77777777" w:rsidR="00544D8D" w:rsidRPr="00A14145" w:rsidRDefault="00544D8D" w:rsidP="00A14145">
      <w:pPr>
        <w:rPr>
          <w:rFonts w:eastAsia="Encode Sans"/>
        </w:rPr>
      </w:pPr>
    </w:p>
    <w:sectPr w:rsidR="00544D8D" w:rsidRPr="00A14145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854E6" w14:textId="77777777" w:rsidR="00ED5274" w:rsidRDefault="00ED5274" w:rsidP="00A14145">
      <w:pPr>
        <w:spacing w:line="240" w:lineRule="auto"/>
      </w:pPr>
      <w:r>
        <w:separator/>
      </w:r>
    </w:p>
  </w:endnote>
  <w:endnote w:type="continuationSeparator" w:id="0">
    <w:p w14:paraId="1DDE4D4C" w14:textId="77777777" w:rsidR="00ED5274" w:rsidRDefault="00ED5274" w:rsidP="00A14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5987A" w14:textId="77777777" w:rsidR="00ED5274" w:rsidRDefault="00ED5274" w:rsidP="00A14145">
      <w:pPr>
        <w:spacing w:line="240" w:lineRule="auto"/>
      </w:pPr>
      <w:r>
        <w:separator/>
      </w:r>
    </w:p>
  </w:footnote>
  <w:footnote w:type="continuationSeparator" w:id="0">
    <w:p w14:paraId="6732940F" w14:textId="77777777" w:rsidR="00ED5274" w:rsidRDefault="00ED5274" w:rsidP="00A14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710AA" w14:textId="77777777" w:rsidR="00A14145" w:rsidRDefault="00A14145" w:rsidP="00A14145">
    <w:pPr>
      <w:pStyle w:val="Header"/>
      <w:tabs>
        <w:tab w:val="clear" w:pos="4680"/>
        <w:tab w:val="clear" w:pos="9360"/>
        <w:tab w:val="left" w:pos="5520"/>
      </w:tabs>
    </w:pPr>
    <w:r>
      <w:rPr>
        <w:noProof/>
        <w:lang w:val="en-US"/>
      </w:rPr>
      <w:drawing>
        <wp:inline distT="0" distB="0" distL="0" distR="0" wp14:anchorId="358708EC" wp14:editId="186E244C">
          <wp:extent cx="1729740" cy="44426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llantis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799" cy="44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tab/>
    </w:r>
    <w:r>
      <w:rPr>
        <w:noProof/>
        <w:lang w:val="en-US"/>
      </w:rPr>
      <w:drawing>
        <wp:inline distT="0" distB="0" distL="0" distR="0" wp14:anchorId="547333ED" wp14:editId="629BED67">
          <wp:extent cx="708284" cy="420300"/>
          <wp:effectExtent l="0" t="0" r="0" b="0"/>
          <wp:docPr id="2" name="Picture 2" descr="C:\Users\T0900KC\AppData\Local\Microsoft\Windows\Temporary Internet Files\Content.MSO\412CA62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0900KC\AppData\Local\Microsoft\Windows\Temporary Internet Files\Content.MSO\412CA62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8" cy="443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A7F0A" w14:textId="77777777" w:rsidR="00A14145" w:rsidRDefault="00A14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57B6"/>
    <w:multiLevelType w:val="multilevel"/>
    <w:tmpl w:val="68201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8D"/>
    <w:rsid w:val="00034131"/>
    <w:rsid w:val="00061DA0"/>
    <w:rsid w:val="001F0313"/>
    <w:rsid w:val="002B7C68"/>
    <w:rsid w:val="00320443"/>
    <w:rsid w:val="003271B7"/>
    <w:rsid w:val="003F31E0"/>
    <w:rsid w:val="00427B2E"/>
    <w:rsid w:val="00450E3B"/>
    <w:rsid w:val="00544D8D"/>
    <w:rsid w:val="006C7CAB"/>
    <w:rsid w:val="00982D95"/>
    <w:rsid w:val="009D3C5B"/>
    <w:rsid w:val="00A14145"/>
    <w:rsid w:val="00A73C2B"/>
    <w:rsid w:val="00D43D7F"/>
    <w:rsid w:val="00E01060"/>
    <w:rsid w:val="00E629AF"/>
    <w:rsid w:val="00E67112"/>
    <w:rsid w:val="00ED5274"/>
    <w:rsid w:val="00F1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7568"/>
  <w15:docId w15:val="{B83802CE-80C3-4A89-B73F-E33F180F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061DA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0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29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1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145"/>
  </w:style>
  <w:style w:type="paragraph" w:styleId="Footer">
    <w:name w:val="footer"/>
    <w:basedOn w:val="Normal"/>
    <w:link w:val="FooterChar"/>
    <w:uiPriority w:val="99"/>
    <w:unhideWhenUsed/>
    <w:rsid w:val="00A141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torialenerg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ellantis.com/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lobenewswire.com/Tracker?data=CDk4TvLqoRSBCrXDciW6xHdAJLTDpj-jOnqJ9wmouh8IUFKm1F9-U42OrAEPJ_4j0CdZ8y38vE7RpZ-FMxyjIwmzXPh51wnhDO3no2yj86Q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ellantis.com/it/investors/eventi/ev-day-202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1274</Words>
  <Characters>7864</Characters>
  <Application>Microsoft Office Word</Application>
  <DocSecurity>0</DocSecurity>
  <Lines>140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FCA US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Connelly Kaileen (FCA)</dc:creator>
  <cp:lastModifiedBy>Angela Cataldi</cp:lastModifiedBy>
  <cp:revision>5</cp:revision>
  <dcterms:created xsi:type="dcterms:W3CDTF">2021-11-30T08:26:00Z</dcterms:created>
  <dcterms:modified xsi:type="dcterms:W3CDTF">2021-11-30T09:55:00Z</dcterms:modified>
</cp:coreProperties>
</file>