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7EE9B" w14:textId="60896BEA" w:rsidR="005C18FB" w:rsidRDefault="00E07170" w:rsidP="00D74DE2">
      <w:pPr>
        <w:spacing w:after="0" w:line="240" w:lineRule="auto"/>
        <w:jc w:val="center"/>
        <w:rPr>
          <w:rFonts w:ascii="Arial" w:hAnsi="Arial" w:cs="Arial"/>
          <w:b/>
          <w:sz w:val="28"/>
          <w:szCs w:val="28"/>
        </w:rPr>
      </w:pPr>
      <w:r>
        <w:rPr>
          <w:rFonts w:ascii="Arial" w:hAnsi="Arial"/>
          <w:b/>
          <w:sz w:val="28"/>
          <w:szCs w:val="28"/>
        </w:rPr>
        <w:t>Stellantis e LG Energy Solution creeranno una joint venture per la produzione di batterie agli ioni di litio in Nord America</w:t>
      </w:r>
    </w:p>
    <w:p w14:paraId="163B3E5D" w14:textId="77777777" w:rsidR="00C628B0" w:rsidRDefault="00C628B0" w:rsidP="00830308">
      <w:pPr>
        <w:spacing w:after="0" w:line="240" w:lineRule="auto"/>
        <w:jc w:val="center"/>
        <w:rPr>
          <w:rFonts w:ascii="Arial" w:hAnsi="Arial" w:cs="Arial"/>
          <w:b/>
          <w:sz w:val="28"/>
          <w:szCs w:val="28"/>
        </w:rPr>
      </w:pPr>
    </w:p>
    <w:p w14:paraId="4CFDDD84" w14:textId="06ED5F5A" w:rsidR="00F0146E" w:rsidRPr="00F0146E" w:rsidRDefault="00F0146E" w:rsidP="00830308">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Pr>
          <w:rFonts w:ascii="Arial" w:hAnsi="Arial"/>
          <w:sz w:val="24"/>
          <w:szCs w:val="24"/>
        </w:rPr>
        <w:t>Il nuovo impianto di batterie avrà una capacità di produzione annuale di 40 gigawattora; l</w:t>
      </w:r>
      <w:r w:rsidR="00276A19">
        <w:rPr>
          <w:rFonts w:ascii="Arial" w:hAnsi="Arial"/>
          <w:sz w:val="24"/>
          <w:szCs w:val="24"/>
        </w:rPr>
        <w:t>’</w:t>
      </w:r>
      <w:r>
        <w:rPr>
          <w:rFonts w:ascii="Arial" w:hAnsi="Arial"/>
          <w:sz w:val="24"/>
          <w:szCs w:val="24"/>
        </w:rPr>
        <w:t>avvio è previsto per il primo trimestre del 2024</w:t>
      </w:r>
    </w:p>
    <w:p w14:paraId="4227E2ED" w14:textId="6910DB72" w:rsidR="00F0146E" w:rsidRPr="00F0146E" w:rsidRDefault="00F0146E" w:rsidP="00830308">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Pr>
          <w:rFonts w:ascii="Arial" w:hAnsi="Arial"/>
          <w:sz w:val="24"/>
          <w:szCs w:val="24"/>
          <w:shd w:val="clear" w:color="auto" w:fill="FFFFFF"/>
        </w:rPr>
        <w:t>Un importante passo avanti verso l</w:t>
      </w:r>
      <w:r w:rsidR="00276A19">
        <w:rPr>
          <w:rFonts w:ascii="Arial" w:hAnsi="Arial"/>
          <w:sz w:val="24"/>
          <w:szCs w:val="24"/>
          <w:shd w:val="clear" w:color="auto" w:fill="FFFFFF"/>
        </w:rPr>
        <w:t>’</w:t>
      </w:r>
      <w:r>
        <w:rPr>
          <w:rFonts w:ascii="Arial" w:hAnsi="Arial"/>
          <w:sz w:val="24"/>
          <w:szCs w:val="24"/>
          <w:shd w:val="clear" w:color="auto" w:fill="FFFFFF"/>
        </w:rPr>
        <w:t>elettrificazione in Nord America</w:t>
      </w:r>
    </w:p>
    <w:p w14:paraId="67F5267A" w14:textId="77777777" w:rsidR="0007479D" w:rsidRDefault="0007479D" w:rsidP="00C61A4B">
      <w:pPr>
        <w:rPr>
          <w:rFonts w:ascii="Arial" w:hAnsi="Arial" w:cs="Arial"/>
          <w:b/>
          <w:sz w:val="22"/>
        </w:rPr>
      </w:pPr>
    </w:p>
    <w:p w14:paraId="291756BE" w14:textId="3D7D7CB7" w:rsidR="00C61A4B" w:rsidRDefault="005A49A6" w:rsidP="00830308">
      <w:pPr>
        <w:spacing w:after="0" w:line="240" w:lineRule="auto"/>
        <w:rPr>
          <w:rFonts w:ascii="Arial" w:eastAsia="Times New Roman" w:hAnsi="Arial" w:cs="Arial"/>
          <w:sz w:val="22"/>
          <w:shd w:val="clear" w:color="auto" w:fill="FFFFFF"/>
        </w:rPr>
      </w:pPr>
      <w:r>
        <w:rPr>
          <w:rFonts w:ascii="Arial" w:hAnsi="Arial"/>
          <w:b/>
          <w:sz w:val="22"/>
        </w:rPr>
        <w:t>AMSTERDAM, 18 ottobre 2021</w:t>
      </w:r>
      <w:r>
        <w:rPr>
          <w:rFonts w:ascii="Arial" w:hAnsi="Arial"/>
          <w:b/>
          <w:bCs/>
          <w:sz w:val="22"/>
        </w:rPr>
        <w:t xml:space="preserve"> - </w:t>
      </w:r>
      <w:hyperlink r:id="rId7" w:history="1">
        <w:r>
          <w:rPr>
            <w:rStyle w:val="Hyperlink"/>
            <w:rFonts w:ascii="Arial" w:hAnsi="Arial"/>
            <w:sz w:val="22"/>
            <w:shd w:val="clear" w:color="auto" w:fill="FFFFFF"/>
          </w:rPr>
          <w:t>Stellantis N.V.</w:t>
        </w:r>
      </w:hyperlink>
      <w:r>
        <w:rPr>
          <w:rFonts w:ascii="Arial" w:hAnsi="Arial"/>
          <w:sz w:val="22"/>
          <w:shd w:val="clear" w:color="auto" w:fill="FFFFFF"/>
        </w:rPr>
        <w:t xml:space="preserve"> (NYSE / MTA / Euronext Paris: STLA) ed </w:t>
      </w:r>
      <w:r>
        <w:rPr>
          <w:rFonts w:ascii="Arial" w:hAnsi="Arial"/>
          <w:sz w:val="22"/>
        </w:rPr>
        <w:t xml:space="preserve">LG Energy </w:t>
      </w:r>
      <w:r>
        <w:rPr>
          <w:rFonts w:ascii="Arial" w:hAnsi="Arial"/>
          <w:sz w:val="22"/>
          <w:shd w:val="clear" w:color="auto" w:fill="FFFFFF"/>
        </w:rPr>
        <w:t>Solution hanno annunciato oggi che le rispettive aziende hanno stipulato un memorandum d</w:t>
      </w:r>
      <w:r w:rsidR="00276A19">
        <w:rPr>
          <w:rFonts w:ascii="Arial" w:hAnsi="Arial"/>
          <w:sz w:val="22"/>
          <w:shd w:val="clear" w:color="auto" w:fill="FFFFFF"/>
        </w:rPr>
        <w:t>’</w:t>
      </w:r>
      <w:r>
        <w:rPr>
          <w:rFonts w:ascii="Arial" w:hAnsi="Arial"/>
          <w:sz w:val="22"/>
          <w:shd w:val="clear" w:color="auto" w:fill="FFFFFF"/>
        </w:rPr>
        <w:t xml:space="preserve">intesa per la creazione di una joint venture mirata alla produzione di celle e moduli batteria per il Nord America. </w:t>
      </w:r>
    </w:p>
    <w:p w14:paraId="16CA9D42" w14:textId="77777777" w:rsidR="0007479D" w:rsidRDefault="0007479D" w:rsidP="00830308">
      <w:pPr>
        <w:spacing w:after="0" w:line="240" w:lineRule="auto"/>
        <w:rPr>
          <w:rFonts w:ascii="Arial" w:eastAsia="Times New Roman" w:hAnsi="Arial" w:cs="Arial"/>
          <w:sz w:val="22"/>
          <w:shd w:val="clear" w:color="auto" w:fill="FFFFFF"/>
        </w:rPr>
      </w:pPr>
    </w:p>
    <w:p w14:paraId="6B36EE40" w14:textId="7EBDEF20" w:rsidR="0007479D" w:rsidRPr="00897EB8" w:rsidRDefault="005C18FB" w:rsidP="00965494">
      <w:pPr>
        <w:spacing w:after="0" w:line="240" w:lineRule="auto"/>
        <w:rPr>
          <w:rFonts w:ascii="Arial" w:eastAsia="Times New Roman" w:hAnsi="Arial" w:cs="Arial"/>
          <w:sz w:val="22"/>
          <w:shd w:val="clear" w:color="auto" w:fill="FFFFFF"/>
        </w:rPr>
      </w:pPr>
      <w:r>
        <w:rPr>
          <w:rFonts w:ascii="Arial" w:hAnsi="Arial"/>
          <w:sz w:val="22"/>
          <w:shd w:val="clear" w:color="auto" w:fill="FFFFFF"/>
        </w:rPr>
        <w:t>Nelle intenz</w:t>
      </w:r>
      <w:r w:rsidR="005E1D1F">
        <w:rPr>
          <w:rFonts w:ascii="Arial" w:hAnsi="Arial"/>
          <w:sz w:val="22"/>
          <w:shd w:val="clear" w:color="auto" w:fill="FFFFFF"/>
        </w:rPr>
        <w:t>ioni delle parti, questa joint venture</w:t>
      </w:r>
      <w:r>
        <w:rPr>
          <w:rFonts w:ascii="Arial" w:hAnsi="Arial"/>
          <w:sz w:val="22"/>
          <w:shd w:val="clear" w:color="auto" w:fill="FFFFFF"/>
        </w:rPr>
        <w:t xml:space="preserve"> avrà come risultato la creazione </w:t>
      </w:r>
      <w:r w:rsidR="00251ED6">
        <w:rPr>
          <w:rFonts w:ascii="Arial" w:hAnsi="Arial"/>
          <w:sz w:val="22"/>
          <w:shd w:val="clear" w:color="auto" w:fill="FFFFFF"/>
        </w:rPr>
        <w:t xml:space="preserve">di </w:t>
      </w:r>
      <w:r>
        <w:rPr>
          <w:rFonts w:ascii="Arial" w:hAnsi="Arial"/>
          <w:sz w:val="22"/>
          <w:shd w:val="clear" w:color="auto" w:fill="FFFFFF"/>
        </w:rPr>
        <w:t>un nuovo impianto per la produzione di batterie, che contribuirà a raggiungere l</w:t>
      </w:r>
      <w:r w:rsidR="00276A19">
        <w:rPr>
          <w:rFonts w:ascii="Arial" w:hAnsi="Arial"/>
          <w:sz w:val="22"/>
          <w:shd w:val="clear" w:color="auto" w:fill="FFFFFF"/>
        </w:rPr>
        <w:t>’</w:t>
      </w:r>
      <w:r>
        <w:rPr>
          <w:rFonts w:ascii="Arial" w:hAnsi="Arial"/>
          <w:sz w:val="22"/>
          <w:shd w:val="clear" w:color="auto" w:fill="FFFFFF"/>
        </w:rPr>
        <w:t>obiettivo di Stellantis di portare le vendite di veicoli elettrificati a oltre il 40% del totale negli Stati Uniti entro il 2030. L</w:t>
      </w:r>
      <w:r w:rsidR="00276A19">
        <w:rPr>
          <w:rFonts w:ascii="Arial" w:hAnsi="Arial"/>
          <w:sz w:val="22"/>
          <w:shd w:val="clear" w:color="auto" w:fill="FFFFFF"/>
        </w:rPr>
        <w:t>’</w:t>
      </w:r>
      <w:r>
        <w:rPr>
          <w:rFonts w:ascii="Arial" w:hAnsi="Arial"/>
          <w:sz w:val="22"/>
          <w:shd w:val="clear" w:color="auto" w:fill="FFFFFF"/>
        </w:rPr>
        <w:t>avvio della produzione è previsto entro il primo trimestre del 2024 e l</w:t>
      </w:r>
      <w:r w:rsidR="00276A19">
        <w:rPr>
          <w:rFonts w:ascii="Arial" w:hAnsi="Arial"/>
          <w:sz w:val="22"/>
          <w:shd w:val="clear" w:color="auto" w:fill="FFFFFF"/>
        </w:rPr>
        <w:t>’</w:t>
      </w:r>
      <w:r>
        <w:rPr>
          <w:rFonts w:ascii="Arial" w:hAnsi="Arial"/>
          <w:sz w:val="22"/>
          <w:shd w:val="clear" w:color="auto" w:fill="FFFFFF"/>
        </w:rPr>
        <w:t>impianto mira ad avere una capacità annuale di 40 gigawattora. </w:t>
      </w:r>
    </w:p>
    <w:p w14:paraId="5BC5F5E9" w14:textId="77777777" w:rsidR="005C18FB" w:rsidRPr="00897EB8" w:rsidRDefault="005C18FB" w:rsidP="00830308">
      <w:pPr>
        <w:spacing w:after="0" w:line="240" w:lineRule="auto"/>
        <w:rPr>
          <w:rFonts w:ascii="Times New Roman" w:hAnsi="Times New Roman" w:cs="Times New Roman"/>
          <w:sz w:val="22"/>
        </w:rPr>
      </w:pPr>
    </w:p>
    <w:p w14:paraId="5477D598" w14:textId="018D19EC" w:rsidR="005336A5" w:rsidRPr="00897EB8" w:rsidRDefault="005336A5" w:rsidP="00830308">
      <w:pPr>
        <w:spacing w:after="0" w:line="240" w:lineRule="auto"/>
        <w:rPr>
          <w:rFonts w:ascii="Arial" w:hAnsi="Arial" w:cs="Arial"/>
          <w:sz w:val="22"/>
        </w:rPr>
      </w:pPr>
      <w:r>
        <w:rPr>
          <w:rFonts w:ascii="Arial" w:hAnsi="Arial"/>
          <w:sz w:val="22"/>
        </w:rPr>
        <w:t>Le batterie prodotte nel nuovo impianto saranno fornite agli stabilimenti di assemblaggio Stellantis negli Stati Uniti, in Canada e in Messico per l</w:t>
      </w:r>
      <w:r w:rsidR="00276A19">
        <w:rPr>
          <w:rFonts w:ascii="Arial" w:hAnsi="Arial"/>
          <w:sz w:val="22"/>
        </w:rPr>
        <w:t>’</w:t>
      </w:r>
      <w:r>
        <w:rPr>
          <w:rFonts w:ascii="Arial" w:hAnsi="Arial"/>
          <w:sz w:val="22"/>
        </w:rPr>
        <w:t>installazione sui veicoli elettrici di prossima generazione, che vanno dagli ibridi plug-in ai veicoli full electric a batteria, vend</w:t>
      </w:r>
      <w:r w:rsidR="005E1D1F">
        <w:rPr>
          <w:rFonts w:ascii="Arial" w:hAnsi="Arial"/>
          <w:sz w:val="22"/>
        </w:rPr>
        <w:t>uti nell</w:t>
      </w:r>
      <w:r w:rsidR="00276A19">
        <w:rPr>
          <w:rFonts w:ascii="Arial" w:hAnsi="Arial"/>
          <w:sz w:val="22"/>
        </w:rPr>
        <w:t>’</w:t>
      </w:r>
      <w:r w:rsidR="005E1D1F">
        <w:rPr>
          <w:rFonts w:ascii="Arial" w:hAnsi="Arial"/>
          <w:sz w:val="22"/>
        </w:rPr>
        <w:t>ambito del portfolio dei</w:t>
      </w:r>
      <w:r>
        <w:rPr>
          <w:rFonts w:ascii="Arial" w:hAnsi="Arial"/>
          <w:sz w:val="22"/>
        </w:rPr>
        <w:t xml:space="preserve"> marchi Stellantis.</w:t>
      </w:r>
    </w:p>
    <w:p w14:paraId="16F65688" w14:textId="77777777" w:rsidR="0007479D" w:rsidRPr="00897EB8" w:rsidRDefault="0007479D" w:rsidP="00830308">
      <w:pPr>
        <w:spacing w:after="0" w:line="240" w:lineRule="auto"/>
        <w:rPr>
          <w:rFonts w:ascii="Arial" w:hAnsi="Arial" w:cs="Arial"/>
          <w:sz w:val="22"/>
        </w:rPr>
      </w:pPr>
    </w:p>
    <w:p w14:paraId="1449FBEB" w14:textId="704EBFA9" w:rsidR="005336A5" w:rsidRPr="00897EB8" w:rsidRDefault="00276A19" w:rsidP="00965494">
      <w:pPr>
        <w:spacing w:after="0" w:line="240" w:lineRule="auto"/>
        <w:rPr>
          <w:rFonts w:ascii="Arial" w:eastAsia="Times New Roman" w:hAnsi="Arial" w:cs="Arial"/>
          <w:sz w:val="22"/>
          <w:shd w:val="clear" w:color="auto" w:fill="FFFFFF"/>
        </w:rPr>
      </w:pPr>
      <w:r>
        <w:rPr>
          <w:rFonts w:ascii="Arial" w:hAnsi="Arial"/>
          <w:sz w:val="22"/>
          <w:shd w:val="clear" w:color="auto" w:fill="FFFFFF"/>
        </w:rPr>
        <w:t>“</w:t>
      </w:r>
      <w:r w:rsidR="00D025DA" w:rsidRPr="00D025DA">
        <w:rPr>
          <w:rFonts w:ascii="Arial" w:hAnsi="Arial"/>
          <w:sz w:val="22"/>
          <w:shd w:val="clear" w:color="auto" w:fill="FFFFFF"/>
        </w:rPr>
        <w:t>L</w:t>
      </w:r>
      <w:r>
        <w:rPr>
          <w:rFonts w:ascii="Arial" w:hAnsi="Arial"/>
          <w:sz w:val="22"/>
          <w:shd w:val="clear" w:color="auto" w:fill="FFFFFF"/>
        </w:rPr>
        <w:t>’</w:t>
      </w:r>
      <w:r w:rsidR="00D025DA" w:rsidRPr="00D025DA">
        <w:rPr>
          <w:rFonts w:ascii="Arial" w:hAnsi="Arial"/>
          <w:sz w:val="22"/>
          <w:shd w:val="clear" w:color="auto" w:fill="FFFFFF"/>
        </w:rPr>
        <w:t>annuncio odierno è un</w:t>
      </w:r>
      <w:r>
        <w:rPr>
          <w:rFonts w:ascii="Arial" w:hAnsi="Arial"/>
          <w:sz w:val="22"/>
          <w:shd w:val="clear" w:color="auto" w:fill="FFFFFF"/>
        </w:rPr>
        <w:t>’</w:t>
      </w:r>
      <w:r w:rsidR="00D025DA" w:rsidRPr="00D025DA">
        <w:rPr>
          <w:rFonts w:ascii="Arial" w:hAnsi="Arial"/>
          <w:sz w:val="22"/>
          <w:shd w:val="clear" w:color="auto" w:fill="FFFFFF"/>
        </w:rPr>
        <w:t>ulteriore dimostrazione del fatto che stiamo mettendo in atto la nostra inarrestabile tabella di marcia verso l</w:t>
      </w:r>
      <w:r>
        <w:rPr>
          <w:rFonts w:ascii="Arial" w:hAnsi="Arial"/>
          <w:sz w:val="22"/>
          <w:shd w:val="clear" w:color="auto" w:fill="FFFFFF"/>
        </w:rPr>
        <w:t>’</w:t>
      </w:r>
      <w:r w:rsidR="00D025DA" w:rsidRPr="00D025DA">
        <w:rPr>
          <w:rFonts w:ascii="Arial" w:hAnsi="Arial"/>
          <w:sz w:val="22"/>
          <w:shd w:val="clear" w:color="auto" w:fill="FFFFFF"/>
        </w:rPr>
        <w:t>elettrificazione</w:t>
      </w:r>
      <w:r w:rsidR="00D025DA">
        <w:rPr>
          <w:rFonts w:ascii="Arial" w:hAnsi="Arial"/>
          <w:sz w:val="22"/>
          <w:shd w:val="clear" w:color="auto" w:fill="FFFFFF"/>
        </w:rPr>
        <w:t xml:space="preserve"> </w:t>
      </w:r>
      <w:r w:rsidR="005336A5">
        <w:rPr>
          <w:rFonts w:ascii="Arial" w:hAnsi="Arial"/>
          <w:sz w:val="22"/>
          <w:shd w:val="clear" w:color="auto" w:fill="FFFFFF"/>
        </w:rPr>
        <w:t>e stiamo dando seguito agli impegni presi in occasione dell</w:t>
      </w:r>
      <w:r>
        <w:rPr>
          <w:rFonts w:ascii="Arial" w:hAnsi="Arial"/>
          <w:sz w:val="22"/>
          <w:shd w:val="clear" w:color="auto" w:fill="FFFFFF"/>
        </w:rPr>
        <w:t>’</w:t>
      </w:r>
      <w:r w:rsidR="005336A5">
        <w:rPr>
          <w:rFonts w:ascii="Arial" w:hAnsi="Arial"/>
          <w:sz w:val="22"/>
          <w:shd w:val="clear" w:color="auto" w:fill="FFFFFF"/>
        </w:rPr>
        <w:t xml:space="preserve">evento </w:t>
      </w:r>
      <w:hyperlink r:id="rId8" w:history="1">
        <w:r w:rsidR="005336A5" w:rsidRPr="00953B97">
          <w:rPr>
            <w:rStyle w:val="Hyperlink"/>
            <w:rFonts w:ascii="Arial" w:hAnsi="Arial"/>
            <w:sz w:val="22"/>
            <w:shd w:val="clear" w:color="auto" w:fill="FFFFFF"/>
          </w:rPr>
          <w:t>EV Day</w:t>
        </w:r>
      </w:hyperlink>
      <w:r w:rsidR="005336A5">
        <w:rPr>
          <w:rFonts w:ascii="Arial" w:hAnsi="Arial"/>
          <w:sz w:val="22"/>
          <w:shd w:val="clear" w:color="auto" w:fill="FFFFFF"/>
        </w:rPr>
        <w:t xml:space="preserve"> di luglio</w:t>
      </w:r>
      <w:r>
        <w:rPr>
          <w:rFonts w:ascii="Arial" w:hAnsi="Arial"/>
          <w:sz w:val="22"/>
          <w:shd w:val="clear" w:color="auto" w:fill="FFFFFF"/>
        </w:rPr>
        <w:t>”</w:t>
      </w:r>
      <w:r w:rsidR="005336A5">
        <w:rPr>
          <w:rFonts w:ascii="Arial" w:hAnsi="Arial"/>
          <w:sz w:val="22"/>
          <w:shd w:val="clear" w:color="auto" w:fill="FFFFFF"/>
        </w:rPr>
        <w:t xml:space="preserve">, ha dichiarato Carlos Tavares, CEO di Stellantis. </w:t>
      </w:r>
      <w:r>
        <w:rPr>
          <w:rFonts w:ascii="Arial" w:hAnsi="Arial"/>
          <w:sz w:val="22"/>
          <w:shd w:val="clear" w:color="auto" w:fill="FFFFFF"/>
        </w:rPr>
        <w:t>“</w:t>
      </w:r>
      <w:r w:rsidR="005336A5">
        <w:rPr>
          <w:rFonts w:ascii="Arial" w:hAnsi="Arial"/>
          <w:sz w:val="22"/>
          <w:shd w:val="clear" w:color="auto" w:fill="FFFFFF"/>
        </w:rPr>
        <w:t xml:space="preserve">Con questa iniziativa abbiamo definito la prossima </w:t>
      </w:r>
      <w:r>
        <w:rPr>
          <w:rFonts w:ascii="Arial" w:hAnsi="Arial"/>
          <w:sz w:val="22"/>
          <w:shd w:val="clear" w:color="auto" w:fill="FFFFFF"/>
        </w:rPr>
        <w:t>“</w:t>
      </w:r>
      <w:r w:rsidR="005336A5">
        <w:rPr>
          <w:rFonts w:ascii="Arial" w:hAnsi="Arial"/>
          <w:sz w:val="22"/>
          <w:shd w:val="clear" w:color="auto" w:fill="FFFFFF"/>
        </w:rPr>
        <w:t>gigafactory</w:t>
      </w:r>
      <w:r>
        <w:rPr>
          <w:rFonts w:ascii="Arial" w:hAnsi="Arial"/>
          <w:sz w:val="22"/>
          <w:shd w:val="clear" w:color="auto" w:fill="FFFFFF"/>
        </w:rPr>
        <w:t>”</w:t>
      </w:r>
      <w:r w:rsidR="005336A5">
        <w:rPr>
          <w:rFonts w:ascii="Arial" w:hAnsi="Arial"/>
          <w:sz w:val="22"/>
          <w:shd w:val="clear" w:color="auto" w:fill="FFFFFF"/>
        </w:rPr>
        <w:t xml:space="preserve"> del portfolio Stellantis che ci aiuterà a raggiungere, come minimo, un totale di 260 gigawattora di capacità entro il 2030. Desidero ringraziare calorosamente tutti coloro che hanno preso parte a questo progetto strategico. Insieme, guideremo l</w:t>
      </w:r>
      <w:r>
        <w:rPr>
          <w:rFonts w:ascii="Arial" w:hAnsi="Arial"/>
          <w:sz w:val="22"/>
          <w:shd w:val="clear" w:color="auto" w:fill="FFFFFF"/>
        </w:rPr>
        <w:t>’</w:t>
      </w:r>
      <w:r w:rsidR="005336A5">
        <w:rPr>
          <w:rFonts w:ascii="Arial" w:hAnsi="Arial"/>
          <w:sz w:val="22"/>
          <w:shd w:val="clear" w:color="auto" w:fill="FFFFFF"/>
        </w:rPr>
        <w:t>industria con livelli di efficienza che saranno benchmark di riferimento per il settore, e offriremo veicoli elettrificati che emozioneranno.</w:t>
      </w:r>
      <w:r>
        <w:rPr>
          <w:rFonts w:ascii="Arial" w:hAnsi="Arial"/>
          <w:sz w:val="22"/>
          <w:shd w:val="clear" w:color="auto" w:fill="FFFFFF"/>
        </w:rPr>
        <w:t>”</w:t>
      </w:r>
    </w:p>
    <w:p w14:paraId="755215B9" w14:textId="77777777" w:rsidR="005336A5" w:rsidRPr="00897EB8" w:rsidRDefault="005336A5" w:rsidP="00830308">
      <w:pPr>
        <w:spacing w:after="0" w:line="240" w:lineRule="auto"/>
        <w:rPr>
          <w:rFonts w:ascii="Times New Roman" w:eastAsia="Times New Roman" w:hAnsi="Times New Roman" w:cs="Times New Roman"/>
          <w:sz w:val="22"/>
        </w:rPr>
      </w:pPr>
    </w:p>
    <w:p w14:paraId="3258308D" w14:textId="0A6FA73B" w:rsidR="0007479D" w:rsidRPr="00830308" w:rsidRDefault="00276A19" w:rsidP="00965494">
      <w:pPr>
        <w:spacing w:after="0" w:line="240" w:lineRule="auto"/>
        <w:rPr>
          <w:rFonts w:ascii="Arial" w:eastAsia="Times New Roman" w:hAnsi="Arial" w:cs="Arial"/>
          <w:sz w:val="22"/>
          <w:shd w:val="clear" w:color="auto" w:fill="FFFFFF"/>
        </w:rPr>
      </w:pPr>
      <w:r>
        <w:rPr>
          <w:rFonts w:ascii="Arial" w:hAnsi="Arial"/>
          <w:sz w:val="22"/>
          <w:shd w:val="clear" w:color="auto" w:fill="FFFFFF"/>
        </w:rPr>
        <w:t>“</w:t>
      </w:r>
      <w:r w:rsidR="005336A5">
        <w:rPr>
          <w:rFonts w:ascii="Arial" w:hAnsi="Arial"/>
          <w:sz w:val="22"/>
          <w:shd w:val="clear" w:color="auto" w:fill="FFFFFF"/>
        </w:rPr>
        <w:t>Creare una joint venture con Stellantis sarà un capitolo storico della nostra partnership di lunga data</w:t>
      </w:r>
      <w:r>
        <w:rPr>
          <w:rFonts w:ascii="Arial" w:hAnsi="Arial"/>
          <w:sz w:val="22"/>
          <w:shd w:val="clear" w:color="auto" w:fill="FFFFFF"/>
        </w:rPr>
        <w:t>”</w:t>
      </w:r>
      <w:r w:rsidR="005336A5">
        <w:rPr>
          <w:rFonts w:ascii="Arial" w:hAnsi="Arial"/>
          <w:sz w:val="22"/>
          <w:shd w:val="clear" w:color="auto" w:fill="FFFFFF"/>
        </w:rPr>
        <w:t xml:space="preserve">, ha dichiarato Jong-hyun Kim, Presidente e CEO di LG Energy Solution. </w:t>
      </w:r>
      <w:r>
        <w:rPr>
          <w:rFonts w:ascii="Arial" w:hAnsi="Arial"/>
          <w:sz w:val="22"/>
          <w:shd w:val="clear" w:color="auto" w:fill="FFFFFF"/>
        </w:rPr>
        <w:t>“</w:t>
      </w:r>
      <w:r w:rsidR="005336A5">
        <w:rPr>
          <w:rFonts w:ascii="Arial" w:hAnsi="Arial"/>
          <w:sz w:val="22"/>
          <w:shd w:val="clear" w:color="auto" w:fill="FFFFFF"/>
        </w:rPr>
        <w:t>Utilizzando le nostre competenze tecniche collettive e individuali e la capacità di produzione di massa, LGES si posizionerà come fornitore di soluzioni per batterie per i potenziali clienti della regione.</w:t>
      </w:r>
      <w:r>
        <w:rPr>
          <w:rFonts w:ascii="Arial" w:hAnsi="Arial"/>
          <w:sz w:val="22"/>
          <w:shd w:val="clear" w:color="auto" w:fill="FFFFFF"/>
        </w:rPr>
        <w:t>”</w:t>
      </w:r>
    </w:p>
    <w:p w14:paraId="3B89F1E5" w14:textId="77777777" w:rsidR="0007479D" w:rsidRPr="00897EB8" w:rsidRDefault="0007479D" w:rsidP="00830308">
      <w:pPr>
        <w:spacing w:after="0" w:line="240" w:lineRule="auto"/>
        <w:rPr>
          <w:rFonts w:ascii="Arial" w:hAnsi="Arial" w:cs="Arial"/>
          <w:sz w:val="22"/>
          <w:shd w:val="clear" w:color="auto" w:fill="FFFFFF"/>
        </w:rPr>
      </w:pPr>
    </w:p>
    <w:p w14:paraId="0971E990" w14:textId="0851C4EA" w:rsidR="005336A5" w:rsidRPr="00830308" w:rsidRDefault="0007479D" w:rsidP="00830308">
      <w:pPr>
        <w:spacing w:after="0" w:line="240" w:lineRule="auto"/>
        <w:rPr>
          <w:rFonts w:ascii="Arial" w:hAnsi="Arial" w:cs="Arial"/>
          <w:sz w:val="22"/>
          <w:shd w:val="clear" w:color="auto" w:fill="FFFFFF"/>
        </w:rPr>
      </w:pPr>
      <w:r>
        <w:rPr>
          <w:rFonts w:ascii="Arial" w:hAnsi="Arial"/>
          <w:sz w:val="22"/>
          <w:shd w:val="clear" w:color="auto" w:fill="FFFFFF"/>
        </w:rPr>
        <w:t>La partnership tra le due aziende nell</w:t>
      </w:r>
      <w:r w:rsidR="00276A19">
        <w:rPr>
          <w:rFonts w:ascii="Arial" w:hAnsi="Arial"/>
          <w:sz w:val="22"/>
          <w:shd w:val="clear" w:color="auto" w:fill="FFFFFF"/>
        </w:rPr>
        <w:t>’</w:t>
      </w:r>
      <w:r>
        <w:rPr>
          <w:rFonts w:ascii="Arial" w:hAnsi="Arial"/>
          <w:sz w:val="22"/>
          <w:shd w:val="clear" w:color="auto" w:fill="FFFFFF"/>
        </w:rPr>
        <w:t xml:space="preserve">ambito dei veicoli elettrificati risale al 2014, quando LG Energy Solution (allora LG Chem) venne selezionata da Stellantis (allora Fiat Chrysler Automobiles) per fornire il sistema di batterie agli ioni di litio e i controlli per la </w:t>
      </w:r>
      <w:hyperlink r:id="rId9" w:history="1">
        <w:r w:rsidRPr="00EB52CF">
          <w:rPr>
            <w:rStyle w:val="Hyperlink"/>
            <w:rFonts w:ascii="Arial" w:hAnsi="Arial"/>
            <w:sz w:val="22"/>
            <w:shd w:val="clear" w:color="auto" w:fill="FFFFFF"/>
          </w:rPr>
          <w:t>Chrysler Pacifica Hybrid</w:t>
        </w:r>
      </w:hyperlink>
      <w:r>
        <w:rPr>
          <w:rFonts w:ascii="Arial" w:hAnsi="Arial"/>
          <w:sz w:val="22"/>
          <w:shd w:val="clear" w:color="auto" w:fill="FFFFFF"/>
        </w:rPr>
        <w:t>, il primo minivan elettrificato del settore. Con questo annuncio, le due aziende intendono consolidare ulteriormente la partnership e continuare a fare leva sui rispettivi punti di forza.</w:t>
      </w:r>
    </w:p>
    <w:p w14:paraId="120EE880" w14:textId="77777777" w:rsidR="0007479D" w:rsidRPr="00897EB8" w:rsidRDefault="0007479D" w:rsidP="00830308">
      <w:pPr>
        <w:spacing w:after="0" w:line="240" w:lineRule="auto"/>
        <w:rPr>
          <w:rFonts w:ascii="Arial" w:hAnsi="Arial" w:cs="Arial"/>
          <w:sz w:val="22"/>
          <w:shd w:val="clear" w:color="auto" w:fill="FFFFFF"/>
        </w:rPr>
      </w:pPr>
    </w:p>
    <w:p w14:paraId="4BAD464F" w14:textId="477CE10C" w:rsidR="0007479D" w:rsidRPr="00897EB8" w:rsidRDefault="0007479D" w:rsidP="00830308">
      <w:pPr>
        <w:spacing w:after="0" w:line="240" w:lineRule="auto"/>
        <w:rPr>
          <w:rFonts w:ascii="Arial" w:eastAsia="Times New Roman" w:hAnsi="Arial" w:cs="Arial"/>
          <w:sz w:val="22"/>
          <w:shd w:val="clear" w:color="auto" w:fill="FFFFFF"/>
        </w:rPr>
      </w:pPr>
      <w:r>
        <w:rPr>
          <w:rFonts w:ascii="Arial" w:hAnsi="Arial"/>
          <w:sz w:val="22"/>
          <w:shd w:val="clear" w:color="auto" w:fill="FFFFFF"/>
        </w:rPr>
        <w:t xml:space="preserve">Stellantis </w:t>
      </w:r>
      <w:r w:rsidRPr="00953B97">
        <w:rPr>
          <w:rFonts w:ascii="Arial" w:hAnsi="Arial"/>
          <w:sz w:val="22"/>
          <w:shd w:val="clear" w:color="auto" w:fill="FFFFFF"/>
        </w:rPr>
        <w:t>prevede di investire</w:t>
      </w:r>
      <w:r>
        <w:rPr>
          <w:rFonts w:ascii="Arial" w:hAnsi="Arial"/>
          <w:sz w:val="22"/>
          <w:shd w:val="clear" w:color="auto" w:fill="FFFFFF"/>
        </w:rPr>
        <w:t xml:space="preserve"> oltre 30 miliardi di euro entro il 2025 nell</w:t>
      </w:r>
      <w:r w:rsidR="00276A19">
        <w:rPr>
          <w:rFonts w:ascii="Arial" w:hAnsi="Arial"/>
          <w:sz w:val="22"/>
          <w:shd w:val="clear" w:color="auto" w:fill="FFFFFF"/>
        </w:rPr>
        <w:t>’</w:t>
      </w:r>
      <w:r>
        <w:rPr>
          <w:rFonts w:ascii="Arial" w:hAnsi="Arial"/>
          <w:sz w:val="22"/>
          <w:shd w:val="clear" w:color="auto" w:fill="FFFFFF"/>
        </w:rPr>
        <w:t>elettrificazione e nello sviluppo software e punta a mantenere il 30% di efficienza in più rispetto alla media del settore nel rapporto tra la spesa totale di R&amp;S e in conto capitale rispetto ai ricavi.</w:t>
      </w:r>
    </w:p>
    <w:p w14:paraId="0FFA19B3" w14:textId="77777777" w:rsidR="0007479D" w:rsidRPr="00897EB8" w:rsidRDefault="0007479D" w:rsidP="00830308">
      <w:pPr>
        <w:spacing w:after="0" w:line="240" w:lineRule="auto"/>
        <w:rPr>
          <w:rFonts w:ascii="Arial" w:eastAsia="Times New Roman" w:hAnsi="Arial" w:cs="Arial"/>
          <w:sz w:val="22"/>
          <w:shd w:val="clear" w:color="auto" w:fill="FFFFFF"/>
        </w:rPr>
      </w:pPr>
    </w:p>
    <w:p w14:paraId="7E60C3AA" w14:textId="482110BB" w:rsidR="00256312" w:rsidRDefault="00894703" w:rsidP="00830308">
      <w:pPr>
        <w:spacing w:after="0" w:line="240" w:lineRule="auto"/>
        <w:rPr>
          <w:rFonts w:ascii="Times New Roman" w:eastAsia="Times New Roman" w:hAnsi="Times New Roman" w:cs="Times New Roman"/>
          <w:sz w:val="22"/>
        </w:rPr>
      </w:pPr>
      <w:r>
        <w:rPr>
          <w:rFonts w:ascii="Arial" w:hAnsi="Arial"/>
          <w:sz w:val="22"/>
        </w:rPr>
        <w:t>L</w:t>
      </w:r>
      <w:r w:rsidR="00276A19">
        <w:rPr>
          <w:rFonts w:ascii="Arial" w:hAnsi="Arial"/>
          <w:sz w:val="22"/>
        </w:rPr>
        <w:t>’</w:t>
      </w:r>
      <w:r>
        <w:rPr>
          <w:rFonts w:ascii="Arial" w:hAnsi="Arial"/>
          <w:sz w:val="22"/>
        </w:rPr>
        <w:t xml:space="preserve">ubicazione della nuova struttura è attualmente in fase di analisi e ulteriori dettagli saranno </w:t>
      </w:r>
      <w:r>
        <w:rPr>
          <w:rFonts w:ascii="Arial" w:hAnsi="Arial"/>
          <w:sz w:val="22"/>
        </w:rPr>
        <w:lastRenderedPageBreak/>
        <w:t xml:space="preserve">condivisi successivamente. La posa della prima pietra della struttura è prevista per il secondo trimestre del 2022. </w:t>
      </w:r>
    </w:p>
    <w:p w14:paraId="75B81FB2" w14:textId="77777777" w:rsidR="009B45A3" w:rsidRPr="009B45A3" w:rsidRDefault="009B45A3" w:rsidP="00830308">
      <w:pPr>
        <w:spacing w:after="0" w:line="240" w:lineRule="auto"/>
        <w:rPr>
          <w:rFonts w:ascii="Times New Roman" w:eastAsia="Times New Roman" w:hAnsi="Times New Roman" w:cs="Times New Roman"/>
          <w:sz w:val="22"/>
        </w:rPr>
      </w:pPr>
    </w:p>
    <w:p w14:paraId="613F5C59" w14:textId="06729EA1" w:rsidR="005C18FB" w:rsidRDefault="005C18FB" w:rsidP="00830308">
      <w:pPr>
        <w:spacing w:after="0" w:line="240" w:lineRule="auto"/>
        <w:rPr>
          <w:rFonts w:ascii="Arial" w:eastAsia="Times New Roman" w:hAnsi="Arial" w:cs="Arial"/>
          <w:sz w:val="22"/>
          <w:shd w:val="clear" w:color="auto" w:fill="FFFFFF"/>
        </w:rPr>
      </w:pPr>
      <w:r>
        <w:rPr>
          <w:rFonts w:ascii="Arial" w:hAnsi="Arial"/>
          <w:sz w:val="22"/>
          <w:shd w:val="clear" w:color="auto" w:fill="FFFFFF"/>
        </w:rPr>
        <w:t>La transazione è soggetta all</w:t>
      </w:r>
      <w:r w:rsidR="00276A19">
        <w:rPr>
          <w:rFonts w:ascii="Arial" w:hAnsi="Arial"/>
          <w:sz w:val="22"/>
          <w:shd w:val="clear" w:color="auto" w:fill="FFFFFF"/>
        </w:rPr>
        <w:t>’</w:t>
      </w:r>
      <w:r>
        <w:rPr>
          <w:rFonts w:ascii="Arial" w:hAnsi="Arial"/>
          <w:sz w:val="22"/>
          <w:shd w:val="clear" w:color="auto" w:fill="FFFFFF"/>
        </w:rPr>
        <w:t>accordo sulla documentazione definitiva e alle consuete condizioni di chiusura</w:t>
      </w:r>
      <w:r w:rsidR="005E1D1F">
        <w:rPr>
          <w:rFonts w:ascii="Arial" w:hAnsi="Arial"/>
          <w:sz w:val="22"/>
          <w:shd w:val="clear" w:color="auto" w:fill="FFFFFF"/>
        </w:rPr>
        <w:t>,</w:t>
      </w:r>
      <w:r>
        <w:rPr>
          <w:rFonts w:ascii="Arial" w:hAnsi="Arial"/>
          <w:sz w:val="22"/>
          <w:shd w:val="clear" w:color="auto" w:fill="FFFFFF"/>
        </w:rPr>
        <w:t xml:space="preserve"> incluse le approvazioni normative. </w:t>
      </w:r>
    </w:p>
    <w:p w14:paraId="730C640E" w14:textId="3D6762E0" w:rsidR="0007479D" w:rsidRDefault="0007479D" w:rsidP="005C18FB">
      <w:pPr>
        <w:spacing w:after="0" w:line="240" w:lineRule="auto"/>
        <w:rPr>
          <w:rFonts w:ascii="Arial" w:eastAsia="Times New Roman" w:hAnsi="Arial" w:cs="Arial"/>
          <w:sz w:val="22"/>
          <w:shd w:val="clear" w:color="auto" w:fill="FFFFFF"/>
        </w:rPr>
      </w:pPr>
    </w:p>
    <w:p w14:paraId="4248F388" w14:textId="6D242684" w:rsidR="0007479D" w:rsidRDefault="0007479D" w:rsidP="005C18FB">
      <w:pPr>
        <w:spacing w:after="0" w:line="240" w:lineRule="auto"/>
        <w:rPr>
          <w:rFonts w:ascii="Arial" w:eastAsia="Times New Roman" w:hAnsi="Arial" w:cs="Arial"/>
          <w:sz w:val="22"/>
          <w:shd w:val="clear" w:color="auto" w:fill="FFFFFF"/>
        </w:rPr>
      </w:pPr>
    </w:p>
    <w:p w14:paraId="1EE67F01" w14:textId="77777777" w:rsidR="0007479D" w:rsidRDefault="0007479D" w:rsidP="005C18FB">
      <w:pPr>
        <w:spacing w:after="0" w:line="240" w:lineRule="auto"/>
        <w:rPr>
          <w:rFonts w:ascii="Arial" w:eastAsia="Times New Roman" w:hAnsi="Arial" w:cs="Arial"/>
          <w:sz w:val="22"/>
          <w:shd w:val="clear" w:color="auto" w:fill="FFFFFF"/>
        </w:rPr>
      </w:pPr>
    </w:p>
    <w:p w14:paraId="56C6AB75" w14:textId="77777777" w:rsidR="00A03072" w:rsidRPr="005C18FB" w:rsidRDefault="00A03072" w:rsidP="005C18FB">
      <w:pPr>
        <w:spacing w:after="0" w:line="240" w:lineRule="auto"/>
        <w:rPr>
          <w:rFonts w:ascii="Times New Roman" w:eastAsia="Times New Roman" w:hAnsi="Times New Roman" w:cs="Times New Roman"/>
          <w:sz w:val="22"/>
        </w:rPr>
      </w:pPr>
    </w:p>
    <w:p w14:paraId="5A02091D" w14:textId="77777777" w:rsidR="00AB2E64" w:rsidRPr="005277C6" w:rsidRDefault="00AB2E64" w:rsidP="00AB2E64">
      <w:pPr>
        <w:tabs>
          <w:tab w:val="left" w:pos="4140"/>
        </w:tabs>
        <w:rPr>
          <w:sz w:val="22"/>
        </w:rPr>
      </w:pPr>
      <w:r>
        <w:rPr>
          <w:rFonts w:ascii="Arial" w:hAnsi="Arial"/>
          <w:b/>
          <w:sz w:val="22"/>
        </w:rPr>
        <w:t>Stellantis</w:t>
      </w:r>
    </w:p>
    <w:p w14:paraId="11502AA8" w14:textId="509DF754" w:rsidR="008B1463" w:rsidRDefault="00015E36" w:rsidP="00830308">
      <w:pPr>
        <w:tabs>
          <w:tab w:val="left" w:pos="4140"/>
        </w:tabs>
        <w:spacing w:after="0" w:line="240" w:lineRule="auto"/>
        <w:rPr>
          <w:rFonts w:ascii="Arial" w:hAnsi="Arial" w:cs="Arial"/>
          <w:b/>
          <w:sz w:val="22"/>
        </w:rPr>
      </w:pPr>
      <w:r w:rsidRPr="00015E36">
        <w:rPr>
          <w:rFonts w:ascii="Arial" w:hAnsi="Arial"/>
          <w:sz w:val="22"/>
        </w:rPr>
        <w:t>Stellantis è leader a livello mondiale nella produzione di veicoli e fornitore di mobilità, guidata da una chiara visione: offrire libertà di movimento con soluzioni originali, economicamente accessibili e affidabili. Oltre al suo ricco patrimonio culturale e a una diffusa presenza geografica, i suoi principali punti di forza risiedono nelle sue prestazioni in termini di sostenibilità, nella sua vasta esperienza e nei talenti multidisciplinari dei suoi dipendenti in tutto il mondo. Stellantis farà leva sul suo ampio portfolio di marchi iconici, sviluppato da visionari che hanno infuso in essi la passione e lo spirito competitivo che contraddistinguono tanto i suoi dipendenti quanto i clienti. Stellantis aspira a diventare non la realtà più grande, ma quella più significativa, creando valore aggiunto per tutti gli stakeholder e le comunità in cui opera</w:t>
      </w:r>
      <w:r w:rsidR="00205671">
        <w:rPr>
          <w:rFonts w:ascii="Arial" w:hAnsi="Arial"/>
          <w:sz w:val="22"/>
        </w:rPr>
        <w:t>.</w:t>
      </w:r>
    </w:p>
    <w:p w14:paraId="4B81280D" w14:textId="77777777" w:rsidR="008B1463" w:rsidRPr="008B1463" w:rsidRDefault="008B1463" w:rsidP="00C21D55">
      <w:pPr>
        <w:tabs>
          <w:tab w:val="left" w:pos="4140"/>
        </w:tabs>
        <w:rPr>
          <w:rFonts w:ascii="Arial" w:hAnsi="Arial" w:cs="Arial"/>
          <w:b/>
          <w:sz w:val="22"/>
        </w:rPr>
      </w:pPr>
    </w:p>
    <w:p w14:paraId="34EA5D54" w14:textId="77777777" w:rsidR="00C21D55" w:rsidRPr="005277C6" w:rsidRDefault="00710B32" w:rsidP="00C21D55">
      <w:pPr>
        <w:tabs>
          <w:tab w:val="left" w:pos="4140"/>
        </w:tabs>
        <w:rPr>
          <w:sz w:val="22"/>
        </w:rPr>
      </w:pPr>
      <w:r>
        <w:rPr>
          <w:rFonts w:ascii="Arial" w:hAnsi="Arial"/>
          <w:b/>
          <w:sz w:val="22"/>
        </w:rPr>
        <w:t>LG Energy Solution</w:t>
      </w:r>
    </w:p>
    <w:p w14:paraId="7D2BB66E" w14:textId="0A90EB12" w:rsidR="00F52E65" w:rsidRDefault="00C21D55" w:rsidP="00830308">
      <w:pPr>
        <w:adjustRightInd w:val="0"/>
        <w:spacing w:line="240" w:lineRule="auto"/>
        <w:sectPr w:rsidR="00F52E65">
          <w:headerReference w:type="default" r:id="rId10"/>
          <w:pgSz w:w="11906" w:h="16838"/>
          <w:pgMar w:top="1701" w:right="1440" w:bottom="1440" w:left="1440" w:header="851" w:footer="992" w:gutter="0"/>
          <w:cols w:space="425"/>
          <w:docGrid w:linePitch="360"/>
        </w:sectPr>
      </w:pPr>
      <w:r>
        <w:rPr>
          <w:rFonts w:ascii="Arial" w:hAnsi="Arial"/>
          <w:sz w:val="22"/>
        </w:rPr>
        <w:t>LG Energy Solution è un leader globale nella fornitura di batterie avanzate agli ioni di litio per veicoli elettrici (EV), applicazioni di mobilità e IT e sistemi di accumulo dell</w:t>
      </w:r>
      <w:r w:rsidR="00276A19">
        <w:rPr>
          <w:rFonts w:ascii="Arial" w:hAnsi="Arial"/>
          <w:sz w:val="22"/>
        </w:rPr>
        <w:t>’</w:t>
      </w:r>
      <w:r>
        <w:rPr>
          <w:rFonts w:ascii="Arial" w:hAnsi="Arial"/>
          <w:sz w:val="22"/>
        </w:rPr>
        <w:t>energia (ESS). Con 30 anni di esperienza nel settore delle tecnologie di accumulo avanzate, procede rapidamente verso la realizzazione di una vita sostenibile. Con una solida rete globale negli Stati Uniti, Europa, Asia e Australia, LG Energy Solution è più focalizzata che mai sullo sviluppo delle tecnologie innovative per trasformare in realtà l</w:t>
      </w:r>
      <w:r w:rsidR="00276A19">
        <w:rPr>
          <w:rFonts w:ascii="Arial" w:hAnsi="Arial"/>
          <w:sz w:val="22"/>
        </w:rPr>
        <w:t>’</w:t>
      </w:r>
      <w:r>
        <w:rPr>
          <w:rFonts w:ascii="Arial" w:hAnsi="Arial"/>
          <w:sz w:val="22"/>
        </w:rPr>
        <w:t xml:space="preserve">energia del futuro. Fedele alla sua vision ASG </w:t>
      </w:r>
      <w:r w:rsidR="00276A19">
        <w:rPr>
          <w:rFonts w:ascii="Arial" w:hAnsi="Arial"/>
          <w:sz w:val="22"/>
        </w:rPr>
        <w:t>“</w:t>
      </w:r>
      <w:r>
        <w:rPr>
          <w:rFonts w:ascii="Arial" w:hAnsi="Arial"/>
          <w:sz w:val="22"/>
        </w:rPr>
        <w:t>We CHARGE toward a better future</w:t>
      </w:r>
      <w:r w:rsidR="00276A19">
        <w:rPr>
          <w:rFonts w:ascii="Arial" w:hAnsi="Arial"/>
          <w:sz w:val="22"/>
        </w:rPr>
        <w:t>”</w:t>
      </w:r>
      <w:r>
        <w:rPr>
          <w:rFonts w:ascii="Arial" w:hAnsi="Arial"/>
          <w:sz w:val="22"/>
        </w:rPr>
        <w:t xml:space="preserve"> (RICARICHIAMO per raggiungere un futuro migliore), LG Energy Solution si impegna a dare priorità all</w:t>
      </w:r>
      <w:r w:rsidR="00276A19">
        <w:rPr>
          <w:rFonts w:ascii="Arial" w:hAnsi="Arial"/>
          <w:sz w:val="22"/>
        </w:rPr>
        <w:t>’</w:t>
      </w:r>
      <w:r>
        <w:rPr>
          <w:rFonts w:ascii="Arial" w:hAnsi="Arial"/>
          <w:sz w:val="22"/>
        </w:rPr>
        <w:t xml:space="preserve">ambiente, adempiere alle proprie responsabilità sociali e dare forma a un futuro sostenibile. Per maggiori informazioni, visitare </w:t>
      </w:r>
      <w:hyperlink r:id="rId11" w:history="1">
        <w:r>
          <w:rPr>
            <w:rStyle w:val="Hyperlink"/>
            <w:rFonts w:ascii="Arial" w:hAnsi="Arial"/>
            <w:sz w:val="22"/>
          </w:rPr>
          <w:t>https://www.lgensol.com</w:t>
        </w:r>
      </w:hyperlink>
      <w:r>
        <w:rPr>
          <w:rFonts w:ascii="Arial" w:hAnsi="Arial"/>
          <w:sz w:val="22"/>
        </w:rPr>
        <w:t>.</w:t>
      </w:r>
    </w:p>
    <w:p w14:paraId="2AB61C75" w14:textId="77777777" w:rsidR="00F52E65" w:rsidRDefault="00F52E65" w:rsidP="00C21D55">
      <w:pPr>
        <w:spacing w:after="0" w:line="240" w:lineRule="auto"/>
        <w:rPr>
          <w:rFonts w:ascii="Arial" w:eastAsia="Arial" w:hAnsi="Arial" w:cs="Arial"/>
          <w:b/>
          <w:sz w:val="22"/>
        </w:rPr>
        <w:sectPr w:rsidR="00F52E65" w:rsidSect="00F52E65">
          <w:type w:val="continuous"/>
          <w:pgSz w:w="11906" w:h="16838"/>
          <w:pgMar w:top="1701" w:right="1440" w:bottom="1440" w:left="1440" w:header="851" w:footer="992" w:gutter="0"/>
          <w:cols w:space="425"/>
          <w:docGrid w:linePitch="360"/>
        </w:sectPr>
      </w:pPr>
    </w:p>
    <w:p w14:paraId="03A85DD3" w14:textId="77777777" w:rsidR="0007479D" w:rsidRDefault="0007479D" w:rsidP="00C21D55">
      <w:pPr>
        <w:spacing w:after="0" w:line="240" w:lineRule="auto"/>
        <w:rPr>
          <w:rFonts w:ascii="Arial" w:eastAsia="Arial" w:hAnsi="Arial" w:cs="Arial"/>
          <w:b/>
          <w:sz w:val="22"/>
        </w:rPr>
      </w:pPr>
    </w:p>
    <w:p w14:paraId="276E7518" w14:textId="429504B3" w:rsidR="00C21D55" w:rsidRPr="005277C6" w:rsidRDefault="00C21D55" w:rsidP="00C21D55">
      <w:pPr>
        <w:spacing w:after="0" w:line="240" w:lineRule="auto"/>
        <w:rPr>
          <w:rFonts w:ascii="Arial" w:eastAsia="Arial" w:hAnsi="Arial" w:cs="Arial"/>
          <w:b/>
          <w:sz w:val="22"/>
        </w:rPr>
      </w:pPr>
      <w:r>
        <w:rPr>
          <w:rFonts w:ascii="Arial" w:hAnsi="Arial"/>
          <w:b/>
          <w:sz w:val="22"/>
        </w:rPr>
        <w:t>Ashlee Semin Shin</w:t>
      </w:r>
    </w:p>
    <w:p w14:paraId="538EE339" w14:textId="77777777" w:rsidR="00C21D55" w:rsidRPr="00015E36" w:rsidRDefault="00C21D55" w:rsidP="00C21D55">
      <w:pPr>
        <w:spacing w:after="0" w:line="240" w:lineRule="auto"/>
        <w:rPr>
          <w:rFonts w:ascii="Arial" w:eastAsia="Arial" w:hAnsi="Arial" w:cs="Arial"/>
          <w:sz w:val="22"/>
          <w:lang w:val="en-US"/>
        </w:rPr>
      </w:pPr>
      <w:r w:rsidRPr="00015E36">
        <w:rPr>
          <w:rFonts w:ascii="Arial" w:hAnsi="Arial"/>
          <w:sz w:val="22"/>
          <w:lang w:val="en-US"/>
        </w:rPr>
        <w:t xml:space="preserve">Communications Team / LG Energy Solution </w:t>
      </w:r>
    </w:p>
    <w:p w14:paraId="2BAFE2D1" w14:textId="77777777" w:rsidR="00C21D55" w:rsidRPr="00015E36" w:rsidRDefault="008B5F62" w:rsidP="00C21D55">
      <w:pPr>
        <w:spacing w:after="0" w:line="240" w:lineRule="auto"/>
        <w:rPr>
          <w:rFonts w:ascii="Arial" w:hAnsi="Arial" w:cs="Arial"/>
          <w:sz w:val="22"/>
          <w:lang w:val="en-US"/>
        </w:rPr>
      </w:pPr>
      <w:hyperlink r:id="rId12" w:history="1">
        <w:r w:rsidR="00343AB6" w:rsidRPr="00015E36">
          <w:rPr>
            <w:rFonts w:ascii="Arial" w:hAnsi="Arial"/>
            <w:color w:val="0000FF"/>
            <w:sz w:val="22"/>
            <w:u w:val="single"/>
            <w:lang w:val="en-US"/>
          </w:rPr>
          <w:t>ashin0@lgensol.com</w:t>
        </w:r>
      </w:hyperlink>
    </w:p>
    <w:p w14:paraId="159D2EFD" w14:textId="77777777" w:rsidR="005C18FB" w:rsidRDefault="00C21D55" w:rsidP="00C21D55">
      <w:pPr>
        <w:spacing w:after="0" w:line="240" w:lineRule="auto"/>
        <w:rPr>
          <w:rFonts w:ascii="Arial" w:eastAsia="Arial" w:hAnsi="Arial" w:cs="Arial"/>
          <w:sz w:val="22"/>
        </w:rPr>
      </w:pPr>
      <w:r>
        <w:rPr>
          <w:rFonts w:ascii="Arial" w:hAnsi="Arial"/>
          <w:sz w:val="22"/>
        </w:rPr>
        <w:t>+ 82 2 3773 4381</w:t>
      </w:r>
    </w:p>
    <w:p w14:paraId="4A206931" w14:textId="77777777" w:rsidR="00CE6AA6" w:rsidRDefault="00CE6AA6" w:rsidP="00C21D55">
      <w:pPr>
        <w:spacing w:after="0" w:line="240" w:lineRule="auto"/>
        <w:rPr>
          <w:rFonts w:ascii="Arial" w:eastAsia="Arial" w:hAnsi="Arial" w:cs="Arial"/>
          <w:sz w:val="22"/>
        </w:rPr>
      </w:pPr>
    </w:p>
    <w:p w14:paraId="58704900" w14:textId="77777777" w:rsidR="00205671" w:rsidRDefault="00205671" w:rsidP="00205671">
      <w:pPr>
        <w:tabs>
          <w:tab w:val="left" w:pos="2592"/>
        </w:tabs>
        <w:spacing w:after="0" w:line="240" w:lineRule="auto"/>
        <w:rPr>
          <w:rFonts w:ascii="Arial" w:eastAsia="Arial" w:hAnsi="Arial" w:cs="Arial"/>
          <w:b/>
          <w:sz w:val="22"/>
        </w:rPr>
      </w:pPr>
      <w:r>
        <w:rPr>
          <w:rFonts w:ascii="Arial" w:hAnsi="Arial"/>
          <w:b/>
          <w:sz w:val="22"/>
        </w:rPr>
        <w:t>Pierre-Olivier Salmon</w:t>
      </w:r>
      <w:r>
        <w:rPr>
          <w:rFonts w:ascii="Arial" w:hAnsi="Arial"/>
          <w:b/>
          <w:sz w:val="22"/>
        </w:rPr>
        <w:tab/>
      </w:r>
    </w:p>
    <w:p w14:paraId="66AD7AC9" w14:textId="77777777" w:rsidR="00205671" w:rsidRPr="00830308" w:rsidRDefault="00205671" w:rsidP="00205671">
      <w:pPr>
        <w:tabs>
          <w:tab w:val="left" w:pos="2592"/>
        </w:tabs>
        <w:spacing w:after="0" w:line="240" w:lineRule="auto"/>
        <w:rPr>
          <w:rFonts w:ascii="Arial" w:eastAsia="Arial" w:hAnsi="Arial" w:cs="Arial"/>
          <w:sz w:val="22"/>
        </w:rPr>
      </w:pPr>
      <w:r>
        <w:rPr>
          <w:rFonts w:ascii="Arial" w:hAnsi="Arial"/>
          <w:sz w:val="22"/>
        </w:rPr>
        <w:t>Communications</w:t>
      </w:r>
    </w:p>
    <w:p w14:paraId="284C5F8A" w14:textId="77777777" w:rsidR="00205671" w:rsidRPr="00B17EC8" w:rsidRDefault="008B5F62" w:rsidP="00205671">
      <w:pPr>
        <w:tabs>
          <w:tab w:val="left" w:pos="2592"/>
        </w:tabs>
        <w:spacing w:after="0" w:line="240" w:lineRule="auto"/>
        <w:rPr>
          <w:rFonts w:ascii="Arial" w:eastAsia="Arial" w:hAnsi="Arial" w:cs="Arial"/>
          <w:sz w:val="22"/>
        </w:rPr>
      </w:pPr>
      <w:hyperlink r:id="rId13" w:history="1">
        <w:r w:rsidR="00343AB6">
          <w:rPr>
            <w:rStyle w:val="Hyperlink"/>
            <w:rFonts w:ascii="Arial" w:hAnsi="Arial"/>
            <w:sz w:val="22"/>
          </w:rPr>
          <w:t>pierreolivier.salmon@stellantis.com</w:t>
        </w:r>
      </w:hyperlink>
    </w:p>
    <w:p w14:paraId="14FA07E7" w14:textId="77777777" w:rsidR="00CE6AA6" w:rsidRDefault="00205671" w:rsidP="00205671">
      <w:pPr>
        <w:spacing w:after="0" w:line="240" w:lineRule="auto"/>
        <w:rPr>
          <w:rFonts w:ascii="Arial" w:eastAsia="Arial" w:hAnsi="Arial" w:cs="Arial"/>
          <w:sz w:val="22"/>
        </w:rPr>
      </w:pPr>
      <w:r>
        <w:rPr>
          <w:rFonts w:ascii="Arial" w:hAnsi="Arial"/>
          <w:sz w:val="22"/>
        </w:rPr>
        <w:t>+33 676 86 45 48</w:t>
      </w:r>
    </w:p>
    <w:p w14:paraId="570DE96E" w14:textId="3F64B8E6" w:rsidR="00CE6AA6" w:rsidRDefault="00CE6AA6" w:rsidP="00C21D55">
      <w:pPr>
        <w:spacing w:after="0" w:line="240" w:lineRule="auto"/>
        <w:rPr>
          <w:rFonts w:ascii="Arial" w:hAnsi="Arial" w:cs="Arial"/>
          <w:sz w:val="22"/>
        </w:rPr>
      </w:pPr>
    </w:p>
    <w:p w14:paraId="16161697" w14:textId="686D59D2" w:rsidR="00EE7CB8" w:rsidRDefault="00EE7CB8" w:rsidP="00C21D55">
      <w:pPr>
        <w:spacing w:after="0" w:line="240" w:lineRule="auto"/>
        <w:rPr>
          <w:rFonts w:ascii="Arial" w:hAnsi="Arial" w:cs="Arial"/>
          <w:sz w:val="22"/>
        </w:rPr>
      </w:pPr>
    </w:p>
    <w:p w14:paraId="461BCB9E" w14:textId="5C9AF0D2" w:rsidR="00EE7CB8" w:rsidRDefault="00EE7CB8" w:rsidP="00C21D55">
      <w:pPr>
        <w:spacing w:after="0" w:line="240" w:lineRule="auto"/>
        <w:rPr>
          <w:rFonts w:ascii="Arial" w:hAnsi="Arial" w:cs="Arial"/>
          <w:sz w:val="22"/>
        </w:rPr>
      </w:pPr>
    </w:p>
    <w:p w14:paraId="3F159ADB" w14:textId="3AE292FC" w:rsidR="0007479D" w:rsidRDefault="0007479D" w:rsidP="00C21D55">
      <w:pPr>
        <w:spacing w:after="0" w:line="240" w:lineRule="auto"/>
        <w:rPr>
          <w:rFonts w:ascii="Arial" w:hAnsi="Arial" w:cs="Arial"/>
          <w:sz w:val="22"/>
        </w:rPr>
      </w:pPr>
    </w:p>
    <w:p w14:paraId="212D95B4" w14:textId="65C515E1" w:rsidR="0007479D" w:rsidRDefault="0007479D" w:rsidP="00C21D55">
      <w:pPr>
        <w:spacing w:after="0" w:line="240" w:lineRule="auto"/>
        <w:rPr>
          <w:rFonts w:ascii="Arial" w:hAnsi="Arial" w:cs="Arial"/>
          <w:sz w:val="22"/>
        </w:rPr>
      </w:pPr>
    </w:p>
    <w:p w14:paraId="4BC109DC" w14:textId="3530E52C" w:rsidR="00CE6AA6" w:rsidRPr="00830308" w:rsidRDefault="00EE7CB8" w:rsidP="00C21D55">
      <w:pPr>
        <w:spacing w:after="0" w:line="240" w:lineRule="auto"/>
        <w:rPr>
          <w:i/>
        </w:rPr>
      </w:pPr>
      <w:bookmarkStart w:id="0" w:name="_GoBack"/>
      <w:bookmarkEnd w:id="0"/>
      <w:r>
        <w:rPr>
          <w:rStyle w:val="im"/>
          <w:rFonts w:ascii="Arial" w:hAnsi="Arial"/>
          <w:b/>
          <w:bCs/>
          <w:shd w:val="clear" w:color="auto" w:fill="FFFFFF"/>
        </w:rPr>
        <w:lastRenderedPageBreak/>
        <w:t>Dichiarazioni previsionali</w:t>
      </w:r>
      <w:r>
        <w:rPr>
          <w:rFonts w:ascii="Arial" w:hAnsi="Arial"/>
          <w:b/>
          <w:bCs/>
          <w:shd w:val="clear" w:color="auto" w:fill="FFFFFF"/>
        </w:rPr>
        <w:br/>
      </w:r>
      <w:r>
        <w:rPr>
          <w:rStyle w:val="im"/>
          <w:rFonts w:ascii="Arial" w:hAnsi="Arial"/>
          <w:i/>
          <w:sz w:val="18"/>
          <w:shd w:val="clear" w:color="auto" w:fill="FFFFFF"/>
        </w:rPr>
        <w:t xml:space="preserve">La presente comunicazione contiene dichiarazioni previsionali. In particolare, le dichiarazioni riguardanti gli eventi futuri e i risultati previsti delle operazioni, le strategie aziendali, la previsione dei benefici ottenuti dalla transazione proposta, i risultati finanziari e operativi futuri, la data di chiusura prevista per la transazione proposta e gli altri aspetti previsti relativamente alle nostre operazioni o ai nostri risultati operativi sono dichiarazioni previsionali. Tali dichiarazioni possono includere i termini come </w:t>
      </w:r>
      <w:r w:rsidR="00276A19">
        <w:rPr>
          <w:rStyle w:val="im"/>
          <w:rFonts w:ascii="Arial" w:hAnsi="Arial"/>
          <w:i/>
          <w:sz w:val="18"/>
          <w:shd w:val="clear" w:color="auto" w:fill="FFFFFF"/>
        </w:rPr>
        <w:t>“</w:t>
      </w:r>
      <w:r>
        <w:rPr>
          <w:rStyle w:val="im"/>
          <w:rFonts w:ascii="Arial" w:hAnsi="Arial"/>
          <w:i/>
          <w:sz w:val="18"/>
          <w:shd w:val="clear" w:color="auto" w:fill="FFFFFF"/>
        </w:rPr>
        <w:t>possono</w:t>
      </w:r>
      <w:r w:rsidR="00276A19">
        <w:rPr>
          <w:rStyle w:val="im"/>
          <w:rFonts w:ascii="Arial" w:hAnsi="Arial"/>
          <w:i/>
          <w:sz w:val="18"/>
          <w:shd w:val="clear" w:color="auto" w:fill="FFFFFF"/>
        </w:rPr>
        <w:t>”</w:t>
      </w:r>
      <w:r>
        <w:rPr>
          <w:rStyle w:val="im"/>
          <w:rFonts w:ascii="Arial" w:hAnsi="Arial"/>
          <w:i/>
          <w:sz w:val="18"/>
          <w:shd w:val="clear" w:color="auto" w:fill="FFFFFF"/>
        </w:rPr>
        <w:t xml:space="preserve">, </w:t>
      </w:r>
      <w:r w:rsidR="00276A19">
        <w:rPr>
          <w:rStyle w:val="im"/>
          <w:rFonts w:ascii="Arial" w:hAnsi="Arial"/>
          <w:i/>
          <w:sz w:val="18"/>
          <w:shd w:val="clear" w:color="auto" w:fill="FFFFFF"/>
        </w:rPr>
        <w:t>“</w:t>
      </w:r>
      <w:r>
        <w:rPr>
          <w:rStyle w:val="im"/>
          <w:rFonts w:ascii="Arial" w:hAnsi="Arial"/>
          <w:i/>
          <w:sz w:val="18"/>
          <w:shd w:val="clear" w:color="auto" w:fill="FFFFFF"/>
        </w:rPr>
        <w:t>saranno</w:t>
      </w:r>
      <w:r w:rsidR="00276A19">
        <w:rPr>
          <w:rStyle w:val="im"/>
          <w:rFonts w:ascii="Arial" w:hAnsi="Arial"/>
          <w:i/>
          <w:sz w:val="18"/>
          <w:shd w:val="clear" w:color="auto" w:fill="FFFFFF"/>
        </w:rPr>
        <w:t>”</w:t>
      </w:r>
      <w:r>
        <w:rPr>
          <w:rStyle w:val="im"/>
          <w:rFonts w:ascii="Arial" w:hAnsi="Arial"/>
          <w:i/>
          <w:sz w:val="18"/>
          <w:shd w:val="clear" w:color="auto" w:fill="FFFFFF"/>
        </w:rPr>
        <w:t xml:space="preserve">, </w:t>
      </w:r>
      <w:r w:rsidR="00276A19">
        <w:rPr>
          <w:rStyle w:val="im"/>
          <w:rFonts w:ascii="Arial" w:hAnsi="Arial"/>
          <w:i/>
          <w:sz w:val="18"/>
          <w:shd w:val="clear" w:color="auto" w:fill="FFFFFF"/>
        </w:rPr>
        <w:t>“</w:t>
      </w:r>
      <w:r>
        <w:rPr>
          <w:rStyle w:val="im"/>
          <w:rFonts w:ascii="Arial" w:hAnsi="Arial"/>
          <w:i/>
          <w:sz w:val="18"/>
          <w:shd w:val="clear" w:color="auto" w:fill="FFFFFF"/>
        </w:rPr>
        <w:t>prevedono</w:t>
      </w:r>
      <w:r w:rsidR="00276A19">
        <w:rPr>
          <w:rStyle w:val="im"/>
          <w:rFonts w:ascii="Arial" w:hAnsi="Arial"/>
          <w:i/>
          <w:sz w:val="18"/>
          <w:shd w:val="clear" w:color="auto" w:fill="FFFFFF"/>
        </w:rPr>
        <w:t>”</w:t>
      </w:r>
      <w:r>
        <w:rPr>
          <w:rStyle w:val="im"/>
          <w:rFonts w:ascii="Arial" w:hAnsi="Arial"/>
          <w:i/>
          <w:sz w:val="18"/>
          <w:shd w:val="clear" w:color="auto" w:fill="FFFFFF"/>
        </w:rPr>
        <w:t xml:space="preserve">, </w:t>
      </w:r>
      <w:r w:rsidR="00276A19">
        <w:rPr>
          <w:rStyle w:val="im"/>
          <w:rFonts w:ascii="Arial" w:hAnsi="Arial"/>
          <w:i/>
          <w:sz w:val="18"/>
          <w:shd w:val="clear" w:color="auto" w:fill="FFFFFF"/>
        </w:rPr>
        <w:t>“</w:t>
      </w:r>
      <w:r>
        <w:rPr>
          <w:rStyle w:val="im"/>
          <w:rFonts w:ascii="Arial" w:hAnsi="Arial"/>
          <w:i/>
          <w:sz w:val="18"/>
          <w:shd w:val="clear" w:color="auto" w:fill="FFFFFF"/>
        </w:rPr>
        <w:t>potrebbero</w:t>
      </w:r>
      <w:r w:rsidR="00276A19">
        <w:rPr>
          <w:rStyle w:val="im"/>
          <w:rFonts w:ascii="Arial" w:hAnsi="Arial"/>
          <w:i/>
          <w:sz w:val="18"/>
          <w:shd w:val="clear" w:color="auto" w:fill="FFFFFF"/>
        </w:rPr>
        <w:t>”</w:t>
      </w:r>
      <w:r>
        <w:rPr>
          <w:rStyle w:val="im"/>
          <w:rFonts w:ascii="Arial" w:hAnsi="Arial"/>
          <w:i/>
          <w:sz w:val="18"/>
          <w:shd w:val="clear" w:color="auto" w:fill="FFFFFF"/>
        </w:rPr>
        <w:t xml:space="preserve">, </w:t>
      </w:r>
      <w:r w:rsidR="00276A19">
        <w:rPr>
          <w:rStyle w:val="im"/>
          <w:rFonts w:ascii="Arial" w:hAnsi="Arial"/>
          <w:i/>
          <w:sz w:val="18"/>
          <w:shd w:val="clear" w:color="auto" w:fill="FFFFFF"/>
        </w:rPr>
        <w:t>“</w:t>
      </w:r>
      <w:r>
        <w:rPr>
          <w:rStyle w:val="im"/>
          <w:rFonts w:ascii="Arial" w:hAnsi="Arial"/>
          <w:i/>
          <w:sz w:val="18"/>
          <w:shd w:val="clear" w:color="auto" w:fill="FFFFFF"/>
        </w:rPr>
        <w:t>dovrebbero</w:t>
      </w:r>
      <w:r w:rsidR="00276A19">
        <w:rPr>
          <w:rStyle w:val="im"/>
          <w:rFonts w:ascii="Arial" w:hAnsi="Arial"/>
          <w:i/>
          <w:sz w:val="18"/>
          <w:shd w:val="clear" w:color="auto" w:fill="FFFFFF"/>
        </w:rPr>
        <w:t>”</w:t>
      </w:r>
      <w:r>
        <w:rPr>
          <w:rStyle w:val="im"/>
          <w:rFonts w:ascii="Arial" w:hAnsi="Arial"/>
          <w:i/>
          <w:sz w:val="18"/>
          <w:shd w:val="clear" w:color="auto" w:fill="FFFFFF"/>
        </w:rPr>
        <w:t xml:space="preserve">, </w:t>
      </w:r>
      <w:r w:rsidR="00276A19">
        <w:rPr>
          <w:rStyle w:val="im"/>
          <w:rFonts w:ascii="Arial" w:hAnsi="Arial"/>
          <w:i/>
          <w:sz w:val="18"/>
          <w:shd w:val="clear" w:color="auto" w:fill="FFFFFF"/>
        </w:rPr>
        <w:t>“</w:t>
      </w:r>
      <w:r>
        <w:rPr>
          <w:rStyle w:val="im"/>
          <w:rFonts w:ascii="Arial" w:hAnsi="Arial"/>
          <w:i/>
          <w:sz w:val="18"/>
          <w:shd w:val="clear" w:color="auto" w:fill="FFFFFF"/>
        </w:rPr>
        <w:t>intendono</w:t>
      </w:r>
      <w:r w:rsidR="00276A19">
        <w:rPr>
          <w:rStyle w:val="im"/>
          <w:rFonts w:ascii="Arial" w:hAnsi="Arial"/>
          <w:i/>
          <w:sz w:val="18"/>
          <w:shd w:val="clear" w:color="auto" w:fill="FFFFFF"/>
        </w:rPr>
        <w:t>”</w:t>
      </w:r>
      <w:r>
        <w:rPr>
          <w:rStyle w:val="im"/>
          <w:rFonts w:ascii="Arial" w:hAnsi="Arial"/>
          <w:i/>
          <w:sz w:val="18"/>
          <w:shd w:val="clear" w:color="auto" w:fill="FFFFFF"/>
        </w:rPr>
        <w:t xml:space="preserve">, </w:t>
      </w:r>
      <w:r w:rsidR="00276A19">
        <w:rPr>
          <w:rStyle w:val="im"/>
          <w:rFonts w:ascii="Arial" w:hAnsi="Arial"/>
          <w:i/>
          <w:sz w:val="18"/>
          <w:shd w:val="clear" w:color="auto" w:fill="FFFFFF"/>
        </w:rPr>
        <w:t>“</w:t>
      </w:r>
      <w:r>
        <w:rPr>
          <w:rStyle w:val="im"/>
          <w:rFonts w:ascii="Arial" w:hAnsi="Arial"/>
          <w:i/>
          <w:sz w:val="18"/>
          <w:shd w:val="clear" w:color="auto" w:fill="FFFFFF"/>
        </w:rPr>
        <w:t>stimano</w:t>
      </w:r>
      <w:r w:rsidR="00276A19">
        <w:rPr>
          <w:rStyle w:val="im"/>
          <w:rFonts w:ascii="Arial" w:hAnsi="Arial"/>
          <w:i/>
          <w:sz w:val="18"/>
          <w:shd w:val="clear" w:color="auto" w:fill="FFFFFF"/>
        </w:rPr>
        <w:t>”</w:t>
      </w:r>
      <w:r>
        <w:rPr>
          <w:rStyle w:val="im"/>
          <w:rFonts w:ascii="Arial" w:hAnsi="Arial"/>
          <w:i/>
          <w:sz w:val="18"/>
          <w:shd w:val="clear" w:color="auto" w:fill="FFFFFF"/>
        </w:rPr>
        <w:t xml:space="preserve">, </w:t>
      </w:r>
      <w:r w:rsidR="00276A19">
        <w:rPr>
          <w:rStyle w:val="im"/>
          <w:rFonts w:ascii="Arial" w:hAnsi="Arial"/>
          <w:i/>
          <w:sz w:val="18"/>
          <w:shd w:val="clear" w:color="auto" w:fill="FFFFFF"/>
        </w:rPr>
        <w:t>“</w:t>
      </w:r>
      <w:r>
        <w:rPr>
          <w:rStyle w:val="im"/>
          <w:rFonts w:ascii="Arial" w:hAnsi="Arial"/>
          <w:i/>
          <w:sz w:val="18"/>
          <w:shd w:val="clear" w:color="auto" w:fill="FFFFFF"/>
        </w:rPr>
        <w:t>anticipano</w:t>
      </w:r>
      <w:r w:rsidR="00276A19">
        <w:rPr>
          <w:rStyle w:val="im"/>
          <w:rFonts w:ascii="Arial" w:hAnsi="Arial"/>
          <w:i/>
          <w:sz w:val="18"/>
          <w:shd w:val="clear" w:color="auto" w:fill="FFFFFF"/>
        </w:rPr>
        <w:t>”</w:t>
      </w:r>
      <w:r>
        <w:rPr>
          <w:rStyle w:val="im"/>
          <w:rFonts w:ascii="Arial" w:hAnsi="Arial"/>
          <w:i/>
          <w:sz w:val="18"/>
          <w:shd w:val="clear" w:color="auto" w:fill="FFFFFF"/>
        </w:rPr>
        <w:t xml:space="preserve">, </w:t>
      </w:r>
      <w:r w:rsidR="00276A19">
        <w:rPr>
          <w:rStyle w:val="im"/>
          <w:rFonts w:ascii="Arial" w:hAnsi="Arial"/>
          <w:i/>
          <w:sz w:val="18"/>
          <w:shd w:val="clear" w:color="auto" w:fill="FFFFFF"/>
        </w:rPr>
        <w:t>“</w:t>
      </w:r>
      <w:r>
        <w:rPr>
          <w:rStyle w:val="im"/>
          <w:rFonts w:ascii="Arial" w:hAnsi="Arial"/>
          <w:i/>
          <w:sz w:val="18"/>
          <w:shd w:val="clear" w:color="auto" w:fill="FFFFFF"/>
        </w:rPr>
        <w:t>credono</w:t>
      </w:r>
      <w:r w:rsidR="00276A19">
        <w:rPr>
          <w:rStyle w:val="im"/>
          <w:rFonts w:ascii="Arial" w:hAnsi="Arial"/>
          <w:i/>
          <w:sz w:val="18"/>
          <w:shd w:val="clear" w:color="auto" w:fill="FFFFFF"/>
        </w:rPr>
        <w:t>”</w:t>
      </w:r>
      <w:r>
        <w:rPr>
          <w:rStyle w:val="im"/>
          <w:rFonts w:ascii="Arial" w:hAnsi="Arial"/>
          <w:i/>
          <w:sz w:val="18"/>
          <w:shd w:val="clear" w:color="auto" w:fill="FFFFFF"/>
        </w:rPr>
        <w:t xml:space="preserve">, </w:t>
      </w:r>
      <w:r w:rsidR="00276A19">
        <w:rPr>
          <w:rStyle w:val="im"/>
          <w:rFonts w:ascii="Arial" w:hAnsi="Arial"/>
          <w:i/>
          <w:sz w:val="18"/>
          <w:shd w:val="clear" w:color="auto" w:fill="FFFFFF"/>
        </w:rPr>
        <w:t>“</w:t>
      </w:r>
      <w:r>
        <w:rPr>
          <w:rStyle w:val="im"/>
          <w:rFonts w:ascii="Arial" w:hAnsi="Arial"/>
          <w:i/>
          <w:sz w:val="18"/>
          <w:shd w:val="clear" w:color="auto" w:fill="FFFFFF"/>
        </w:rPr>
        <w:t>rimangono</w:t>
      </w:r>
      <w:r w:rsidR="00276A19">
        <w:rPr>
          <w:rStyle w:val="im"/>
          <w:rFonts w:ascii="Arial" w:hAnsi="Arial"/>
          <w:i/>
          <w:sz w:val="18"/>
          <w:shd w:val="clear" w:color="auto" w:fill="FFFFFF"/>
        </w:rPr>
        <w:t>”</w:t>
      </w:r>
      <w:r>
        <w:rPr>
          <w:rStyle w:val="im"/>
          <w:rFonts w:ascii="Arial" w:hAnsi="Arial"/>
          <w:i/>
          <w:sz w:val="18"/>
          <w:shd w:val="clear" w:color="auto" w:fill="FFFFFF"/>
        </w:rPr>
        <w:t xml:space="preserve">, </w:t>
      </w:r>
      <w:r w:rsidR="00276A19">
        <w:rPr>
          <w:rStyle w:val="im"/>
          <w:rFonts w:ascii="Arial" w:hAnsi="Arial"/>
          <w:i/>
          <w:sz w:val="18"/>
          <w:shd w:val="clear" w:color="auto" w:fill="FFFFFF"/>
        </w:rPr>
        <w:t>“</w:t>
      </w:r>
      <w:r>
        <w:rPr>
          <w:rStyle w:val="im"/>
          <w:rFonts w:ascii="Arial" w:hAnsi="Arial"/>
          <w:i/>
          <w:sz w:val="18"/>
          <w:shd w:val="clear" w:color="auto" w:fill="FFFFFF"/>
        </w:rPr>
        <w:t>sulla buona strada</w:t>
      </w:r>
      <w:r w:rsidR="00276A19">
        <w:rPr>
          <w:rStyle w:val="im"/>
          <w:rFonts w:ascii="Arial" w:hAnsi="Arial"/>
          <w:i/>
          <w:sz w:val="18"/>
          <w:shd w:val="clear" w:color="auto" w:fill="FFFFFF"/>
        </w:rPr>
        <w:t>”</w:t>
      </w:r>
      <w:r>
        <w:rPr>
          <w:rStyle w:val="im"/>
          <w:rFonts w:ascii="Arial" w:hAnsi="Arial"/>
          <w:i/>
          <w:sz w:val="18"/>
          <w:shd w:val="clear" w:color="auto" w:fill="FFFFFF"/>
        </w:rPr>
        <w:t xml:space="preserve">, </w:t>
      </w:r>
      <w:r w:rsidR="00276A19">
        <w:rPr>
          <w:rStyle w:val="im"/>
          <w:rFonts w:ascii="Arial" w:hAnsi="Arial"/>
          <w:i/>
          <w:sz w:val="18"/>
          <w:shd w:val="clear" w:color="auto" w:fill="FFFFFF"/>
        </w:rPr>
        <w:t>“</w:t>
      </w:r>
      <w:r>
        <w:rPr>
          <w:rStyle w:val="im"/>
          <w:rFonts w:ascii="Arial" w:hAnsi="Arial"/>
          <w:i/>
          <w:sz w:val="18"/>
          <w:shd w:val="clear" w:color="auto" w:fill="FFFFFF"/>
        </w:rPr>
        <w:t>progettano</w:t>
      </w:r>
      <w:r w:rsidR="00276A19">
        <w:rPr>
          <w:rStyle w:val="im"/>
          <w:rFonts w:ascii="Arial" w:hAnsi="Arial"/>
          <w:i/>
          <w:sz w:val="18"/>
          <w:shd w:val="clear" w:color="auto" w:fill="FFFFFF"/>
        </w:rPr>
        <w:t>”</w:t>
      </w:r>
      <w:r>
        <w:rPr>
          <w:rStyle w:val="im"/>
          <w:rFonts w:ascii="Arial" w:hAnsi="Arial"/>
          <w:i/>
          <w:sz w:val="18"/>
          <w:shd w:val="clear" w:color="auto" w:fill="FFFFFF"/>
        </w:rPr>
        <w:t xml:space="preserve">, </w:t>
      </w:r>
      <w:r w:rsidR="00276A19">
        <w:rPr>
          <w:rStyle w:val="im"/>
          <w:rFonts w:ascii="Arial" w:hAnsi="Arial"/>
          <w:i/>
          <w:sz w:val="18"/>
          <w:shd w:val="clear" w:color="auto" w:fill="FFFFFF"/>
        </w:rPr>
        <w:t>“</w:t>
      </w:r>
      <w:r>
        <w:rPr>
          <w:rStyle w:val="im"/>
          <w:rFonts w:ascii="Arial" w:hAnsi="Arial"/>
          <w:i/>
          <w:sz w:val="18"/>
          <w:shd w:val="clear" w:color="auto" w:fill="FFFFFF"/>
        </w:rPr>
        <w:t>obiettivo</w:t>
      </w:r>
      <w:r w:rsidR="00276A19">
        <w:rPr>
          <w:rStyle w:val="im"/>
          <w:rFonts w:ascii="Arial" w:hAnsi="Arial"/>
          <w:i/>
          <w:sz w:val="18"/>
          <w:shd w:val="clear" w:color="auto" w:fill="FFFFFF"/>
        </w:rPr>
        <w:t>”</w:t>
      </w:r>
      <w:r>
        <w:rPr>
          <w:rStyle w:val="im"/>
          <w:rFonts w:ascii="Arial" w:hAnsi="Arial"/>
          <w:i/>
          <w:sz w:val="18"/>
          <w:shd w:val="clear" w:color="auto" w:fill="FFFFFF"/>
        </w:rPr>
        <w:t xml:space="preserve">, </w:t>
      </w:r>
      <w:r w:rsidR="00276A19">
        <w:rPr>
          <w:rStyle w:val="im"/>
          <w:rFonts w:ascii="Arial" w:hAnsi="Arial"/>
          <w:i/>
          <w:sz w:val="18"/>
          <w:shd w:val="clear" w:color="auto" w:fill="FFFFFF"/>
        </w:rPr>
        <w:t>“</w:t>
      </w:r>
      <w:r>
        <w:rPr>
          <w:rStyle w:val="im"/>
          <w:rFonts w:ascii="Arial" w:hAnsi="Arial"/>
          <w:i/>
          <w:sz w:val="18"/>
          <w:shd w:val="clear" w:color="auto" w:fill="FFFFFF"/>
        </w:rPr>
        <w:t>previsione</w:t>
      </w:r>
      <w:r w:rsidR="00276A19">
        <w:rPr>
          <w:rStyle w:val="im"/>
          <w:rFonts w:ascii="Arial" w:hAnsi="Arial"/>
          <w:i/>
          <w:sz w:val="18"/>
          <w:shd w:val="clear" w:color="auto" w:fill="FFFFFF"/>
        </w:rPr>
        <w:t>”</w:t>
      </w:r>
      <w:r>
        <w:rPr>
          <w:rStyle w:val="im"/>
          <w:rFonts w:ascii="Arial" w:hAnsi="Arial"/>
          <w:i/>
          <w:sz w:val="18"/>
          <w:shd w:val="clear" w:color="auto" w:fill="FFFFFF"/>
        </w:rPr>
        <w:t xml:space="preserve">, </w:t>
      </w:r>
      <w:r w:rsidR="00276A19">
        <w:rPr>
          <w:rStyle w:val="im"/>
          <w:rFonts w:ascii="Arial" w:hAnsi="Arial"/>
          <w:i/>
          <w:sz w:val="18"/>
          <w:shd w:val="clear" w:color="auto" w:fill="FFFFFF"/>
        </w:rPr>
        <w:t>“</w:t>
      </w:r>
      <w:r>
        <w:rPr>
          <w:rStyle w:val="im"/>
          <w:rFonts w:ascii="Arial" w:hAnsi="Arial"/>
          <w:i/>
          <w:sz w:val="18"/>
          <w:shd w:val="clear" w:color="auto" w:fill="FFFFFF"/>
        </w:rPr>
        <w:t>proiezione</w:t>
      </w:r>
      <w:r w:rsidR="00276A19">
        <w:rPr>
          <w:rStyle w:val="im"/>
          <w:rFonts w:ascii="Arial" w:hAnsi="Arial"/>
          <w:i/>
          <w:sz w:val="18"/>
          <w:shd w:val="clear" w:color="auto" w:fill="FFFFFF"/>
        </w:rPr>
        <w:t>”</w:t>
      </w:r>
      <w:r>
        <w:rPr>
          <w:rStyle w:val="im"/>
          <w:rFonts w:ascii="Arial" w:hAnsi="Arial"/>
          <w:i/>
          <w:sz w:val="18"/>
          <w:shd w:val="clear" w:color="auto" w:fill="FFFFFF"/>
        </w:rPr>
        <w:t xml:space="preserve">, </w:t>
      </w:r>
      <w:r w:rsidR="00276A19">
        <w:rPr>
          <w:rStyle w:val="im"/>
          <w:rFonts w:ascii="Arial" w:hAnsi="Arial"/>
          <w:i/>
          <w:sz w:val="18"/>
          <w:shd w:val="clear" w:color="auto" w:fill="FFFFFF"/>
        </w:rPr>
        <w:t>“</w:t>
      </w:r>
      <w:r>
        <w:rPr>
          <w:rStyle w:val="im"/>
          <w:rFonts w:ascii="Arial" w:hAnsi="Arial"/>
          <w:i/>
          <w:sz w:val="18"/>
          <w:shd w:val="clear" w:color="auto" w:fill="FFFFFF"/>
        </w:rPr>
        <w:t>prospettiva</w:t>
      </w:r>
      <w:r w:rsidR="00276A19">
        <w:rPr>
          <w:rStyle w:val="im"/>
          <w:rFonts w:ascii="Arial" w:hAnsi="Arial"/>
          <w:i/>
          <w:sz w:val="18"/>
          <w:shd w:val="clear" w:color="auto" w:fill="FFFFFF"/>
        </w:rPr>
        <w:t>”</w:t>
      </w:r>
      <w:r>
        <w:rPr>
          <w:rStyle w:val="im"/>
          <w:rFonts w:ascii="Arial" w:hAnsi="Arial"/>
          <w:i/>
          <w:sz w:val="18"/>
          <w:shd w:val="clear" w:color="auto" w:fill="FFFFFF"/>
        </w:rPr>
        <w:t xml:space="preserve">, </w:t>
      </w:r>
      <w:r w:rsidR="00276A19">
        <w:rPr>
          <w:rStyle w:val="im"/>
          <w:rFonts w:ascii="Arial" w:hAnsi="Arial"/>
          <w:i/>
          <w:sz w:val="18"/>
          <w:shd w:val="clear" w:color="auto" w:fill="FFFFFF"/>
        </w:rPr>
        <w:t>“</w:t>
      </w:r>
      <w:r>
        <w:rPr>
          <w:rStyle w:val="im"/>
          <w:rFonts w:ascii="Arial" w:hAnsi="Arial"/>
          <w:i/>
          <w:sz w:val="18"/>
          <w:shd w:val="clear" w:color="auto" w:fill="FFFFFF"/>
        </w:rPr>
        <w:t>prospettive</w:t>
      </w:r>
      <w:r w:rsidR="00276A19">
        <w:rPr>
          <w:rStyle w:val="im"/>
          <w:rFonts w:ascii="Arial" w:hAnsi="Arial"/>
          <w:i/>
          <w:sz w:val="18"/>
          <w:shd w:val="clear" w:color="auto" w:fill="FFFFFF"/>
        </w:rPr>
        <w:t>”</w:t>
      </w:r>
      <w:r>
        <w:rPr>
          <w:rStyle w:val="im"/>
          <w:rFonts w:ascii="Arial" w:hAnsi="Arial"/>
          <w:i/>
          <w:sz w:val="18"/>
          <w:shd w:val="clear" w:color="auto" w:fill="FFFFFF"/>
        </w:rPr>
        <w:t xml:space="preserve">, </w:t>
      </w:r>
      <w:r w:rsidR="00276A19">
        <w:rPr>
          <w:rStyle w:val="im"/>
          <w:rFonts w:ascii="Arial" w:hAnsi="Arial"/>
          <w:i/>
          <w:sz w:val="18"/>
          <w:shd w:val="clear" w:color="auto" w:fill="FFFFFF"/>
        </w:rPr>
        <w:t>“</w:t>
      </w:r>
      <w:r>
        <w:rPr>
          <w:rStyle w:val="im"/>
          <w:rFonts w:ascii="Arial" w:hAnsi="Arial"/>
          <w:i/>
          <w:sz w:val="18"/>
          <w:shd w:val="clear" w:color="auto" w:fill="FFFFFF"/>
        </w:rPr>
        <w:t>piano</w:t>
      </w:r>
      <w:r w:rsidR="00276A19">
        <w:rPr>
          <w:rStyle w:val="im"/>
          <w:rFonts w:ascii="Arial" w:hAnsi="Arial"/>
          <w:i/>
          <w:sz w:val="18"/>
          <w:shd w:val="clear" w:color="auto" w:fill="FFFFFF"/>
        </w:rPr>
        <w:t>”</w:t>
      </w:r>
      <w:r>
        <w:rPr>
          <w:rStyle w:val="im"/>
          <w:rFonts w:ascii="Arial" w:hAnsi="Arial"/>
          <w:i/>
          <w:sz w:val="18"/>
          <w:shd w:val="clear" w:color="auto" w:fill="FFFFFF"/>
        </w:rPr>
        <w:t xml:space="preserve"> o termini simili. Le dichiarazioni previsionali non sono garanzie di prestazioni future. Piuttosto, si basano sullo stato attuale delle conoscenze di Stellantis, sulle aspettative future e sulle proiezioni di eventi futuri e sono, per loro natura, soggette a rischi e incertezze intrinseche. Si riferiscono a eventi e dipendono da circostanze che possono o non possono verificarsi o esistere in futuro e, pertanto, che non dovrebbero essere oggetto di eccessivo affidamento.</w:t>
      </w:r>
      <w:r>
        <w:rPr>
          <w:rFonts w:ascii="Arial" w:hAnsi="Arial"/>
          <w:i/>
          <w:sz w:val="18"/>
          <w:shd w:val="clear" w:color="auto" w:fill="FFFFFF"/>
        </w:rPr>
        <w:br/>
      </w:r>
      <w:r>
        <w:rPr>
          <w:rFonts w:ascii="Arial" w:hAnsi="Arial"/>
          <w:i/>
          <w:sz w:val="18"/>
          <w:shd w:val="clear" w:color="auto" w:fill="FFFFFF"/>
        </w:rPr>
        <w:br/>
      </w:r>
      <w:r>
        <w:rPr>
          <w:rStyle w:val="im"/>
          <w:rFonts w:ascii="Arial" w:hAnsi="Arial"/>
          <w:i/>
          <w:sz w:val="18"/>
          <w:shd w:val="clear" w:color="auto" w:fill="FFFFFF"/>
        </w:rPr>
        <w:t>I risultati reali possono differire materialmente da quelli espressi nelle dichiarazioni previsionali in conseguenza di vari fattori, quali: incertezze sul fatto che la transazione proposta discussa nel presente documento sarà completata o sui tempi di completamento della stessa; la soddisfazione delle condizioni precedenti al completamento della transazione proposta, inclusa la capacità di ottenere le approvazioni normative nei termini previsti, a tutti i livelli o in maniera tempestiva; il rischio che le attività delle parti siano influenzate negativamente durante la pendenza della transazione proposta; la capacità di Stellantis di integrare con successo le operazioni dell</w:t>
      </w:r>
      <w:r w:rsidR="00276A19">
        <w:rPr>
          <w:rStyle w:val="im"/>
          <w:rFonts w:ascii="Arial" w:hAnsi="Arial"/>
          <w:i/>
          <w:sz w:val="18"/>
          <w:shd w:val="clear" w:color="auto" w:fill="FFFFFF"/>
        </w:rPr>
        <w:t>’</w:t>
      </w:r>
      <w:r>
        <w:rPr>
          <w:rStyle w:val="im"/>
          <w:rFonts w:ascii="Arial" w:hAnsi="Arial"/>
          <w:i/>
          <w:sz w:val="18"/>
          <w:shd w:val="clear" w:color="auto" w:fill="FFFFFF"/>
        </w:rPr>
        <w:t>Azienda; l</w:t>
      </w:r>
      <w:r w:rsidR="00276A19">
        <w:rPr>
          <w:rStyle w:val="im"/>
          <w:rFonts w:ascii="Arial" w:hAnsi="Arial"/>
          <w:i/>
          <w:sz w:val="18"/>
          <w:shd w:val="clear" w:color="auto" w:fill="FFFFFF"/>
        </w:rPr>
        <w:t>’</w:t>
      </w:r>
      <w:r>
        <w:rPr>
          <w:rStyle w:val="im"/>
          <w:rFonts w:ascii="Arial" w:hAnsi="Arial"/>
          <w:i/>
          <w:sz w:val="18"/>
          <w:shd w:val="clear" w:color="auto" w:fill="FFFFFF"/>
        </w:rPr>
        <w:t>interruzione dell</w:t>
      </w:r>
      <w:r w:rsidR="00276A19">
        <w:rPr>
          <w:rStyle w:val="im"/>
          <w:rFonts w:ascii="Arial" w:hAnsi="Arial"/>
          <w:i/>
          <w:sz w:val="18"/>
          <w:shd w:val="clear" w:color="auto" w:fill="FFFFFF"/>
        </w:rPr>
        <w:t>’</w:t>
      </w:r>
      <w:r>
        <w:rPr>
          <w:rStyle w:val="im"/>
          <w:rFonts w:ascii="Arial" w:hAnsi="Arial"/>
          <w:i/>
          <w:sz w:val="18"/>
          <w:shd w:val="clear" w:color="auto" w:fill="FFFFFF"/>
        </w:rPr>
        <w:t>attività a seguito della transazione; l</w:t>
      </w:r>
      <w:r w:rsidR="00276A19">
        <w:rPr>
          <w:rStyle w:val="im"/>
          <w:rFonts w:ascii="Arial" w:hAnsi="Arial"/>
          <w:i/>
          <w:sz w:val="18"/>
          <w:shd w:val="clear" w:color="auto" w:fill="FFFFFF"/>
        </w:rPr>
        <w:t>’</w:t>
      </w:r>
      <w:r>
        <w:rPr>
          <w:rStyle w:val="im"/>
          <w:rFonts w:ascii="Arial" w:hAnsi="Arial"/>
          <w:i/>
          <w:sz w:val="18"/>
          <w:shd w:val="clear" w:color="auto" w:fill="FFFFFF"/>
        </w:rPr>
        <w:t>effetto dell</w:t>
      </w:r>
      <w:r w:rsidR="00276A19">
        <w:rPr>
          <w:rStyle w:val="im"/>
          <w:rFonts w:ascii="Arial" w:hAnsi="Arial"/>
          <w:i/>
          <w:sz w:val="18"/>
          <w:shd w:val="clear" w:color="auto" w:fill="FFFFFF"/>
        </w:rPr>
        <w:t>’</w:t>
      </w:r>
      <w:r>
        <w:rPr>
          <w:rStyle w:val="im"/>
          <w:rFonts w:ascii="Arial" w:hAnsi="Arial"/>
          <w:i/>
          <w:sz w:val="18"/>
          <w:shd w:val="clear" w:color="auto" w:fill="FFFFFF"/>
        </w:rPr>
        <w:t>annuncio della transazione sulla capacità dell</w:t>
      </w:r>
      <w:r w:rsidR="00276A19">
        <w:rPr>
          <w:rStyle w:val="im"/>
          <w:rFonts w:ascii="Arial" w:hAnsi="Arial"/>
          <w:i/>
          <w:sz w:val="18"/>
          <w:shd w:val="clear" w:color="auto" w:fill="FFFFFF"/>
        </w:rPr>
        <w:t>’</w:t>
      </w:r>
      <w:r>
        <w:rPr>
          <w:rStyle w:val="im"/>
          <w:rFonts w:ascii="Arial" w:hAnsi="Arial"/>
          <w:i/>
          <w:sz w:val="18"/>
          <w:shd w:val="clear" w:color="auto" w:fill="FFFFFF"/>
        </w:rPr>
        <w:t>Azienda di trattenere e assumere personale chiave e mantenere i rapporti con clienti, fornitori e con gli altri soggetti con cui l</w:t>
      </w:r>
      <w:r w:rsidR="00276A19">
        <w:rPr>
          <w:rStyle w:val="im"/>
          <w:rFonts w:ascii="Arial" w:hAnsi="Arial"/>
          <w:i/>
          <w:sz w:val="18"/>
          <w:shd w:val="clear" w:color="auto" w:fill="FFFFFF"/>
        </w:rPr>
        <w:t>’</w:t>
      </w:r>
      <w:r>
        <w:rPr>
          <w:rStyle w:val="im"/>
          <w:rFonts w:ascii="Arial" w:hAnsi="Arial"/>
          <w:i/>
          <w:sz w:val="18"/>
          <w:shd w:val="clear" w:color="auto" w:fill="FFFFFF"/>
        </w:rPr>
        <w:t>Azienda intrattiene rapporti commerciali; l</w:t>
      </w:r>
      <w:r w:rsidR="00276A19">
        <w:rPr>
          <w:rStyle w:val="im"/>
          <w:rFonts w:ascii="Arial" w:hAnsi="Arial"/>
          <w:i/>
          <w:sz w:val="18"/>
          <w:shd w:val="clear" w:color="auto" w:fill="FFFFFF"/>
        </w:rPr>
        <w:t>’</w:t>
      </w:r>
      <w:r>
        <w:rPr>
          <w:rStyle w:val="im"/>
          <w:rFonts w:ascii="Arial" w:hAnsi="Arial"/>
          <w:i/>
          <w:sz w:val="18"/>
          <w:shd w:val="clear" w:color="auto" w:fill="FFFFFF"/>
        </w:rPr>
        <w:t>impatto della pandemia COVID-19, la capacità di Stellantis di lanciare con successo nuovi prodotti e di garantire i volumi di spedizione dei veicoli; i cambiamenti nei mercati finanziari globali, il contesto economico generale e i cambiamenti nella domanda di prodotti automobilistici, che è soggetta a ciclicità; cambiamenti delle condizioni economiche e politiche locali, cambiamenti delle politiche commerciali e l</w:t>
      </w:r>
      <w:r w:rsidR="00276A19">
        <w:rPr>
          <w:rStyle w:val="im"/>
          <w:rFonts w:ascii="Arial" w:hAnsi="Arial"/>
          <w:i/>
          <w:sz w:val="18"/>
          <w:shd w:val="clear" w:color="auto" w:fill="FFFFFF"/>
        </w:rPr>
        <w:t>’</w:t>
      </w:r>
      <w:r>
        <w:rPr>
          <w:rStyle w:val="im"/>
          <w:rFonts w:ascii="Arial" w:hAnsi="Arial"/>
          <w:i/>
          <w:sz w:val="18"/>
          <w:shd w:val="clear" w:color="auto" w:fill="FFFFFF"/>
        </w:rPr>
        <w:t>imposizione di tariffe globali e regionali o di tariffe mirate all</w:t>
      </w:r>
      <w:r w:rsidR="00276A19">
        <w:rPr>
          <w:rStyle w:val="im"/>
          <w:rFonts w:ascii="Arial" w:hAnsi="Arial"/>
          <w:i/>
          <w:sz w:val="18"/>
          <w:shd w:val="clear" w:color="auto" w:fill="FFFFFF"/>
        </w:rPr>
        <w:t>’</w:t>
      </w:r>
      <w:r>
        <w:rPr>
          <w:rStyle w:val="im"/>
          <w:rFonts w:ascii="Arial" w:hAnsi="Arial"/>
          <w:i/>
          <w:sz w:val="18"/>
          <w:shd w:val="clear" w:color="auto" w:fill="FFFFFF"/>
        </w:rPr>
        <w:t>industria automobilistica, la promulgazione di riforme fiscali o altri cambiamenti delle leggi e dei regolamenti fiscali; la capacità di Stellantis di espandere alcuni dei suoi brand a livello globale; la sua capacità di offrire prodotti innovativi e attraenti; la sua capacità di sviluppare, produrre e vendere veicoli con caratteristiche avanzate tra cui elettrificazione avanzata, connettività e caratteristiche di guida autonoma; vari tipi di reclami, cause legali, indagini governative e altri imprevisti, tra cui responsabilità di prodotto e rivendicazioni di garanzia, indagini e cause ambientali; spese operative materiali in relazione al rispetto delle normative ambientali, sanitarie e di sicurezza; l</w:t>
      </w:r>
      <w:r w:rsidR="00276A19">
        <w:rPr>
          <w:rStyle w:val="im"/>
          <w:rFonts w:ascii="Arial" w:hAnsi="Arial"/>
          <w:i/>
          <w:sz w:val="18"/>
          <w:shd w:val="clear" w:color="auto" w:fill="FFFFFF"/>
        </w:rPr>
        <w:t>’</w:t>
      </w:r>
      <w:r>
        <w:rPr>
          <w:rStyle w:val="im"/>
          <w:rFonts w:ascii="Arial" w:hAnsi="Arial"/>
          <w:i/>
          <w:sz w:val="18"/>
          <w:shd w:val="clear" w:color="auto" w:fill="FFFFFF"/>
        </w:rPr>
        <w:t>elevato livello di concorrenza nel settore automobilistico, che potrebbe aumentare a causa del consolidamento; l</w:t>
      </w:r>
      <w:r w:rsidR="00276A19">
        <w:rPr>
          <w:rStyle w:val="im"/>
          <w:rFonts w:ascii="Arial" w:hAnsi="Arial"/>
          <w:i/>
          <w:sz w:val="18"/>
          <w:shd w:val="clear" w:color="auto" w:fill="FFFFFF"/>
        </w:rPr>
        <w:t>’</w:t>
      </w:r>
      <w:r>
        <w:rPr>
          <w:rStyle w:val="im"/>
          <w:rFonts w:ascii="Arial" w:hAnsi="Arial"/>
          <w:i/>
          <w:sz w:val="18"/>
          <w:shd w:val="clear" w:color="auto" w:fill="FFFFFF"/>
        </w:rPr>
        <w:t>esposizione a carenze nel finanziamento dei piani pensionistici a benefici definiti di Stellantis; la capacità di fornire o organizzare l</w:t>
      </w:r>
      <w:r w:rsidR="00276A19">
        <w:rPr>
          <w:rStyle w:val="im"/>
          <w:rFonts w:ascii="Arial" w:hAnsi="Arial"/>
          <w:i/>
          <w:sz w:val="18"/>
          <w:shd w:val="clear" w:color="auto" w:fill="FFFFFF"/>
        </w:rPr>
        <w:t>’</w:t>
      </w:r>
      <w:r>
        <w:rPr>
          <w:rStyle w:val="im"/>
          <w:rFonts w:ascii="Arial" w:hAnsi="Arial"/>
          <w:i/>
          <w:sz w:val="18"/>
          <w:shd w:val="clear" w:color="auto" w:fill="FFFFFF"/>
        </w:rPr>
        <w:t>accesso a finanziamenti adeguati per i concessionari e i clienti al dettaglio e i rischi associati alla creazione e alle operazioni delle società di servizi finanziari; la capacità di accedere ai finanziamenti per attuare i piani aziendali di Stellantis e migliorare le sue attività, le condizioni finanziarie e i risultati delle operazioni; un malfunzionamento significativo, un</w:t>
      </w:r>
      <w:r w:rsidR="00276A19">
        <w:rPr>
          <w:rStyle w:val="im"/>
          <w:rFonts w:ascii="Arial" w:hAnsi="Arial"/>
          <w:i/>
          <w:sz w:val="18"/>
          <w:shd w:val="clear" w:color="auto" w:fill="FFFFFF"/>
        </w:rPr>
        <w:t>’</w:t>
      </w:r>
      <w:r>
        <w:rPr>
          <w:rStyle w:val="im"/>
          <w:rFonts w:ascii="Arial" w:hAnsi="Arial"/>
          <w:i/>
          <w:sz w:val="18"/>
          <w:shd w:val="clear" w:color="auto" w:fill="FFFFFF"/>
        </w:rPr>
        <w:t>interruzione o una violazione della sicurezza che comprometta i sistemi informatici o i sistemi di controllo elettronici contenuti nei veicoli di Stellantis; la capacità di Stellantis di realizzare i benefici previsti dagli accordi di joint venture; interruzioni derivanti dall</w:t>
      </w:r>
      <w:r w:rsidR="00276A19">
        <w:rPr>
          <w:rStyle w:val="im"/>
          <w:rFonts w:ascii="Arial" w:hAnsi="Arial"/>
          <w:i/>
          <w:sz w:val="18"/>
          <w:shd w:val="clear" w:color="auto" w:fill="FFFFFF"/>
        </w:rPr>
        <w:t>’</w:t>
      </w:r>
      <w:r>
        <w:rPr>
          <w:rStyle w:val="im"/>
          <w:rFonts w:ascii="Arial" w:hAnsi="Arial"/>
          <w:i/>
          <w:sz w:val="18"/>
          <w:shd w:val="clear" w:color="auto" w:fill="FFFFFF"/>
        </w:rPr>
        <w:t>instabilità politica, sociale ed economica; rischi associati ai rapporti con dipendenti, concessionari e fornitori; aumenti dei costi, interruzioni delle forniture o carenze di materie prime, parti, componenti e sistemi utilizzati nei veicoli di Stellantis; sviluppi nei rapporti industriali e di lavoro e sviluppi delle leggi vigenti in materia di lavoro; fluttuazioni dei tassi di cambio, variazioni dei tassi di interesse, rischio di credito e altri rischi di mercato; disordini politici e civili; terremoti o altri disastri e altri rischi e incertezze.</w:t>
      </w:r>
      <w:r>
        <w:rPr>
          <w:rFonts w:ascii="Arial" w:hAnsi="Arial"/>
          <w:i/>
          <w:sz w:val="18"/>
          <w:shd w:val="clear" w:color="auto" w:fill="FFFFFF"/>
        </w:rPr>
        <w:br/>
      </w:r>
      <w:r>
        <w:rPr>
          <w:rFonts w:ascii="Arial" w:hAnsi="Arial"/>
          <w:i/>
          <w:sz w:val="18"/>
          <w:shd w:val="clear" w:color="auto" w:fill="FFFFFF"/>
        </w:rPr>
        <w:br/>
        <w:t>Tutte le dichiarazioni previsionali riportate nella presente comunicazione si riferiscono solo alla data di questo documento e Stellantis declina qualsiasi obbligo di aggiornarle o rivederle pubblicamente. Ulteriori informazioni su Stellantis e le sue attività, inclusi i fattori che potrebbero materialmente influenzare i risultati finanziari di Stellantis, sono contenute nelle relazioni e nei documenti di Stellantis depositati presso la U.S. Securities and Exchange Commission e AFM.</w:t>
      </w:r>
    </w:p>
    <w:sectPr w:rsidR="00CE6AA6" w:rsidRPr="00830308" w:rsidSect="00F52E65">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DED9" w14:textId="77777777" w:rsidR="008B5F62" w:rsidRDefault="008B5F62" w:rsidP="005C18FB">
      <w:pPr>
        <w:spacing w:after="0" w:line="240" w:lineRule="auto"/>
      </w:pPr>
      <w:r>
        <w:separator/>
      </w:r>
    </w:p>
  </w:endnote>
  <w:endnote w:type="continuationSeparator" w:id="0">
    <w:p w14:paraId="218C7092" w14:textId="77777777" w:rsidR="008B5F62" w:rsidRDefault="008B5F62" w:rsidP="005C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871C9" w14:textId="77777777" w:rsidR="008B5F62" w:rsidRDefault="008B5F62" w:rsidP="005C18FB">
      <w:pPr>
        <w:spacing w:after="0" w:line="240" w:lineRule="auto"/>
      </w:pPr>
      <w:r>
        <w:separator/>
      </w:r>
    </w:p>
  </w:footnote>
  <w:footnote w:type="continuationSeparator" w:id="0">
    <w:p w14:paraId="68409FF4" w14:textId="77777777" w:rsidR="008B5F62" w:rsidRDefault="008B5F62" w:rsidP="005C1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AE75" w14:textId="0586EAA5" w:rsidR="005C18FB" w:rsidRDefault="00AC5747">
    <w:pPr>
      <w:pStyle w:val="Header"/>
    </w:pPr>
    <w:r>
      <w:rPr>
        <w:noProof/>
        <w:lang w:val="en-US" w:eastAsia="en-US"/>
      </w:rPr>
      <w:drawing>
        <wp:inline distT="0" distB="0" distL="0" distR="0" wp14:anchorId="23E463A8" wp14:editId="0BCFE1DA">
          <wp:extent cx="1811663" cy="4652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llantis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920" cy="477909"/>
                  </a:xfrm>
                  <a:prstGeom prst="rect">
                    <a:avLst/>
                  </a:prstGeom>
                </pic:spPr>
              </pic:pic>
            </a:graphicData>
          </a:graphic>
        </wp:inline>
      </w:drawing>
    </w:r>
    <w:r>
      <w:rPr>
        <w:noProof/>
        <w:lang w:val="en-US" w:eastAsia="en-US"/>
      </w:rPr>
      <w:drawing>
        <wp:inline distT="0" distB="0" distL="0" distR="0" wp14:anchorId="6CEADD60" wp14:editId="093BAEC7">
          <wp:extent cx="1860605" cy="405950"/>
          <wp:effectExtent l="0" t="0" r="635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08525" cy="460042"/>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61486"/>
    <w:multiLevelType w:val="multilevel"/>
    <w:tmpl w:val="24D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hyphenationZone w:val="28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FB"/>
    <w:rsid w:val="0000501C"/>
    <w:rsid w:val="000068AE"/>
    <w:rsid w:val="00015E36"/>
    <w:rsid w:val="00030215"/>
    <w:rsid w:val="000462B9"/>
    <w:rsid w:val="000509BD"/>
    <w:rsid w:val="00060B4C"/>
    <w:rsid w:val="000626EE"/>
    <w:rsid w:val="0007479D"/>
    <w:rsid w:val="00083FEF"/>
    <w:rsid w:val="00085B8B"/>
    <w:rsid w:val="000903BB"/>
    <w:rsid w:val="00091B76"/>
    <w:rsid w:val="000A2638"/>
    <w:rsid w:val="000A58CB"/>
    <w:rsid w:val="000A771D"/>
    <w:rsid w:val="000C0A30"/>
    <w:rsid w:val="000D0398"/>
    <w:rsid w:val="000F7DB5"/>
    <w:rsid w:val="00137F00"/>
    <w:rsid w:val="00167725"/>
    <w:rsid w:val="00167900"/>
    <w:rsid w:val="00184408"/>
    <w:rsid w:val="00194CA4"/>
    <w:rsid w:val="001C0C01"/>
    <w:rsid w:val="001C71FF"/>
    <w:rsid w:val="001E7F73"/>
    <w:rsid w:val="001F2D9D"/>
    <w:rsid w:val="00205671"/>
    <w:rsid w:val="00251ED6"/>
    <w:rsid w:val="00256312"/>
    <w:rsid w:val="002658B8"/>
    <w:rsid w:val="00276A19"/>
    <w:rsid w:val="00280E58"/>
    <w:rsid w:val="002B05E2"/>
    <w:rsid w:val="002B7691"/>
    <w:rsid w:val="002C1C43"/>
    <w:rsid w:val="002E5974"/>
    <w:rsid w:val="00306B6A"/>
    <w:rsid w:val="00320693"/>
    <w:rsid w:val="00343AB6"/>
    <w:rsid w:val="00346049"/>
    <w:rsid w:val="003628BB"/>
    <w:rsid w:val="00370FBE"/>
    <w:rsid w:val="00377454"/>
    <w:rsid w:val="003939D4"/>
    <w:rsid w:val="003963F6"/>
    <w:rsid w:val="003A453F"/>
    <w:rsid w:val="003C2B71"/>
    <w:rsid w:val="003D7213"/>
    <w:rsid w:val="003E0D73"/>
    <w:rsid w:val="003F03F9"/>
    <w:rsid w:val="0040099D"/>
    <w:rsid w:val="0040686A"/>
    <w:rsid w:val="00422989"/>
    <w:rsid w:val="00430FF5"/>
    <w:rsid w:val="004348F9"/>
    <w:rsid w:val="00457EA7"/>
    <w:rsid w:val="004653CC"/>
    <w:rsid w:val="00483F97"/>
    <w:rsid w:val="00487036"/>
    <w:rsid w:val="00496B07"/>
    <w:rsid w:val="004B25B8"/>
    <w:rsid w:val="004B4DA8"/>
    <w:rsid w:val="004C2DFB"/>
    <w:rsid w:val="004D2215"/>
    <w:rsid w:val="004F525E"/>
    <w:rsid w:val="00504954"/>
    <w:rsid w:val="005336A5"/>
    <w:rsid w:val="00556DFE"/>
    <w:rsid w:val="00584DA4"/>
    <w:rsid w:val="00591E94"/>
    <w:rsid w:val="005A2E54"/>
    <w:rsid w:val="005A46A2"/>
    <w:rsid w:val="005A49A6"/>
    <w:rsid w:val="005B4C52"/>
    <w:rsid w:val="005C18FB"/>
    <w:rsid w:val="005C22E7"/>
    <w:rsid w:val="005C636E"/>
    <w:rsid w:val="005D29FA"/>
    <w:rsid w:val="005E1D1F"/>
    <w:rsid w:val="005E32F9"/>
    <w:rsid w:val="00633B1A"/>
    <w:rsid w:val="006376ED"/>
    <w:rsid w:val="006400E9"/>
    <w:rsid w:val="00664CBA"/>
    <w:rsid w:val="006A1ED6"/>
    <w:rsid w:val="006A5724"/>
    <w:rsid w:val="006C719D"/>
    <w:rsid w:val="006D34B2"/>
    <w:rsid w:val="006D5382"/>
    <w:rsid w:val="006F6C3B"/>
    <w:rsid w:val="00706635"/>
    <w:rsid w:val="00710B32"/>
    <w:rsid w:val="0075149D"/>
    <w:rsid w:val="0075731B"/>
    <w:rsid w:val="00757802"/>
    <w:rsid w:val="00762A41"/>
    <w:rsid w:val="007662EE"/>
    <w:rsid w:val="00776C91"/>
    <w:rsid w:val="007B2A6E"/>
    <w:rsid w:val="007D2F7F"/>
    <w:rsid w:val="007D7C03"/>
    <w:rsid w:val="007F6591"/>
    <w:rsid w:val="0082685E"/>
    <w:rsid w:val="00830308"/>
    <w:rsid w:val="00894703"/>
    <w:rsid w:val="00897EB8"/>
    <w:rsid w:val="008A10A3"/>
    <w:rsid w:val="008B1463"/>
    <w:rsid w:val="008B5F62"/>
    <w:rsid w:val="0092262A"/>
    <w:rsid w:val="009403BA"/>
    <w:rsid w:val="00944E6E"/>
    <w:rsid w:val="00953B97"/>
    <w:rsid w:val="00965494"/>
    <w:rsid w:val="009B45A3"/>
    <w:rsid w:val="009C3C7C"/>
    <w:rsid w:val="009C61CF"/>
    <w:rsid w:val="00A00997"/>
    <w:rsid w:val="00A03072"/>
    <w:rsid w:val="00A048A6"/>
    <w:rsid w:val="00A16089"/>
    <w:rsid w:val="00A17B59"/>
    <w:rsid w:val="00A46D29"/>
    <w:rsid w:val="00A56AC6"/>
    <w:rsid w:val="00A977C7"/>
    <w:rsid w:val="00AA3778"/>
    <w:rsid w:val="00AB2E64"/>
    <w:rsid w:val="00AC5747"/>
    <w:rsid w:val="00AC60BD"/>
    <w:rsid w:val="00B118EC"/>
    <w:rsid w:val="00B4680B"/>
    <w:rsid w:val="00B64A28"/>
    <w:rsid w:val="00B67462"/>
    <w:rsid w:val="00B74B22"/>
    <w:rsid w:val="00BA56F2"/>
    <w:rsid w:val="00BC3803"/>
    <w:rsid w:val="00BD6BE3"/>
    <w:rsid w:val="00BE1A93"/>
    <w:rsid w:val="00C21D55"/>
    <w:rsid w:val="00C54891"/>
    <w:rsid w:val="00C60404"/>
    <w:rsid w:val="00C61A4B"/>
    <w:rsid w:val="00C628B0"/>
    <w:rsid w:val="00C9029D"/>
    <w:rsid w:val="00CA1CB5"/>
    <w:rsid w:val="00CA3432"/>
    <w:rsid w:val="00CD3D45"/>
    <w:rsid w:val="00CE6AA6"/>
    <w:rsid w:val="00D025DA"/>
    <w:rsid w:val="00D0578F"/>
    <w:rsid w:val="00D74CC8"/>
    <w:rsid w:val="00D74DE2"/>
    <w:rsid w:val="00D8190D"/>
    <w:rsid w:val="00D9100E"/>
    <w:rsid w:val="00D92195"/>
    <w:rsid w:val="00DB3ECD"/>
    <w:rsid w:val="00DC0A0B"/>
    <w:rsid w:val="00DC59C6"/>
    <w:rsid w:val="00DE142F"/>
    <w:rsid w:val="00DF35A1"/>
    <w:rsid w:val="00E07170"/>
    <w:rsid w:val="00E305EB"/>
    <w:rsid w:val="00E66A11"/>
    <w:rsid w:val="00E75223"/>
    <w:rsid w:val="00EA7D05"/>
    <w:rsid w:val="00EA7F09"/>
    <w:rsid w:val="00EB52CF"/>
    <w:rsid w:val="00ED0953"/>
    <w:rsid w:val="00EE7CB8"/>
    <w:rsid w:val="00EF62C4"/>
    <w:rsid w:val="00F0146E"/>
    <w:rsid w:val="00F330A8"/>
    <w:rsid w:val="00F36D64"/>
    <w:rsid w:val="00F460EF"/>
    <w:rsid w:val="00F475E5"/>
    <w:rsid w:val="00F52E65"/>
    <w:rsid w:val="00F64CE2"/>
    <w:rsid w:val="00F75034"/>
    <w:rsid w:val="00F917C1"/>
    <w:rsid w:val="00F96DE7"/>
    <w:rsid w:val="00F97EDB"/>
    <w:rsid w:val="00FA6852"/>
    <w:rsid w:val="00FE2BEC"/>
    <w:rsid w:val="00FE5C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D8B6"/>
  <w15:chartTrackingRefBased/>
  <w15:docId w15:val="{60073FC7-032F-4215-BB24-DE6073EB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it-IT"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FB"/>
    <w:pPr>
      <w:widowControl w:val="0"/>
      <w:wordWrap w:val="0"/>
      <w:autoSpaceDE w:val="0"/>
      <w:autoSpaceDN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8FB"/>
    <w:pPr>
      <w:tabs>
        <w:tab w:val="center" w:pos="4513"/>
        <w:tab w:val="right" w:pos="9026"/>
      </w:tabs>
      <w:snapToGrid w:val="0"/>
    </w:pPr>
  </w:style>
  <w:style w:type="character" w:customStyle="1" w:styleId="HeaderChar">
    <w:name w:val="Header Char"/>
    <w:basedOn w:val="DefaultParagraphFont"/>
    <w:link w:val="Header"/>
    <w:uiPriority w:val="99"/>
    <w:rsid w:val="005C18FB"/>
  </w:style>
  <w:style w:type="paragraph" w:styleId="Footer">
    <w:name w:val="footer"/>
    <w:basedOn w:val="Normal"/>
    <w:link w:val="FooterChar"/>
    <w:uiPriority w:val="99"/>
    <w:unhideWhenUsed/>
    <w:rsid w:val="005C18FB"/>
    <w:pPr>
      <w:tabs>
        <w:tab w:val="center" w:pos="4513"/>
        <w:tab w:val="right" w:pos="9026"/>
      </w:tabs>
      <w:snapToGrid w:val="0"/>
    </w:pPr>
  </w:style>
  <w:style w:type="character" w:customStyle="1" w:styleId="FooterChar">
    <w:name w:val="Footer Char"/>
    <w:basedOn w:val="DefaultParagraphFont"/>
    <w:link w:val="Footer"/>
    <w:uiPriority w:val="99"/>
    <w:rsid w:val="005C18FB"/>
  </w:style>
  <w:style w:type="character" w:styleId="Hyperlink">
    <w:name w:val="Hyperlink"/>
    <w:uiPriority w:val="99"/>
    <w:rsid w:val="00C21D55"/>
    <w:rPr>
      <w:color w:val="0000FF"/>
      <w:u w:val="single"/>
    </w:rPr>
  </w:style>
  <w:style w:type="paragraph" w:styleId="BalloonText">
    <w:name w:val="Balloon Text"/>
    <w:basedOn w:val="Normal"/>
    <w:link w:val="BalloonTextChar"/>
    <w:uiPriority w:val="99"/>
    <w:semiHidden/>
    <w:unhideWhenUsed/>
    <w:rsid w:val="00496B0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96B0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205671"/>
    <w:rPr>
      <w:sz w:val="16"/>
      <w:szCs w:val="16"/>
    </w:rPr>
  </w:style>
  <w:style w:type="paragraph" w:styleId="CommentText">
    <w:name w:val="annotation text"/>
    <w:basedOn w:val="Normal"/>
    <w:link w:val="CommentTextChar"/>
    <w:uiPriority w:val="99"/>
    <w:semiHidden/>
    <w:unhideWhenUsed/>
    <w:rsid w:val="00205671"/>
    <w:pPr>
      <w:spacing w:line="240" w:lineRule="auto"/>
    </w:pPr>
    <w:rPr>
      <w:szCs w:val="20"/>
    </w:rPr>
  </w:style>
  <w:style w:type="character" w:customStyle="1" w:styleId="CommentTextChar">
    <w:name w:val="Comment Text Char"/>
    <w:basedOn w:val="DefaultParagraphFont"/>
    <w:link w:val="CommentText"/>
    <w:uiPriority w:val="99"/>
    <w:semiHidden/>
    <w:rsid w:val="00205671"/>
    <w:rPr>
      <w:szCs w:val="20"/>
    </w:rPr>
  </w:style>
  <w:style w:type="character" w:customStyle="1" w:styleId="im">
    <w:name w:val="im"/>
    <w:basedOn w:val="DefaultParagraphFont"/>
    <w:rsid w:val="00EE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it/investors/eventi/ev-day-2021" TargetMode="External"/><Relationship Id="rId13" Type="http://schemas.openxmlformats.org/officeDocument/2006/relationships/hyperlink" Target="mailto:pierreolivier.salmon@stellantis.com" TargetMode="External"/><Relationship Id="rId3" Type="http://schemas.openxmlformats.org/officeDocument/2006/relationships/settings" Target="settings.xml"/><Relationship Id="rId7" Type="http://schemas.openxmlformats.org/officeDocument/2006/relationships/hyperlink" Target="https://www.stellantis.com/it" TargetMode="External"/><Relationship Id="rId12" Type="http://schemas.openxmlformats.org/officeDocument/2006/relationships/hyperlink" Target="mailto:ashin0@lgens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genso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stellantisnorthamerica.com/newsrelease.do?id=22922&amp;mid=77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1701</Words>
  <Characters>9701</Characters>
  <Application>Microsoft Office Word</Application>
  <DocSecurity>0</DocSecurity>
  <Lines>80</Lines>
  <Paragraphs>22</Paragraphs>
  <ScaleCrop>false</ScaleCrop>
  <HeadingPairs>
    <vt:vector size="6" baseType="variant">
      <vt:variant>
        <vt:lpstr>Title</vt:lpstr>
      </vt:variant>
      <vt:variant>
        <vt:i4>1</vt:i4>
      </vt:variant>
      <vt:variant>
        <vt:lpstr>Titolo</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신세민/ashin0/커뮤니케이션팀</dc:creator>
  <cp:keywords/>
  <dc:description/>
  <cp:lastModifiedBy>Connelly Kaileen (FCA)</cp:lastModifiedBy>
  <cp:revision>3</cp:revision>
  <cp:lastPrinted>2021-10-13T07:55:00Z</cp:lastPrinted>
  <dcterms:created xsi:type="dcterms:W3CDTF">2021-10-17T19:10:00Z</dcterms:created>
  <dcterms:modified xsi:type="dcterms:W3CDTF">2021-10-17T19:10:00Z</dcterms:modified>
</cp:coreProperties>
</file>