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A7F02" w14:textId="77777777" w:rsidR="007E16C6" w:rsidRDefault="007E16C6" w:rsidP="008B6C37">
      <w:pPr>
        <w:rPr>
          <w:rFonts w:asciiTheme="majorHAnsi" w:hAnsiTheme="majorHAnsi"/>
          <w:bCs/>
          <w:color w:val="243782" w:themeColor="text2"/>
          <w:szCs w:val="24"/>
        </w:rPr>
      </w:pPr>
    </w:p>
    <w:p w14:paraId="16095F82" w14:textId="5B49D378" w:rsidR="008B6C37" w:rsidRPr="008B6C37" w:rsidRDefault="0018351C" w:rsidP="008B6C37">
      <w:pPr>
        <w:rPr>
          <w:rFonts w:asciiTheme="majorHAnsi" w:hAnsiTheme="majorHAnsi"/>
          <w:bCs/>
          <w:color w:val="243782" w:themeColor="text2"/>
          <w:szCs w:val="24"/>
        </w:rPr>
      </w:pPr>
      <w:r w:rsidRPr="00C64511">
        <w:rPr>
          <w:rFonts w:ascii="Encode Sans SemiBold" w:hAnsi="Encode Sans SemiBold"/>
          <w:bCs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E76D2D" wp14:editId="0C540C53">
                <wp:simplePos x="0" y="0"/>
                <wp:positionH relativeFrom="margin">
                  <wp:posOffset>0</wp:posOffset>
                </wp:positionH>
                <wp:positionV relativeFrom="page">
                  <wp:posOffset>1524635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DED3" id="Freeform 27" o:spid="_x0000_s1026" style="position:absolute;margin-left:0;margin-top:120.05pt;width:33.85pt;height: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</w:p>
    <w:p w14:paraId="1AB06530" w14:textId="42CDD6D5" w:rsidR="00067C10" w:rsidRDefault="00067C10" w:rsidP="00067C10">
      <w:pPr>
        <w:jc w:val="center"/>
        <w:rPr>
          <w:rFonts w:ascii="Encode Sans SemiBold" w:hAnsi="Encode Sans SemiBold"/>
          <w:color w:val="243782" w:themeColor="text2"/>
          <w:szCs w:val="18"/>
        </w:rPr>
      </w:pPr>
      <w:r w:rsidRPr="00067C10">
        <w:rPr>
          <w:rFonts w:ascii="Encode Sans SemiBold" w:hAnsi="Encode Sans SemiBold"/>
          <w:color w:val="243782" w:themeColor="text2"/>
          <w:szCs w:val="18"/>
        </w:rPr>
        <w:t xml:space="preserve">Stellantis acquisisce First Investors </w:t>
      </w:r>
      <w:r w:rsidR="00463CFC">
        <w:rPr>
          <w:rFonts w:ascii="Encode Sans SemiBold" w:hAnsi="Encode Sans SemiBold"/>
          <w:color w:val="243782" w:themeColor="text2"/>
          <w:szCs w:val="18"/>
        </w:rPr>
        <w:t xml:space="preserve">Financial </w:t>
      </w:r>
      <w:r w:rsidRPr="00067C10">
        <w:rPr>
          <w:rFonts w:ascii="Encode Sans SemiBold" w:hAnsi="Encode Sans SemiBold"/>
          <w:color w:val="243782" w:themeColor="text2"/>
          <w:szCs w:val="18"/>
        </w:rPr>
        <w:t>Services Group come passaggio chiave per lo sviluppo di un'attività di servizi finanziari captive nel mercato statunitense</w:t>
      </w:r>
    </w:p>
    <w:p w14:paraId="4456C46E" w14:textId="77777777" w:rsidR="007E16C6" w:rsidRDefault="007E16C6" w:rsidP="00067C10">
      <w:pPr>
        <w:jc w:val="center"/>
        <w:rPr>
          <w:rFonts w:ascii="Encode Sans SemiBold" w:hAnsi="Encode Sans SemiBold"/>
          <w:color w:val="243782" w:themeColor="text2"/>
          <w:szCs w:val="18"/>
        </w:rPr>
      </w:pPr>
    </w:p>
    <w:p w14:paraId="107DB94B" w14:textId="6F25296A" w:rsidR="00067C10" w:rsidRPr="00751B25" w:rsidRDefault="00F76BDA" w:rsidP="002608B7">
      <w:pPr>
        <w:spacing w:after="0"/>
        <w:rPr>
          <w:rFonts w:ascii="Encode Sans ExpandedLight" w:hAnsi="Encode Sans ExpandedLight"/>
          <w:sz w:val="22"/>
          <w:szCs w:val="22"/>
        </w:rPr>
      </w:pPr>
      <w:r w:rsidRPr="00751B25">
        <w:rPr>
          <w:rFonts w:ascii="Encode Sans ExpandedLight" w:hAnsi="Encode Sans ExpandedLight"/>
          <w:sz w:val="22"/>
          <w:szCs w:val="22"/>
        </w:rPr>
        <w:t>AMSTE</w:t>
      </w:r>
      <w:r w:rsidR="00751B25" w:rsidRPr="00751B25">
        <w:rPr>
          <w:rFonts w:ascii="Encode Sans ExpandedLight" w:hAnsi="Encode Sans ExpandedLight"/>
          <w:sz w:val="22"/>
          <w:szCs w:val="22"/>
        </w:rPr>
        <w:t>R</w:t>
      </w:r>
      <w:r w:rsidRPr="00751B25">
        <w:rPr>
          <w:rFonts w:ascii="Encode Sans ExpandedLight" w:hAnsi="Encode Sans ExpandedLight"/>
          <w:sz w:val="22"/>
          <w:szCs w:val="22"/>
        </w:rPr>
        <w:t>DAM</w:t>
      </w:r>
      <w:r w:rsidR="00890C00" w:rsidRPr="00751B25">
        <w:rPr>
          <w:rFonts w:ascii="Encode Sans ExpandedLight" w:hAnsi="Encode Sans ExpandedLight"/>
          <w:sz w:val="22"/>
          <w:szCs w:val="22"/>
        </w:rPr>
        <w:t xml:space="preserve">, </w:t>
      </w:r>
      <w:r w:rsidRPr="00751B25">
        <w:rPr>
          <w:rFonts w:ascii="Encode Sans ExpandedLight" w:hAnsi="Encode Sans ExpandedLight"/>
          <w:sz w:val="22"/>
          <w:szCs w:val="22"/>
        </w:rPr>
        <w:t xml:space="preserve">1 Settembre 2021 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- </w:t>
      </w:r>
      <w:hyperlink r:id="rId8" w:history="1">
        <w:r w:rsidR="00067C10" w:rsidRPr="00751B25">
          <w:rPr>
            <w:rStyle w:val="Hyperlink"/>
            <w:rFonts w:ascii="Encode Sans ExpandedLight" w:hAnsi="Encode Sans ExpandedLight"/>
            <w:sz w:val="22"/>
            <w:szCs w:val="22"/>
          </w:rPr>
          <w:t>Stellantis N.V.</w:t>
        </w:r>
      </w:hyperlink>
      <w:r w:rsidR="00067C10" w:rsidRPr="00751B25">
        <w:rPr>
          <w:rFonts w:ascii="Encode Sans ExpandedLight" w:hAnsi="Encode Sans ExpandedLight"/>
          <w:sz w:val="22"/>
          <w:szCs w:val="22"/>
        </w:rPr>
        <w:t xml:space="preserve"> (NYSE / MTA / Euronext Paris: STLA) (</w:t>
      </w:r>
      <w:r w:rsidR="00742E5D" w:rsidRPr="00751B25">
        <w:rPr>
          <w:rFonts w:ascii="Encode Sans ExpandedLight" w:hAnsi="Encode Sans ExpandedLight"/>
          <w:sz w:val="22"/>
          <w:szCs w:val="22"/>
        </w:rPr>
        <w:t>“</w:t>
      </w:r>
      <w:r w:rsidR="00067C10" w:rsidRPr="00751B25">
        <w:rPr>
          <w:rFonts w:ascii="Encode Sans ExpandedLight" w:hAnsi="Encode Sans ExpandedLight"/>
          <w:sz w:val="22"/>
          <w:szCs w:val="22"/>
        </w:rPr>
        <w:t>Stellantis</w:t>
      </w:r>
      <w:r w:rsidR="00742E5D" w:rsidRPr="00751B25">
        <w:rPr>
          <w:rFonts w:ascii="Encode Sans ExpandedLight" w:hAnsi="Encode Sans ExpandedLight"/>
          <w:sz w:val="22"/>
          <w:szCs w:val="22"/>
        </w:rPr>
        <w:t>”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) ha annunciato oggi di aver stipulato un accordo definitivo per l’acquisizione di FIFS Holdings Corp., </w:t>
      </w:r>
      <w:r w:rsidR="00432055" w:rsidRPr="00751B25">
        <w:rPr>
          <w:rFonts w:ascii="Encode Sans ExpandedLight" w:hAnsi="Encode Sans ExpandedLight"/>
          <w:sz w:val="22"/>
          <w:szCs w:val="22"/>
        </w:rPr>
        <w:t>capofila</w:t>
      </w:r>
      <w:r w:rsidR="003B1471" w:rsidRPr="00751B25">
        <w:rPr>
          <w:rFonts w:ascii="Encode Sans ExpandedLight" w:hAnsi="Encode Sans ExpandedLight"/>
          <w:sz w:val="22"/>
          <w:szCs w:val="22"/>
        </w:rPr>
        <w:t xml:space="preserve"> </w:t>
      </w:r>
      <w:r w:rsidR="00067C10" w:rsidRPr="00751B25">
        <w:rPr>
          <w:rFonts w:ascii="Encode Sans ExpandedLight" w:hAnsi="Encode Sans ExpandedLight"/>
          <w:sz w:val="22"/>
          <w:szCs w:val="22"/>
        </w:rPr>
        <w:t>di First Investors Financial Services Group (</w:t>
      </w:r>
      <w:r w:rsidR="00742E5D" w:rsidRPr="00751B25">
        <w:rPr>
          <w:rFonts w:ascii="Encode Sans ExpandedLight" w:hAnsi="Encode Sans ExpandedLight"/>
          <w:sz w:val="22"/>
          <w:szCs w:val="22"/>
        </w:rPr>
        <w:t>“</w:t>
      </w:r>
      <w:r w:rsidR="00067C10" w:rsidRPr="00751B25">
        <w:rPr>
          <w:rFonts w:ascii="Encode Sans ExpandedLight" w:hAnsi="Encode Sans ExpandedLight"/>
          <w:sz w:val="22"/>
          <w:szCs w:val="22"/>
        </w:rPr>
        <w:t>First Investors</w:t>
      </w:r>
      <w:r w:rsidR="00742E5D" w:rsidRPr="00751B25">
        <w:rPr>
          <w:rFonts w:ascii="Encode Sans ExpandedLight" w:hAnsi="Encode Sans ExpandedLight"/>
          <w:sz w:val="22"/>
          <w:szCs w:val="22"/>
        </w:rPr>
        <w:t>”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, o la </w:t>
      </w:r>
      <w:r w:rsidR="00742E5D" w:rsidRPr="00751B25">
        <w:rPr>
          <w:rFonts w:ascii="Encode Sans ExpandedLight" w:hAnsi="Encode Sans ExpandedLight"/>
          <w:sz w:val="22"/>
          <w:szCs w:val="22"/>
        </w:rPr>
        <w:t>“</w:t>
      </w:r>
      <w:r w:rsidR="00067C10" w:rsidRPr="00751B25">
        <w:rPr>
          <w:rFonts w:ascii="Encode Sans ExpandedLight" w:hAnsi="Encode Sans ExpandedLight"/>
          <w:sz w:val="22"/>
          <w:szCs w:val="22"/>
        </w:rPr>
        <w:t>Società</w:t>
      </w:r>
      <w:r w:rsidR="00742E5D" w:rsidRPr="00751B25">
        <w:rPr>
          <w:rFonts w:ascii="Encode Sans ExpandedLight" w:hAnsi="Encode Sans ExpandedLight"/>
          <w:sz w:val="22"/>
          <w:szCs w:val="22"/>
        </w:rPr>
        <w:t>”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), società di finanziamento auto indipendente leader negli Stati Uniti d’America, </w:t>
      </w:r>
      <w:r w:rsidR="00432055" w:rsidRPr="00751B25">
        <w:rPr>
          <w:rFonts w:ascii="Encode Sans ExpandedLight" w:hAnsi="Encode Sans ExpandedLight"/>
          <w:sz w:val="22"/>
          <w:szCs w:val="22"/>
        </w:rPr>
        <w:t>con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 una transazione </w:t>
      </w:r>
      <w:r w:rsidR="00BC5384" w:rsidRPr="00751B25">
        <w:rPr>
          <w:rFonts w:ascii="Encode Sans ExpandedLight" w:hAnsi="Encode Sans ExpandedLight"/>
          <w:sz w:val="22"/>
          <w:szCs w:val="22"/>
        </w:rPr>
        <w:t xml:space="preserve">regolata 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interamente </w:t>
      </w:r>
      <w:r w:rsidR="00432055" w:rsidRPr="00751B25">
        <w:rPr>
          <w:rFonts w:ascii="Encode Sans ExpandedLight" w:hAnsi="Encode Sans ExpandedLight"/>
          <w:sz w:val="22"/>
          <w:szCs w:val="22"/>
        </w:rPr>
        <w:t xml:space="preserve">per 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 conta</w:t>
      </w:r>
      <w:r w:rsidR="00F32D39" w:rsidRPr="00751B25">
        <w:rPr>
          <w:rFonts w:ascii="Encode Sans ExpandedLight" w:hAnsi="Encode Sans ExpandedLight"/>
          <w:sz w:val="22"/>
          <w:szCs w:val="22"/>
        </w:rPr>
        <w:t>nti del valore di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 circa 285 milioni di dollari</w:t>
      </w:r>
      <w:r w:rsidR="003B1471" w:rsidRPr="00751B25">
        <w:rPr>
          <w:rFonts w:ascii="Encode Sans ExpandedLight" w:hAnsi="Encode Sans ExpandedLight"/>
          <w:sz w:val="22"/>
          <w:szCs w:val="22"/>
        </w:rPr>
        <w:t>,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 </w:t>
      </w:r>
      <w:r w:rsidR="00F32D39" w:rsidRPr="00751B25">
        <w:rPr>
          <w:rFonts w:ascii="Encode Sans ExpandedLight" w:hAnsi="Encode Sans ExpandedLight"/>
          <w:sz w:val="22"/>
          <w:szCs w:val="22"/>
        </w:rPr>
        <w:t>soggett</w:t>
      </w:r>
      <w:r w:rsidR="003B1471" w:rsidRPr="00751B25">
        <w:rPr>
          <w:rFonts w:ascii="Encode Sans ExpandedLight" w:hAnsi="Encode Sans ExpandedLight"/>
          <w:sz w:val="22"/>
          <w:szCs w:val="22"/>
        </w:rPr>
        <w:t>o</w:t>
      </w:r>
      <w:r w:rsidR="00F32D39" w:rsidRPr="00751B25">
        <w:rPr>
          <w:rFonts w:ascii="Encode Sans ExpandedLight" w:hAnsi="Encode Sans ExpandedLight"/>
          <w:sz w:val="22"/>
          <w:szCs w:val="22"/>
        </w:rPr>
        <w:t xml:space="preserve"> a rettific</w:t>
      </w:r>
      <w:r w:rsidR="003B1471" w:rsidRPr="00751B25">
        <w:rPr>
          <w:rFonts w:ascii="Encode Sans ExpandedLight" w:hAnsi="Encode Sans ExpandedLight"/>
          <w:sz w:val="22"/>
          <w:szCs w:val="22"/>
        </w:rPr>
        <w:t>a</w:t>
      </w:r>
      <w:r w:rsidR="00F32D39" w:rsidRPr="00751B25">
        <w:rPr>
          <w:rFonts w:ascii="Encode Sans ExpandedLight" w:hAnsi="Encode Sans ExpandedLight"/>
          <w:sz w:val="22"/>
          <w:szCs w:val="22"/>
        </w:rPr>
        <w:t xml:space="preserve"> </w:t>
      </w:r>
      <w:r w:rsidR="00432055" w:rsidRPr="00751B25">
        <w:rPr>
          <w:rFonts w:ascii="Encode Sans ExpandedLight" w:hAnsi="Encode Sans ExpandedLight"/>
          <w:sz w:val="22"/>
          <w:szCs w:val="22"/>
        </w:rPr>
        <w:t>legat</w:t>
      </w:r>
      <w:r w:rsidR="003B1471" w:rsidRPr="00751B25">
        <w:rPr>
          <w:rFonts w:ascii="Encode Sans ExpandedLight" w:hAnsi="Encode Sans ExpandedLight"/>
          <w:sz w:val="22"/>
          <w:szCs w:val="22"/>
        </w:rPr>
        <w:t>a</w:t>
      </w:r>
      <w:r w:rsidR="00432055" w:rsidRPr="00751B25">
        <w:rPr>
          <w:rFonts w:ascii="Encode Sans ExpandedLight" w:hAnsi="Encode Sans ExpandedLight"/>
          <w:sz w:val="22"/>
          <w:szCs w:val="22"/>
        </w:rPr>
        <w:t xml:space="preserve"> al</w:t>
      </w:r>
      <w:r w:rsidR="00BC5384" w:rsidRPr="00751B25">
        <w:rPr>
          <w:rFonts w:ascii="Encode Sans ExpandedLight" w:hAnsi="Encode Sans ExpandedLight"/>
          <w:sz w:val="22"/>
          <w:szCs w:val="22"/>
        </w:rPr>
        <w:t xml:space="preserve">la </w:t>
      </w:r>
      <w:r w:rsidR="00F32D39" w:rsidRPr="00751B25">
        <w:rPr>
          <w:rFonts w:ascii="Encode Sans ExpandedLight" w:hAnsi="Encode Sans ExpandedLight"/>
          <w:sz w:val="22"/>
          <w:szCs w:val="22"/>
        </w:rPr>
        <w:t>chiusura di bilancio e</w:t>
      </w:r>
      <w:r w:rsidR="00432055" w:rsidRPr="00751B25">
        <w:rPr>
          <w:rFonts w:ascii="Encode Sans ExpandedLight" w:hAnsi="Encode Sans ExpandedLight"/>
          <w:sz w:val="22"/>
          <w:szCs w:val="22"/>
        </w:rPr>
        <w:t>d</w:t>
      </w:r>
      <w:r w:rsidR="00F32D39" w:rsidRPr="00751B25">
        <w:rPr>
          <w:rFonts w:ascii="Encode Sans ExpandedLight" w:hAnsi="Encode Sans ExpandedLight"/>
          <w:sz w:val="22"/>
          <w:szCs w:val="22"/>
        </w:rPr>
        <w:t xml:space="preserve"> </w:t>
      </w:r>
      <w:r w:rsidR="00432055" w:rsidRPr="00751B25">
        <w:rPr>
          <w:rFonts w:ascii="Encode Sans ExpandedLight" w:hAnsi="Encode Sans ExpandedLight"/>
          <w:sz w:val="22"/>
          <w:szCs w:val="22"/>
        </w:rPr>
        <w:t>al</w:t>
      </w:r>
      <w:r w:rsidR="00BC5384" w:rsidRPr="00751B25">
        <w:rPr>
          <w:rFonts w:ascii="Encode Sans ExpandedLight" w:hAnsi="Encode Sans ExpandedLight"/>
          <w:sz w:val="22"/>
          <w:szCs w:val="22"/>
        </w:rPr>
        <w:t xml:space="preserve">l’esercizio di alcune </w:t>
      </w:r>
      <w:r w:rsidR="00F32D39" w:rsidRPr="00751B25">
        <w:rPr>
          <w:rFonts w:ascii="Encode Sans ExpandedLight" w:hAnsi="Encode Sans ExpandedLight"/>
          <w:sz w:val="22"/>
          <w:szCs w:val="22"/>
        </w:rPr>
        <w:t>opzioni</w:t>
      </w:r>
      <w:r w:rsidR="00067C10" w:rsidRPr="00751B25">
        <w:rPr>
          <w:rFonts w:ascii="Encode Sans ExpandedLight" w:hAnsi="Encode Sans ExpandedLight"/>
          <w:sz w:val="22"/>
          <w:szCs w:val="22"/>
        </w:rPr>
        <w:t>, da un gruppo di investitori guidato da Gallatin Point Capital LLC (</w:t>
      </w:r>
      <w:r w:rsidR="00742E5D" w:rsidRPr="00751B25">
        <w:rPr>
          <w:rFonts w:ascii="Encode Sans ExpandedLight" w:hAnsi="Encode Sans ExpandedLight"/>
          <w:sz w:val="22"/>
          <w:szCs w:val="22"/>
        </w:rPr>
        <w:t>“</w:t>
      </w:r>
      <w:r w:rsidR="00067C10" w:rsidRPr="00751B25">
        <w:rPr>
          <w:rFonts w:ascii="Encode Sans ExpandedLight" w:hAnsi="Encode Sans ExpandedLight"/>
          <w:sz w:val="22"/>
          <w:szCs w:val="22"/>
        </w:rPr>
        <w:t>Gallatin Point</w:t>
      </w:r>
      <w:r w:rsidR="00742E5D" w:rsidRPr="00751B25">
        <w:rPr>
          <w:rFonts w:ascii="Encode Sans ExpandedLight" w:hAnsi="Encode Sans ExpandedLight"/>
          <w:sz w:val="22"/>
          <w:szCs w:val="22"/>
        </w:rPr>
        <w:t>”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) </w:t>
      </w:r>
      <w:r w:rsidR="00432055" w:rsidRPr="00751B25">
        <w:rPr>
          <w:rFonts w:ascii="Encode Sans ExpandedLight" w:hAnsi="Encode Sans ExpandedLight"/>
          <w:sz w:val="22"/>
          <w:szCs w:val="22"/>
        </w:rPr>
        <w:t xml:space="preserve">che include </w:t>
      </w:r>
      <w:r w:rsidR="00067C10" w:rsidRPr="00751B25">
        <w:rPr>
          <w:rFonts w:ascii="Encode Sans ExpandedLight" w:hAnsi="Encode Sans ExpandedLight"/>
          <w:sz w:val="22"/>
          <w:szCs w:val="22"/>
        </w:rPr>
        <w:t>affiliate d</w:t>
      </w:r>
      <w:r w:rsidR="00E22368">
        <w:rPr>
          <w:rFonts w:ascii="Encode Sans ExpandedLight" w:hAnsi="Encode Sans ExpandedLight"/>
          <w:sz w:val="22"/>
          <w:szCs w:val="22"/>
        </w:rPr>
        <w:t>i Jacobs Asset Management, LLC.</w:t>
      </w:r>
    </w:p>
    <w:p w14:paraId="6750DFB6" w14:textId="77777777" w:rsidR="00890C00" w:rsidRPr="00751B25" w:rsidRDefault="00890C00" w:rsidP="002608B7">
      <w:pPr>
        <w:spacing w:after="0"/>
        <w:rPr>
          <w:rFonts w:ascii="Encode Sans ExpandedLight" w:hAnsi="Encode Sans ExpandedLight"/>
          <w:sz w:val="22"/>
          <w:szCs w:val="22"/>
        </w:rPr>
      </w:pPr>
    </w:p>
    <w:p w14:paraId="423A1A1C" w14:textId="7BDB5C3E" w:rsidR="00067C10" w:rsidRPr="00751B25" w:rsidRDefault="00067C10" w:rsidP="002608B7">
      <w:pPr>
        <w:spacing w:after="0"/>
        <w:rPr>
          <w:rFonts w:ascii="Encode Sans ExpandedLight" w:hAnsi="Encode Sans ExpandedLight"/>
          <w:sz w:val="22"/>
          <w:szCs w:val="22"/>
        </w:rPr>
      </w:pPr>
      <w:r w:rsidRPr="00751B25">
        <w:rPr>
          <w:rFonts w:ascii="Encode Sans ExpandedLight" w:hAnsi="Encode Sans ExpandedLight"/>
          <w:sz w:val="22"/>
          <w:szCs w:val="22"/>
        </w:rPr>
        <w:t xml:space="preserve">Carlos Tavares, CEO di Stellantis, ha dichiarato: </w:t>
      </w:r>
      <w:r w:rsidR="00742E5D" w:rsidRPr="00751B25">
        <w:rPr>
          <w:rFonts w:ascii="Encode Sans ExpandedLight" w:hAnsi="Encode Sans ExpandedLight"/>
          <w:sz w:val="22"/>
          <w:szCs w:val="22"/>
        </w:rPr>
        <w:t>“</w:t>
      </w:r>
      <w:r w:rsidRPr="00751B25">
        <w:rPr>
          <w:rFonts w:ascii="Encode Sans ExpandedLight" w:hAnsi="Encode Sans ExpandedLight"/>
          <w:sz w:val="22"/>
          <w:szCs w:val="22"/>
        </w:rPr>
        <w:t xml:space="preserve">Questa </w:t>
      </w:r>
      <w:r w:rsidR="00EF1EF1" w:rsidRPr="00751B25">
        <w:rPr>
          <w:rFonts w:ascii="Encode Sans ExpandedLight" w:hAnsi="Encode Sans ExpandedLight"/>
          <w:sz w:val="22"/>
          <w:szCs w:val="22"/>
        </w:rPr>
        <w:t>t</w:t>
      </w:r>
      <w:r w:rsidRPr="00751B25">
        <w:rPr>
          <w:rFonts w:ascii="Encode Sans ExpandedLight" w:hAnsi="Encode Sans ExpandedLight"/>
          <w:sz w:val="22"/>
          <w:szCs w:val="22"/>
        </w:rPr>
        <w:t xml:space="preserve">ransazione segna una pietra miliare nella strategia di finanziamento delle vendite di Stellantis </w:t>
      </w:r>
      <w:r w:rsidR="00BC5384" w:rsidRPr="00751B25">
        <w:rPr>
          <w:rFonts w:ascii="Encode Sans ExpandedLight" w:hAnsi="Encode Sans ExpandedLight"/>
          <w:sz w:val="22"/>
          <w:szCs w:val="22"/>
        </w:rPr>
        <w:t>in un</w:t>
      </w:r>
      <w:r w:rsidRPr="00751B25">
        <w:rPr>
          <w:rFonts w:ascii="Encode Sans ExpandedLight" w:hAnsi="Encode Sans ExpandedLight"/>
          <w:sz w:val="22"/>
          <w:szCs w:val="22"/>
        </w:rPr>
        <w:t xml:space="preserve"> mercato strategico </w:t>
      </w:r>
      <w:r w:rsidR="00BC5384" w:rsidRPr="00751B25">
        <w:rPr>
          <w:rFonts w:ascii="Encode Sans ExpandedLight" w:hAnsi="Encode Sans ExpandedLight"/>
          <w:sz w:val="22"/>
          <w:szCs w:val="22"/>
        </w:rPr>
        <w:t xml:space="preserve">come gli </w:t>
      </w:r>
      <w:r w:rsidRPr="00751B25">
        <w:rPr>
          <w:rFonts w:ascii="Encode Sans ExpandedLight" w:hAnsi="Encode Sans ExpandedLight"/>
          <w:sz w:val="22"/>
          <w:szCs w:val="22"/>
        </w:rPr>
        <w:t>Stati Uniti. First Investors ha un’eccezionale piattaforma finanziaria e operativa, sostenuta da un forte team di gestione, con una vasta esperienz</w:t>
      </w:r>
      <w:bookmarkStart w:id="0" w:name="_GoBack"/>
      <w:bookmarkEnd w:id="0"/>
      <w:r w:rsidRPr="00751B25">
        <w:rPr>
          <w:rFonts w:ascii="Encode Sans ExpandedLight" w:hAnsi="Encode Sans ExpandedLight"/>
          <w:sz w:val="22"/>
          <w:szCs w:val="22"/>
        </w:rPr>
        <w:t xml:space="preserve">a </w:t>
      </w:r>
      <w:r w:rsidR="00BC5384" w:rsidRPr="00751B25">
        <w:rPr>
          <w:rFonts w:ascii="Encode Sans ExpandedLight" w:hAnsi="Encode Sans ExpandedLight"/>
          <w:sz w:val="22"/>
          <w:szCs w:val="22"/>
        </w:rPr>
        <w:t xml:space="preserve">nel </w:t>
      </w:r>
      <w:r w:rsidRPr="00751B25">
        <w:rPr>
          <w:rFonts w:ascii="Encode Sans ExpandedLight" w:hAnsi="Encode Sans ExpandedLight"/>
          <w:sz w:val="22"/>
          <w:szCs w:val="22"/>
        </w:rPr>
        <w:t xml:space="preserve">campo </w:t>
      </w:r>
      <w:r w:rsidR="00EF1EF1" w:rsidRPr="00751B25">
        <w:rPr>
          <w:rFonts w:ascii="Encode Sans ExpandedLight" w:hAnsi="Encode Sans ExpandedLight"/>
          <w:sz w:val="22"/>
          <w:szCs w:val="22"/>
        </w:rPr>
        <w:t xml:space="preserve">del finanziamento </w:t>
      </w:r>
      <w:r w:rsidRPr="00751B25">
        <w:rPr>
          <w:rFonts w:ascii="Encode Sans ExpandedLight" w:hAnsi="Encode Sans ExpandedLight"/>
          <w:sz w:val="22"/>
          <w:szCs w:val="22"/>
        </w:rPr>
        <w:t>automobilistico. La proprietà di una società finanziaria negli Stati Uniti è un</w:t>
      </w:r>
      <w:r w:rsidR="00BC5384" w:rsidRPr="00751B25">
        <w:rPr>
          <w:rFonts w:ascii="Encode Sans ExpandedLight" w:hAnsi="Encode Sans ExpandedLight"/>
          <w:sz w:val="22"/>
          <w:szCs w:val="22"/>
        </w:rPr>
        <w:t>’</w:t>
      </w:r>
      <w:r w:rsidRPr="00751B25">
        <w:rPr>
          <w:rFonts w:ascii="Encode Sans ExpandedLight" w:hAnsi="Encode Sans ExpandedLight"/>
          <w:sz w:val="22"/>
          <w:szCs w:val="22"/>
        </w:rPr>
        <w:t xml:space="preserve">opportunità che permetterà a Stellantis di </w:t>
      </w:r>
      <w:r w:rsidR="00432055" w:rsidRPr="00751B25">
        <w:rPr>
          <w:rFonts w:ascii="Encode Sans ExpandedLight" w:hAnsi="Encode Sans ExpandedLight"/>
          <w:sz w:val="22"/>
          <w:szCs w:val="22"/>
        </w:rPr>
        <w:t xml:space="preserve">sviluppare nel breve-medio termine </w:t>
      </w:r>
      <w:r w:rsidR="00EF1EF1" w:rsidRPr="00751B25">
        <w:rPr>
          <w:rFonts w:ascii="Encode Sans ExpandedLight" w:hAnsi="Encode Sans ExpandedLight"/>
          <w:sz w:val="22"/>
          <w:szCs w:val="22"/>
        </w:rPr>
        <w:t xml:space="preserve">a favore dei nostri </w:t>
      </w:r>
      <w:r w:rsidR="00432055" w:rsidRPr="00751B25">
        <w:rPr>
          <w:rFonts w:ascii="Encode Sans ExpandedLight" w:hAnsi="Encode Sans ExpandedLight"/>
          <w:sz w:val="22"/>
          <w:szCs w:val="22"/>
        </w:rPr>
        <w:t xml:space="preserve">clienti e concessionari </w:t>
      </w:r>
      <w:r w:rsidRPr="00751B25">
        <w:rPr>
          <w:rFonts w:ascii="Encode Sans ExpandedLight" w:hAnsi="Encode Sans ExpandedLight"/>
          <w:sz w:val="22"/>
          <w:szCs w:val="22"/>
        </w:rPr>
        <w:t xml:space="preserve">una gamma completa di </w:t>
      </w:r>
      <w:r w:rsidR="00EF1EF1" w:rsidRPr="00751B25">
        <w:rPr>
          <w:rFonts w:ascii="Encode Sans ExpandedLight" w:hAnsi="Encode Sans ExpandedLight"/>
          <w:sz w:val="22"/>
          <w:szCs w:val="22"/>
        </w:rPr>
        <w:t>prodotti finanziari</w:t>
      </w:r>
      <w:r w:rsidRPr="00751B25">
        <w:rPr>
          <w:rFonts w:ascii="Encode Sans ExpandedLight" w:hAnsi="Encode Sans ExpandedLight"/>
          <w:sz w:val="22"/>
          <w:szCs w:val="22"/>
        </w:rPr>
        <w:t>, tra cui prestiti al dettaglio</w:t>
      </w:r>
      <w:r w:rsidR="00EF1EF1" w:rsidRPr="00751B25">
        <w:rPr>
          <w:rFonts w:ascii="Encode Sans ExpandedLight" w:hAnsi="Encode Sans ExpandedLight"/>
          <w:sz w:val="22"/>
          <w:szCs w:val="22"/>
        </w:rPr>
        <w:t xml:space="preserve"> e</w:t>
      </w:r>
      <w:r w:rsidRPr="00751B25">
        <w:rPr>
          <w:rFonts w:ascii="Encode Sans ExpandedLight" w:hAnsi="Encode Sans ExpandedLight"/>
          <w:sz w:val="22"/>
          <w:szCs w:val="22"/>
        </w:rPr>
        <w:t xml:space="preserve"> leasing</w:t>
      </w:r>
      <w:r w:rsidR="00EF1EF1" w:rsidRPr="00751B25">
        <w:rPr>
          <w:rFonts w:ascii="Encode Sans ExpandedLight" w:hAnsi="Encode Sans ExpandedLight"/>
          <w:sz w:val="22"/>
          <w:szCs w:val="22"/>
        </w:rPr>
        <w:t xml:space="preserve"> e finanziamenti alla rete</w:t>
      </w:r>
      <w:r w:rsidR="009D38E9" w:rsidRPr="00751B25">
        <w:rPr>
          <w:rFonts w:ascii="Encode Sans ExpandedLight" w:hAnsi="Encode Sans ExpandedLight"/>
          <w:sz w:val="22"/>
          <w:szCs w:val="22"/>
        </w:rPr>
        <w:t>.</w:t>
      </w:r>
      <w:r w:rsidRPr="00751B25">
        <w:rPr>
          <w:rFonts w:ascii="Encode Sans ExpandedLight" w:hAnsi="Encode Sans ExpandedLight"/>
          <w:sz w:val="22"/>
          <w:szCs w:val="22"/>
        </w:rPr>
        <w:t xml:space="preserve"> </w:t>
      </w:r>
      <w:r w:rsidR="00432055" w:rsidRPr="00751B25">
        <w:rPr>
          <w:rFonts w:ascii="Encode Sans ExpandedLight" w:hAnsi="Encode Sans ExpandedLight"/>
          <w:sz w:val="22"/>
          <w:szCs w:val="22"/>
        </w:rPr>
        <w:t xml:space="preserve"> </w:t>
      </w:r>
    </w:p>
    <w:p w14:paraId="2D945EEF" w14:textId="77777777" w:rsidR="002608B7" w:rsidRPr="00751B25" w:rsidRDefault="002608B7" w:rsidP="002608B7">
      <w:pPr>
        <w:spacing w:after="0"/>
        <w:rPr>
          <w:rFonts w:ascii="Encode Sans ExpandedLight" w:hAnsi="Encode Sans ExpandedLight"/>
          <w:sz w:val="22"/>
          <w:szCs w:val="22"/>
        </w:rPr>
      </w:pPr>
    </w:p>
    <w:p w14:paraId="4A086FED" w14:textId="7A85886E" w:rsidR="00067C10" w:rsidRPr="00751B25" w:rsidRDefault="00067C10" w:rsidP="002608B7">
      <w:pPr>
        <w:spacing w:after="0"/>
        <w:rPr>
          <w:rFonts w:ascii="Encode Sans ExpandedLight" w:hAnsi="Encode Sans ExpandedLight"/>
          <w:sz w:val="22"/>
          <w:szCs w:val="22"/>
        </w:rPr>
      </w:pPr>
      <w:r w:rsidRPr="00751B25">
        <w:rPr>
          <w:rFonts w:ascii="Encode Sans ExpandedLight" w:hAnsi="Encode Sans ExpandedLight"/>
          <w:sz w:val="22"/>
          <w:szCs w:val="22"/>
        </w:rPr>
        <w:t xml:space="preserve">L’obiettivo strategico di Stellantis è quello di creare una </w:t>
      </w:r>
      <w:r w:rsidR="00EF1EF1" w:rsidRPr="00751B25">
        <w:rPr>
          <w:rFonts w:ascii="Encode Sans ExpandedLight" w:hAnsi="Encode Sans ExpandedLight"/>
          <w:sz w:val="22"/>
          <w:szCs w:val="22"/>
        </w:rPr>
        <w:t xml:space="preserve">propria </w:t>
      </w:r>
      <w:r w:rsidRPr="00751B25">
        <w:rPr>
          <w:rFonts w:ascii="Encode Sans ExpandedLight" w:hAnsi="Encode Sans ExpandedLight"/>
          <w:sz w:val="22"/>
          <w:szCs w:val="22"/>
        </w:rPr>
        <w:t xml:space="preserve">società finanziaria negli Stati Uniti per sostenere le vendite e capitalizzare pienamente la sua forte posizione di mercato, creando al contempo un valore per </w:t>
      </w:r>
      <w:r w:rsidR="00E42798" w:rsidRPr="00751B25">
        <w:rPr>
          <w:rFonts w:ascii="Encode Sans ExpandedLight" w:hAnsi="Encode Sans ExpandedLight"/>
          <w:sz w:val="22"/>
          <w:szCs w:val="22"/>
        </w:rPr>
        <w:t xml:space="preserve">i propri </w:t>
      </w:r>
      <w:r w:rsidRPr="00751B25">
        <w:rPr>
          <w:rFonts w:ascii="Encode Sans ExpandedLight" w:hAnsi="Encode Sans ExpandedLight"/>
          <w:sz w:val="22"/>
          <w:szCs w:val="22"/>
        </w:rPr>
        <w:t>azionisti</w:t>
      </w:r>
      <w:r w:rsidR="00E42798" w:rsidRPr="00751B25">
        <w:rPr>
          <w:rFonts w:ascii="Encode Sans ExpandedLight" w:hAnsi="Encode Sans ExpandedLight"/>
          <w:sz w:val="22"/>
          <w:szCs w:val="22"/>
        </w:rPr>
        <w:t xml:space="preserve"> </w:t>
      </w:r>
      <w:r w:rsidR="00EF1EF1" w:rsidRPr="00751B25">
        <w:rPr>
          <w:rFonts w:ascii="Encode Sans ExpandedLight" w:hAnsi="Encode Sans ExpandedLight"/>
          <w:sz w:val="22"/>
          <w:szCs w:val="22"/>
        </w:rPr>
        <w:t>nel lungo termine</w:t>
      </w:r>
      <w:r w:rsidRPr="00751B25">
        <w:rPr>
          <w:rFonts w:ascii="Encode Sans ExpandedLight" w:hAnsi="Encode Sans ExpandedLight"/>
          <w:sz w:val="22"/>
          <w:szCs w:val="22"/>
        </w:rPr>
        <w:t xml:space="preserve">. L’acquisizione di First Investors permetterà a Stellantis di creare una piattaforma da cui far crescere un’organizzazione finanziaria </w:t>
      </w:r>
      <w:r w:rsidR="00BC40DA" w:rsidRPr="00751B25">
        <w:rPr>
          <w:rFonts w:ascii="Encode Sans ExpandedLight" w:hAnsi="Encode Sans ExpandedLight"/>
          <w:sz w:val="22"/>
          <w:szCs w:val="22"/>
        </w:rPr>
        <w:t>in grado di offrire una gamma di prodotti e servizi completa per la propria clientela.</w:t>
      </w:r>
      <w:r w:rsidRPr="00751B25">
        <w:rPr>
          <w:rFonts w:ascii="Encode Sans ExpandedLight" w:hAnsi="Encode Sans ExpandedLight"/>
          <w:sz w:val="22"/>
          <w:szCs w:val="22"/>
        </w:rPr>
        <w:t xml:space="preserve"> Stellantis è l’unico grande OEM che opera attualmente negli Stati Uniti senza una società finanziaria </w:t>
      </w:r>
      <w:r w:rsidR="00BC40DA" w:rsidRPr="00751B25">
        <w:rPr>
          <w:rFonts w:ascii="Encode Sans ExpandedLight" w:hAnsi="Encode Sans ExpandedLight"/>
          <w:sz w:val="22"/>
          <w:szCs w:val="22"/>
        </w:rPr>
        <w:t>di proprietà</w:t>
      </w:r>
      <w:r w:rsidRPr="00751B25">
        <w:rPr>
          <w:rFonts w:ascii="Encode Sans ExpandedLight" w:hAnsi="Encode Sans ExpandedLight"/>
          <w:sz w:val="22"/>
          <w:szCs w:val="22"/>
        </w:rPr>
        <w:t xml:space="preserve">. La transazione rappresenta un’importante opportunità strategica, con un potenziale significativo </w:t>
      </w:r>
      <w:r w:rsidR="00F8660E" w:rsidRPr="00751B25">
        <w:rPr>
          <w:rFonts w:ascii="Encode Sans ExpandedLight" w:hAnsi="Encode Sans ExpandedLight"/>
          <w:sz w:val="22"/>
          <w:szCs w:val="22"/>
        </w:rPr>
        <w:t xml:space="preserve">di incremento dei profitti </w:t>
      </w:r>
      <w:r w:rsidRPr="00751B25">
        <w:rPr>
          <w:rFonts w:ascii="Encode Sans ExpandedLight" w:hAnsi="Encode Sans ExpandedLight"/>
          <w:sz w:val="22"/>
          <w:szCs w:val="22"/>
        </w:rPr>
        <w:t>e</w:t>
      </w:r>
      <w:r w:rsidR="006D4D03" w:rsidRPr="00751B25">
        <w:rPr>
          <w:rFonts w:ascii="Encode Sans ExpandedLight" w:hAnsi="Encode Sans ExpandedLight"/>
          <w:sz w:val="22"/>
          <w:szCs w:val="22"/>
        </w:rPr>
        <w:t xml:space="preserve"> </w:t>
      </w:r>
      <w:r w:rsidR="004F6416" w:rsidRPr="00751B25">
        <w:rPr>
          <w:rFonts w:ascii="Encode Sans ExpandedLight" w:hAnsi="Encode Sans ExpandedLight"/>
          <w:sz w:val="22"/>
          <w:szCs w:val="22"/>
        </w:rPr>
        <w:t>fidelizzazione dei</w:t>
      </w:r>
      <w:r w:rsidRPr="00751B25">
        <w:rPr>
          <w:rFonts w:ascii="Encode Sans ExpandedLight" w:hAnsi="Encode Sans ExpandedLight"/>
          <w:sz w:val="22"/>
          <w:szCs w:val="22"/>
        </w:rPr>
        <w:t xml:space="preserve"> clienti. Una </w:t>
      </w:r>
      <w:r w:rsidR="004F6416" w:rsidRPr="00751B25">
        <w:rPr>
          <w:rFonts w:ascii="Encode Sans ExpandedLight" w:hAnsi="Encode Sans ExpandedLight"/>
          <w:sz w:val="22"/>
          <w:szCs w:val="22"/>
        </w:rPr>
        <w:t xml:space="preserve">propria </w:t>
      </w:r>
      <w:r w:rsidRPr="00751B25">
        <w:rPr>
          <w:rFonts w:ascii="Encode Sans ExpandedLight" w:hAnsi="Encode Sans ExpandedLight"/>
          <w:sz w:val="22"/>
          <w:szCs w:val="22"/>
        </w:rPr>
        <w:t xml:space="preserve">finanziaria </w:t>
      </w:r>
      <w:r w:rsidR="00237C75" w:rsidRPr="00751B25">
        <w:rPr>
          <w:rFonts w:ascii="Encode Sans ExpandedLight" w:hAnsi="Encode Sans ExpandedLight"/>
          <w:sz w:val="22"/>
          <w:szCs w:val="22"/>
        </w:rPr>
        <w:t xml:space="preserve">contribuisce a </w:t>
      </w:r>
      <w:r w:rsidRPr="00751B25">
        <w:rPr>
          <w:rFonts w:ascii="Encode Sans ExpandedLight" w:hAnsi="Encode Sans ExpandedLight"/>
          <w:sz w:val="22"/>
          <w:szCs w:val="22"/>
        </w:rPr>
        <w:t>miglior</w:t>
      </w:r>
      <w:r w:rsidR="00237C75" w:rsidRPr="00751B25">
        <w:rPr>
          <w:rFonts w:ascii="Encode Sans ExpandedLight" w:hAnsi="Encode Sans ExpandedLight"/>
          <w:sz w:val="22"/>
          <w:szCs w:val="22"/>
        </w:rPr>
        <w:t>are in maniera significativa</w:t>
      </w:r>
      <w:r w:rsidR="00237C75" w:rsidRPr="00751B25" w:rsidDel="00237C75">
        <w:rPr>
          <w:rFonts w:ascii="Encode Sans ExpandedLight" w:hAnsi="Encode Sans ExpandedLight"/>
          <w:sz w:val="22"/>
          <w:szCs w:val="22"/>
        </w:rPr>
        <w:t xml:space="preserve"> </w:t>
      </w:r>
      <w:r w:rsidRPr="00751B25">
        <w:rPr>
          <w:rFonts w:ascii="Encode Sans ExpandedLight" w:hAnsi="Encode Sans ExpandedLight"/>
          <w:sz w:val="22"/>
          <w:szCs w:val="22"/>
        </w:rPr>
        <w:t xml:space="preserve">l’esperienza </w:t>
      </w:r>
      <w:r w:rsidR="004F6416" w:rsidRPr="00751B25">
        <w:rPr>
          <w:rFonts w:ascii="Encode Sans ExpandedLight" w:hAnsi="Encode Sans ExpandedLight"/>
          <w:sz w:val="22"/>
          <w:szCs w:val="22"/>
        </w:rPr>
        <w:t>legata alla proprietà</w:t>
      </w:r>
      <w:r w:rsidRPr="00751B25">
        <w:rPr>
          <w:rFonts w:ascii="Encode Sans ExpandedLight" w:hAnsi="Encode Sans ExpandedLight"/>
          <w:sz w:val="22"/>
          <w:szCs w:val="22"/>
        </w:rPr>
        <w:t xml:space="preserve"> </w:t>
      </w:r>
      <w:r w:rsidR="004F6416" w:rsidRPr="00751B25">
        <w:rPr>
          <w:rFonts w:ascii="Encode Sans ExpandedLight" w:hAnsi="Encode Sans ExpandedLight"/>
          <w:sz w:val="22"/>
          <w:szCs w:val="22"/>
        </w:rPr>
        <w:t>della vettura e</w:t>
      </w:r>
      <w:r w:rsidR="0083372E" w:rsidRPr="00751B25">
        <w:rPr>
          <w:rFonts w:ascii="Encode Sans ExpandedLight" w:hAnsi="Encode Sans ExpandedLight"/>
          <w:sz w:val="22"/>
          <w:szCs w:val="22"/>
        </w:rPr>
        <w:t xml:space="preserve">d </w:t>
      </w:r>
      <w:r w:rsidR="004F6416" w:rsidRPr="00751B25">
        <w:rPr>
          <w:rFonts w:ascii="Encode Sans ExpandedLight" w:hAnsi="Encode Sans ExpandedLight"/>
          <w:sz w:val="22"/>
          <w:szCs w:val="22"/>
        </w:rPr>
        <w:t>a</w:t>
      </w:r>
      <w:r w:rsidR="0083372E" w:rsidRPr="00751B25">
        <w:rPr>
          <w:rFonts w:ascii="Encode Sans ExpandedLight" w:hAnsi="Encode Sans ExpandedLight"/>
          <w:sz w:val="22"/>
          <w:szCs w:val="22"/>
        </w:rPr>
        <w:t xml:space="preserve">i servizi di </w:t>
      </w:r>
      <w:r w:rsidRPr="00751B25">
        <w:rPr>
          <w:rFonts w:ascii="Encode Sans ExpandedLight" w:hAnsi="Encode Sans ExpandedLight"/>
          <w:sz w:val="22"/>
          <w:szCs w:val="22"/>
        </w:rPr>
        <w:t xml:space="preserve">connettività nell’era </w:t>
      </w:r>
      <w:r w:rsidR="004F6416" w:rsidRPr="00751B25">
        <w:rPr>
          <w:rFonts w:ascii="Encode Sans ExpandedLight" w:hAnsi="Encode Sans ExpandedLight"/>
          <w:sz w:val="22"/>
          <w:szCs w:val="22"/>
        </w:rPr>
        <w:t>digitale</w:t>
      </w:r>
      <w:r w:rsidRPr="00751B25">
        <w:rPr>
          <w:rFonts w:ascii="Encode Sans ExpandedLight" w:hAnsi="Encode Sans ExpandedLight"/>
          <w:sz w:val="22"/>
          <w:szCs w:val="22"/>
        </w:rPr>
        <w:t xml:space="preserve"> per i clienti che acquistano i suoi </w:t>
      </w:r>
      <w:r w:rsidR="0083372E" w:rsidRPr="00751B25">
        <w:rPr>
          <w:rFonts w:ascii="Encode Sans ExpandedLight" w:hAnsi="Encode Sans ExpandedLight"/>
          <w:sz w:val="22"/>
          <w:szCs w:val="22"/>
        </w:rPr>
        <w:t>pluri-</w:t>
      </w:r>
      <w:r w:rsidRPr="00751B25">
        <w:rPr>
          <w:rFonts w:ascii="Encode Sans ExpandedLight" w:hAnsi="Encode Sans ExpandedLight"/>
          <w:sz w:val="22"/>
          <w:szCs w:val="22"/>
        </w:rPr>
        <w:t>premiati</w:t>
      </w:r>
      <w:r w:rsidR="0083372E" w:rsidRPr="00751B25">
        <w:rPr>
          <w:rFonts w:ascii="Encode Sans ExpandedLight" w:hAnsi="Encode Sans ExpandedLight"/>
          <w:sz w:val="22"/>
          <w:szCs w:val="22"/>
        </w:rPr>
        <w:t xml:space="preserve"> </w:t>
      </w:r>
      <w:r w:rsidRPr="00751B25">
        <w:rPr>
          <w:rFonts w:ascii="Encode Sans ExpandedLight" w:hAnsi="Encode Sans ExpandedLight"/>
          <w:sz w:val="22"/>
          <w:szCs w:val="22"/>
        </w:rPr>
        <w:t>veicoli Jeep®, Ram, Dodge, Chrysler, Fiat e Alfa Romeo</w:t>
      </w:r>
      <w:r w:rsidR="00E42798" w:rsidRPr="00751B25">
        <w:rPr>
          <w:rFonts w:ascii="Encode Sans ExpandedLight" w:hAnsi="Encode Sans ExpandedLight"/>
          <w:sz w:val="22"/>
          <w:szCs w:val="22"/>
        </w:rPr>
        <w:t>;</w:t>
      </w:r>
      <w:r w:rsidR="004F6416" w:rsidRPr="00751B25">
        <w:rPr>
          <w:rFonts w:ascii="Encode Sans ExpandedLight" w:hAnsi="Encode Sans ExpandedLight"/>
          <w:sz w:val="22"/>
          <w:szCs w:val="22"/>
        </w:rPr>
        <w:t xml:space="preserve"> </w:t>
      </w:r>
      <w:r w:rsidR="00E42798" w:rsidRPr="00751B25">
        <w:rPr>
          <w:rFonts w:ascii="Encode Sans ExpandedLight" w:hAnsi="Encode Sans ExpandedLight"/>
          <w:sz w:val="22"/>
          <w:szCs w:val="22"/>
        </w:rPr>
        <w:t>o</w:t>
      </w:r>
      <w:r w:rsidR="004F6416" w:rsidRPr="00751B25">
        <w:rPr>
          <w:rFonts w:ascii="Encode Sans ExpandedLight" w:hAnsi="Encode Sans ExpandedLight"/>
          <w:sz w:val="22"/>
          <w:szCs w:val="22"/>
        </w:rPr>
        <w:t xml:space="preserve">ffrirà inoltre a Stellantis </w:t>
      </w:r>
      <w:r w:rsidR="0083372E" w:rsidRPr="00751B25">
        <w:rPr>
          <w:rFonts w:ascii="Encode Sans ExpandedLight" w:hAnsi="Encode Sans ExpandedLight"/>
          <w:sz w:val="22"/>
          <w:szCs w:val="22"/>
        </w:rPr>
        <w:t xml:space="preserve">future </w:t>
      </w:r>
      <w:r w:rsidRPr="00751B25">
        <w:rPr>
          <w:rFonts w:ascii="Encode Sans ExpandedLight" w:hAnsi="Encode Sans ExpandedLight"/>
          <w:sz w:val="22"/>
          <w:szCs w:val="22"/>
        </w:rPr>
        <w:t xml:space="preserve">opportunità </w:t>
      </w:r>
      <w:r w:rsidR="0083372E" w:rsidRPr="00751B25">
        <w:rPr>
          <w:rFonts w:ascii="Encode Sans ExpandedLight" w:hAnsi="Encode Sans ExpandedLight"/>
          <w:sz w:val="22"/>
          <w:szCs w:val="22"/>
        </w:rPr>
        <w:t>di sviluppo di nuove</w:t>
      </w:r>
      <w:r w:rsidRPr="00751B25">
        <w:rPr>
          <w:rFonts w:ascii="Encode Sans ExpandedLight" w:hAnsi="Encode Sans ExpandedLight"/>
          <w:sz w:val="22"/>
          <w:szCs w:val="22"/>
        </w:rPr>
        <w:t xml:space="preserve"> strategie di business.</w:t>
      </w:r>
    </w:p>
    <w:p w14:paraId="300AC62D" w14:textId="77777777" w:rsidR="002608B7" w:rsidRPr="00751B25" w:rsidRDefault="002608B7" w:rsidP="002608B7">
      <w:pPr>
        <w:spacing w:after="0"/>
        <w:rPr>
          <w:rFonts w:ascii="Encode Sans ExpandedLight" w:hAnsi="Encode Sans ExpandedLight"/>
          <w:sz w:val="22"/>
          <w:szCs w:val="22"/>
        </w:rPr>
      </w:pPr>
    </w:p>
    <w:p w14:paraId="40BAA313" w14:textId="172B51E8" w:rsidR="00067C10" w:rsidRPr="00751B25" w:rsidRDefault="002608B7" w:rsidP="002608B7">
      <w:pPr>
        <w:spacing w:after="0"/>
        <w:rPr>
          <w:rFonts w:ascii="Encode Sans ExpandedLight" w:hAnsi="Encode Sans ExpandedLight"/>
          <w:sz w:val="22"/>
          <w:szCs w:val="22"/>
        </w:rPr>
      </w:pPr>
      <w:r w:rsidRPr="00751B25">
        <w:rPr>
          <w:rFonts w:ascii="Encode Sans ExpandedLight" w:hAnsi="Encode Sans ExpandedLight"/>
          <w:sz w:val="22"/>
          <w:szCs w:val="22"/>
        </w:rPr>
        <w:t>Tommy Moore, Jr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, Presidente e CEO di First Investors, ha osservato: </w:t>
      </w:r>
      <w:r w:rsidR="00742E5D" w:rsidRPr="00751B25">
        <w:rPr>
          <w:rFonts w:ascii="Encode Sans ExpandedLight" w:hAnsi="Encode Sans ExpandedLight"/>
          <w:sz w:val="22"/>
          <w:szCs w:val="22"/>
        </w:rPr>
        <w:t>“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Siamo entusiasti di unirci al team di Stellantis. Entrare a far parte di Stellantis fornisce una stabilità </w:t>
      </w:r>
      <w:r w:rsidR="00A017B8" w:rsidRPr="00751B25">
        <w:rPr>
          <w:rFonts w:ascii="Encode Sans ExpandedLight" w:hAnsi="Encode Sans ExpandedLight"/>
          <w:sz w:val="22"/>
          <w:szCs w:val="22"/>
        </w:rPr>
        <w:t>di lungo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 termine per la nostra azienda e</w:t>
      </w:r>
      <w:r w:rsidR="0083372E" w:rsidRPr="00751B25">
        <w:rPr>
          <w:rFonts w:ascii="Encode Sans ExpandedLight" w:hAnsi="Encode Sans ExpandedLight"/>
          <w:sz w:val="22"/>
          <w:szCs w:val="22"/>
        </w:rPr>
        <w:t>d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 i nostri dipendenti. Crediamo </w:t>
      </w:r>
      <w:r w:rsidR="00A017B8" w:rsidRPr="00751B25">
        <w:rPr>
          <w:rFonts w:ascii="Encode Sans ExpandedLight" w:hAnsi="Encode Sans ExpandedLight"/>
          <w:sz w:val="22"/>
          <w:szCs w:val="22"/>
        </w:rPr>
        <w:t>che sotto</w:t>
      </w:r>
      <w:r w:rsidR="0083372E" w:rsidRPr="00751B25">
        <w:rPr>
          <w:rFonts w:ascii="Encode Sans ExpandedLight" w:hAnsi="Encode Sans ExpandedLight"/>
          <w:sz w:val="22"/>
          <w:szCs w:val="22"/>
        </w:rPr>
        <w:t xml:space="preserve"> la </w:t>
      </w:r>
      <w:r w:rsidR="00A017B8" w:rsidRPr="00751B25">
        <w:rPr>
          <w:rFonts w:ascii="Encode Sans ExpandedLight" w:hAnsi="Encode Sans ExpandedLight"/>
          <w:sz w:val="22"/>
          <w:szCs w:val="22"/>
        </w:rPr>
        <w:t xml:space="preserve">nuova </w:t>
      </w:r>
      <w:r w:rsidR="0083372E" w:rsidRPr="00751B25">
        <w:rPr>
          <w:rFonts w:ascii="Encode Sans ExpandedLight" w:hAnsi="Encode Sans ExpandedLight"/>
          <w:sz w:val="22"/>
          <w:szCs w:val="22"/>
        </w:rPr>
        <w:t>proprietà</w:t>
      </w:r>
      <w:r w:rsidR="00A017B8" w:rsidRPr="00751B25">
        <w:rPr>
          <w:rFonts w:ascii="Encode Sans ExpandedLight" w:hAnsi="Encode Sans ExpandedLight"/>
          <w:sz w:val="22"/>
          <w:szCs w:val="22"/>
        </w:rPr>
        <w:t>,</w:t>
      </w:r>
      <w:r w:rsidR="0083372E" w:rsidRPr="00751B25">
        <w:rPr>
          <w:rFonts w:ascii="Encode Sans ExpandedLight" w:hAnsi="Encode Sans ExpandedLight"/>
          <w:sz w:val="22"/>
          <w:szCs w:val="22"/>
        </w:rPr>
        <w:t xml:space="preserve"> </w:t>
      </w:r>
      <w:r w:rsidR="00067C10" w:rsidRPr="00751B25">
        <w:rPr>
          <w:rFonts w:ascii="Encode Sans ExpandedLight" w:hAnsi="Encode Sans ExpandedLight"/>
          <w:sz w:val="22"/>
          <w:szCs w:val="22"/>
        </w:rPr>
        <w:t>ci siano significative opportunità di crescita per First Investors</w:t>
      </w:r>
      <w:r w:rsidR="00E42798" w:rsidRPr="00751B25">
        <w:rPr>
          <w:rFonts w:ascii="Encode Sans ExpandedLight" w:hAnsi="Encode Sans ExpandedLight"/>
          <w:sz w:val="22"/>
          <w:szCs w:val="22"/>
        </w:rPr>
        <w:t>,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 </w:t>
      </w:r>
      <w:r w:rsidR="0083372E" w:rsidRPr="00751B25">
        <w:rPr>
          <w:rFonts w:ascii="Encode Sans ExpandedLight" w:hAnsi="Encode Sans ExpandedLight"/>
          <w:sz w:val="22"/>
          <w:szCs w:val="22"/>
        </w:rPr>
        <w:t xml:space="preserve">espandendo 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la nostra </w:t>
      </w:r>
      <w:r w:rsidR="0083372E" w:rsidRPr="00751B25">
        <w:rPr>
          <w:rFonts w:ascii="Encode Sans ExpandedLight" w:hAnsi="Encode Sans ExpandedLight"/>
          <w:sz w:val="22"/>
          <w:szCs w:val="22"/>
        </w:rPr>
        <w:t xml:space="preserve">offerta 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di prodotti per sostenere la crescita delle vendite di auto di Stellantis. Il team di gestione di First Investors è pienamente impegnato a garantire un’integrazione rapida e fluida </w:t>
      </w:r>
      <w:r w:rsidR="00A017B8" w:rsidRPr="00751B25">
        <w:rPr>
          <w:rFonts w:ascii="Encode Sans ExpandedLight" w:hAnsi="Encode Sans ExpandedLight"/>
          <w:sz w:val="22"/>
          <w:szCs w:val="22"/>
        </w:rPr>
        <w:t>nel Gruppo</w:t>
      </w:r>
      <w:r w:rsidR="00067C10" w:rsidRPr="00751B25">
        <w:rPr>
          <w:rFonts w:ascii="Encode Sans ExpandedLight" w:hAnsi="Encode Sans ExpandedLight"/>
          <w:sz w:val="22"/>
          <w:szCs w:val="22"/>
        </w:rPr>
        <w:t>. Nel frattempo, manteniamo l’impegno a continuare ad offrire i nostri prestiti e servizi alla nostra rete di concessionari e</w:t>
      </w:r>
      <w:r w:rsidR="00F65B30" w:rsidRPr="00751B25">
        <w:rPr>
          <w:rFonts w:ascii="Encode Sans ExpandedLight" w:hAnsi="Encode Sans ExpandedLight"/>
          <w:sz w:val="22"/>
          <w:szCs w:val="22"/>
        </w:rPr>
        <w:t>d</w:t>
      </w:r>
      <w:r w:rsidR="00067C10" w:rsidRPr="00751B25">
        <w:rPr>
          <w:rFonts w:ascii="Encode Sans ExpandedLight" w:hAnsi="Encode Sans ExpandedLight"/>
          <w:sz w:val="22"/>
          <w:szCs w:val="22"/>
        </w:rPr>
        <w:t xml:space="preserve"> </w:t>
      </w:r>
      <w:r w:rsidR="00F65B30" w:rsidRPr="00751B25">
        <w:rPr>
          <w:rFonts w:ascii="Encode Sans ExpandedLight" w:hAnsi="Encode Sans ExpandedLight"/>
          <w:sz w:val="22"/>
          <w:szCs w:val="22"/>
        </w:rPr>
        <w:t>a</w:t>
      </w:r>
      <w:r w:rsidR="00067C10" w:rsidRPr="00751B25">
        <w:rPr>
          <w:rFonts w:ascii="Encode Sans ExpandedLight" w:hAnsi="Encode Sans ExpandedLight"/>
          <w:sz w:val="22"/>
          <w:szCs w:val="22"/>
        </w:rPr>
        <w:t>gli attuali partner commerciali</w:t>
      </w:r>
      <w:r w:rsidR="00742E5D" w:rsidRPr="00751B25">
        <w:rPr>
          <w:rFonts w:ascii="Encode Sans ExpandedLight" w:hAnsi="Encode Sans ExpandedLight"/>
          <w:sz w:val="22"/>
          <w:szCs w:val="22"/>
        </w:rPr>
        <w:t>”</w:t>
      </w:r>
      <w:r w:rsidR="00067C10" w:rsidRPr="00751B25">
        <w:rPr>
          <w:rFonts w:ascii="Encode Sans ExpandedLight" w:hAnsi="Encode Sans ExpandedLight"/>
          <w:sz w:val="22"/>
          <w:szCs w:val="22"/>
        </w:rPr>
        <w:t>.</w:t>
      </w:r>
    </w:p>
    <w:p w14:paraId="5FCA4288" w14:textId="77777777" w:rsidR="002608B7" w:rsidRPr="00751B25" w:rsidRDefault="002608B7" w:rsidP="002608B7">
      <w:pPr>
        <w:spacing w:after="0"/>
        <w:rPr>
          <w:rFonts w:ascii="Encode Sans ExpandedLight" w:hAnsi="Encode Sans ExpandedLight"/>
          <w:sz w:val="22"/>
          <w:szCs w:val="22"/>
        </w:rPr>
      </w:pPr>
    </w:p>
    <w:p w14:paraId="530EF0C9" w14:textId="0754496F" w:rsidR="00067C10" w:rsidRPr="00751B25" w:rsidRDefault="00067C10" w:rsidP="002608B7">
      <w:pPr>
        <w:spacing w:after="0"/>
        <w:rPr>
          <w:rFonts w:ascii="Encode Sans ExpandedLight" w:hAnsi="Encode Sans ExpandedLight"/>
          <w:sz w:val="22"/>
          <w:szCs w:val="22"/>
        </w:rPr>
      </w:pPr>
      <w:r w:rsidRPr="00751B25">
        <w:rPr>
          <w:rFonts w:ascii="Encode Sans ExpandedLight" w:hAnsi="Encode Sans ExpandedLight"/>
          <w:sz w:val="22"/>
          <w:szCs w:val="22"/>
        </w:rPr>
        <w:t xml:space="preserve">La Transazione dovrebbe </w:t>
      </w:r>
      <w:r w:rsidR="00F65B30" w:rsidRPr="00751B25">
        <w:rPr>
          <w:rFonts w:ascii="Encode Sans ExpandedLight" w:hAnsi="Encode Sans ExpandedLight"/>
          <w:sz w:val="22"/>
          <w:szCs w:val="22"/>
        </w:rPr>
        <w:t xml:space="preserve">finalizzarsi </w:t>
      </w:r>
      <w:r w:rsidRPr="00751B25">
        <w:rPr>
          <w:rFonts w:ascii="Encode Sans ExpandedLight" w:hAnsi="Encode Sans ExpandedLight"/>
          <w:sz w:val="22"/>
          <w:szCs w:val="22"/>
        </w:rPr>
        <w:t>entro la fine del 2021 ed è soggetta alle abitua</w:t>
      </w:r>
      <w:r w:rsidR="00463CFC" w:rsidRPr="00751B25">
        <w:rPr>
          <w:rFonts w:ascii="Encode Sans ExpandedLight" w:hAnsi="Encode Sans ExpandedLight"/>
          <w:sz w:val="22"/>
          <w:szCs w:val="22"/>
        </w:rPr>
        <w:t>li condizioni e</w:t>
      </w:r>
      <w:r w:rsidR="00F65B30" w:rsidRPr="00751B25">
        <w:rPr>
          <w:rFonts w:ascii="Encode Sans ExpandedLight" w:hAnsi="Encode Sans ExpandedLight"/>
          <w:sz w:val="22"/>
          <w:szCs w:val="22"/>
        </w:rPr>
        <w:t>d</w:t>
      </w:r>
      <w:r w:rsidR="00463CFC" w:rsidRPr="00751B25">
        <w:rPr>
          <w:rFonts w:ascii="Encode Sans ExpandedLight" w:hAnsi="Encode Sans ExpandedLight"/>
          <w:sz w:val="22"/>
          <w:szCs w:val="22"/>
        </w:rPr>
        <w:t xml:space="preserve"> approvazioni normative</w:t>
      </w:r>
      <w:r w:rsidRPr="00751B25">
        <w:rPr>
          <w:rFonts w:ascii="Encode Sans ExpandedLight" w:hAnsi="Encode Sans ExpandedLight"/>
          <w:sz w:val="22"/>
          <w:szCs w:val="22"/>
        </w:rPr>
        <w:t>.</w:t>
      </w:r>
    </w:p>
    <w:p w14:paraId="6D6747D3" w14:textId="77777777" w:rsidR="002608B7" w:rsidRPr="00751B25" w:rsidRDefault="002608B7" w:rsidP="002608B7">
      <w:pPr>
        <w:spacing w:after="0"/>
        <w:rPr>
          <w:rFonts w:ascii="Encode Sans ExpandedLight" w:hAnsi="Encode Sans ExpandedLight"/>
          <w:sz w:val="22"/>
          <w:szCs w:val="22"/>
        </w:rPr>
      </w:pPr>
    </w:p>
    <w:p w14:paraId="7F382389" w14:textId="43EDC057" w:rsidR="00067C10" w:rsidRPr="00751B25" w:rsidRDefault="00067C10" w:rsidP="002608B7">
      <w:pPr>
        <w:spacing w:after="0"/>
        <w:rPr>
          <w:rFonts w:ascii="Encode Sans ExpandedLight" w:hAnsi="Encode Sans ExpandedLight"/>
          <w:sz w:val="22"/>
          <w:szCs w:val="22"/>
        </w:rPr>
      </w:pPr>
      <w:r w:rsidRPr="00751B25">
        <w:rPr>
          <w:rFonts w:ascii="Encode Sans ExpandedLight" w:hAnsi="Encode Sans ExpandedLight"/>
          <w:sz w:val="22"/>
          <w:szCs w:val="22"/>
        </w:rPr>
        <w:t xml:space="preserve">BofA Securities è stato consulente finanziario unico e Sullivan &amp; Cromwell LLP consulente legale di Stellantis. Ardea Partners è stato consulente finanziario unico e Goodwin Procter LLP consulente legale di Gallatin Point e </w:t>
      </w:r>
      <w:r w:rsidR="00F65B30" w:rsidRPr="00751B25">
        <w:rPr>
          <w:rFonts w:ascii="Encode Sans ExpandedLight" w:hAnsi="Encode Sans ExpandedLight"/>
          <w:sz w:val="22"/>
          <w:szCs w:val="22"/>
        </w:rPr>
        <w:t>del</w:t>
      </w:r>
      <w:r w:rsidRPr="00751B25">
        <w:rPr>
          <w:rFonts w:ascii="Encode Sans ExpandedLight" w:hAnsi="Encode Sans ExpandedLight"/>
          <w:sz w:val="22"/>
          <w:szCs w:val="22"/>
        </w:rPr>
        <w:t>la Società.</w:t>
      </w:r>
    </w:p>
    <w:p w14:paraId="2E3B637D" w14:textId="77777777" w:rsidR="002608B7" w:rsidRPr="002608B7" w:rsidRDefault="002608B7" w:rsidP="002608B7">
      <w:pPr>
        <w:spacing w:after="0"/>
        <w:rPr>
          <w:rFonts w:ascii="Encode Sans ExpandedLight" w:hAnsi="Encode Sans ExpandedLight"/>
          <w:sz w:val="21"/>
          <w:szCs w:val="21"/>
        </w:rPr>
      </w:pPr>
    </w:p>
    <w:p w14:paraId="379EF6D3" w14:textId="3542A3F9" w:rsidR="00751B25" w:rsidRDefault="00751B25" w:rsidP="00751B25">
      <w:pPr>
        <w:pStyle w:val="SDatePlace"/>
        <w:spacing w:before="120" w:after="120"/>
        <w:jc w:val="both"/>
        <w:rPr>
          <w:rFonts w:asciiTheme="majorHAnsi" w:hAnsiTheme="majorHAnsi"/>
          <w:bCs/>
          <w:i/>
          <w:noProof/>
          <w:color w:val="243782" w:themeColor="text2"/>
          <w:sz w:val="20"/>
          <w:szCs w:val="20"/>
          <w:lang w:val="en-US"/>
        </w:rPr>
      </w:pPr>
    </w:p>
    <w:p w14:paraId="589961E5" w14:textId="77777777" w:rsidR="00751B25" w:rsidRDefault="00751B25" w:rsidP="00751B25">
      <w:pPr>
        <w:pStyle w:val="SDatePlace"/>
        <w:spacing w:before="120" w:after="120"/>
        <w:jc w:val="both"/>
        <w:rPr>
          <w:rFonts w:asciiTheme="majorHAnsi" w:hAnsiTheme="majorHAnsi"/>
          <w:bCs/>
          <w:i/>
          <w:noProof/>
          <w:color w:val="243782" w:themeColor="text2"/>
          <w:sz w:val="20"/>
          <w:szCs w:val="20"/>
          <w:lang w:val="en-US"/>
        </w:rPr>
      </w:pPr>
    </w:p>
    <w:p w14:paraId="7AD25E75" w14:textId="64E81C9F" w:rsidR="00751B25" w:rsidRPr="00751B25" w:rsidRDefault="00751B25" w:rsidP="00751B25">
      <w:pPr>
        <w:pStyle w:val="SDatePlace"/>
        <w:spacing w:before="120" w:after="120"/>
        <w:jc w:val="both"/>
        <w:rPr>
          <w:rFonts w:asciiTheme="majorHAnsi" w:hAnsiTheme="majorHAnsi"/>
          <w:bCs/>
          <w:i/>
          <w:noProof/>
          <w:color w:val="243782" w:themeColor="text2"/>
          <w:sz w:val="20"/>
          <w:szCs w:val="20"/>
          <w:lang w:val="en-US"/>
        </w:rPr>
      </w:pPr>
      <w:r w:rsidRPr="00751B25">
        <w:rPr>
          <w:rFonts w:asciiTheme="majorHAnsi" w:hAnsiTheme="majorHAnsi"/>
          <w:bCs/>
          <w:i/>
          <w:noProof/>
          <w:color w:val="243782" w:themeColor="text2"/>
          <w:sz w:val="20"/>
          <w:szCs w:val="20"/>
          <w:lang w:val="en-US"/>
        </w:rPr>
        <w:t>First Investors</w:t>
      </w:r>
    </w:p>
    <w:p w14:paraId="737EB226" w14:textId="77777777" w:rsidR="00751B25" w:rsidRPr="00751B25" w:rsidRDefault="00751B25" w:rsidP="00751B25">
      <w:pPr>
        <w:pStyle w:val="SDatePlace"/>
        <w:jc w:val="both"/>
        <w:rPr>
          <w:i/>
          <w:sz w:val="20"/>
          <w:szCs w:val="20"/>
          <w:lang w:val="en-GB"/>
        </w:rPr>
      </w:pPr>
      <w:r w:rsidRPr="00751B25">
        <w:rPr>
          <w:i/>
          <w:sz w:val="20"/>
          <w:szCs w:val="20"/>
          <w:lang w:val="en-GB"/>
        </w:rPr>
        <w:t>La Società è una società finanziaria auto impegnata nell’originare e mantenere investimenti di crediti finanziari auto e cambiali originati da concessionari di automobili in franchising o attraverso operazioni di rifinanziamento con i proprietari dei veicoli.  L’azienda ha sede in Houston, Texas, ed è nel settore da oltre 32 anni.</w:t>
      </w:r>
    </w:p>
    <w:p w14:paraId="041CAA7D" w14:textId="77777777" w:rsidR="00067C10" w:rsidRPr="00751B25" w:rsidRDefault="00067C10" w:rsidP="00751B25">
      <w:pPr>
        <w:pStyle w:val="SDatePlace"/>
        <w:spacing w:before="120" w:after="120"/>
        <w:jc w:val="both"/>
        <w:rPr>
          <w:rFonts w:asciiTheme="majorHAnsi" w:hAnsiTheme="majorHAnsi"/>
          <w:bCs/>
          <w:i/>
          <w:noProof/>
          <w:color w:val="243782" w:themeColor="text2"/>
          <w:sz w:val="20"/>
          <w:szCs w:val="20"/>
          <w:lang w:val="en-US"/>
        </w:rPr>
      </w:pPr>
      <w:r w:rsidRPr="00751B25">
        <w:rPr>
          <w:rFonts w:asciiTheme="majorHAnsi" w:hAnsiTheme="majorHAnsi"/>
          <w:bCs/>
          <w:i/>
          <w:noProof/>
          <w:color w:val="243782" w:themeColor="text2"/>
          <w:sz w:val="20"/>
          <w:szCs w:val="20"/>
          <w:lang w:val="en-US"/>
        </w:rPr>
        <w:t>Stellantis</w:t>
      </w:r>
    </w:p>
    <w:p w14:paraId="5AC5323C" w14:textId="15DF8985" w:rsidR="00067C10" w:rsidRPr="00751B25" w:rsidRDefault="002608B7" w:rsidP="00751B25">
      <w:pPr>
        <w:pStyle w:val="SDatePlace"/>
        <w:jc w:val="both"/>
        <w:rPr>
          <w:i/>
          <w:sz w:val="20"/>
          <w:szCs w:val="20"/>
          <w:lang w:val="en-GB"/>
        </w:rPr>
      </w:pPr>
      <w:r w:rsidRPr="00751B25">
        <w:rPr>
          <w:i/>
          <w:sz w:val="20"/>
          <w:szCs w:val="20"/>
          <w:lang w:val="en-GB"/>
        </w:rPr>
        <w:t xml:space="preserve">Stellantis </w:t>
      </w:r>
      <w:r w:rsidR="00067C10" w:rsidRPr="00751B25">
        <w:rPr>
          <w:i/>
          <w:sz w:val="20"/>
          <w:szCs w:val="20"/>
          <w:lang w:val="en-GB"/>
        </w:rPr>
        <w:t xml:space="preserve">è una delle principali case automobilistiche al mondo. Protagonista della nuova era della mobilità, è guidata da una visione chiara: offrire libertà di movimento con soluzioni di mobilità esclusive, convenienti e affidabili.  Oltre al ricco know-how e all'ampia presenza geografica del Gruppo, i suoi maggiori punti di forza sono la performance sostenibile, la profonda esperienza e il grande talento dei suoi dipendenti che lavorano in tutto il mondo. Stellantis farà leva sul suo ampio e iconico portafoglio di marchi creato da visionari, che hanno trasmesso ai vari brand la passione che ispira dipendenti e clienti. Stellantis punta all’eccellenza, non alla grandezza, e si pone l’obiettivo di creare valore aggiunto per tutti gli stakeholder e le comunità in cui opera. </w:t>
      </w:r>
    </w:p>
    <w:p w14:paraId="4A7C7EFF" w14:textId="1FB3AFAB" w:rsidR="00AF0CE1" w:rsidRPr="00F14CA7" w:rsidRDefault="00AF0CE1" w:rsidP="005128C7">
      <w:pPr>
        <w:spacing w:after="160" w:line="259" w:lineRule="auto"/>
        <w:rPr>
          <w:rFonts w:ascii="Encode Sans ExpandedLight" w:eastAsia="Calibri" w:hAnsi="Encode Sans ExpandedLight" w:cs="Calibri"/>
          <w:i/>
          <w:color w:val="1F497D"/>
          <w:sz w:val="18"/>
          <w:szCs w:val="22"/>
        </w:rPr>
      </w:pP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5128C7" w:rsidRPr="00D64B4E" w14:paraId="3C978664" w14:textId="77777777" w:rsidTr="00751B25">
        <w:tc>
          <w:tcPr>
            <w:tcW w:w="2023" w:type="dxa"/>
            <w:vAlign w:val="bottom"/>
          </w:tcPr>
          <w:p w14:paraId="40C3530E" w14:textId="77777777" w:rsidR="005128C7" w:rsidRPr="00D64B4E" w:rsidRDefault="005128C7" w:rsidP="001666F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65" w:dyaOrig="2250" w14:anchorId="2A0DC8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3.25pt" o:ole="">
                  <v:imagedata r:id="rId9" o:title=""/>
                </v:shape>
                <o:OLEObject Type="Embed" ProgID="PBrush" ShapeID="_x0000_i1025" DrawAspect="Content" ObjectID="_1692010114" r:id="rId10"/>
              </w:object>
            </w:r>
            <w:hyperlink r:id="rId11" w:history="1">
              <w:r>
                <w:rPr>
                  <w:rStyle w:val="Hyperlink"/>
                  <w:rFonts w:ascii="Encode Sans ExpandedLight" w:hAnsi="Encode Sans ExpandedLight"/>
                  <w:sz w:val="20"/>
                </w:rPr>
                <w:t>@Stellantis</w:t>
              </w:r>
            </w:hyperlink>
          </w:p>
        </w:tc>
        <w:tc>
          <w:tcPr>
            <w:tcW w:w="1967" w:type="dxa"/>
            <w:vAlign w:val="bottom"/>
          </w:tcPr>
          <w:p w14:paraId="2056089E" w14:textId="77777777" w:rsidR="005128C7" w:rsidRPr="00D64B4E" w:rsidRDefault="005128C7" w:rsidP="001666F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50" w:dyaOrig="2250" w14:anchorId="6DD8A8FA">
                <v:shape id="_x0000_i1026" type="#_x0000_t75" style="width:21pt;height:21pt" o:ole="">
                  <v:imagedata r:id="rId12" o:title=""/>
                </v:shape>
                <o:OLEObject Type="Embed" ProgID="PBrush" ShapeID="_x0000_i1026" DrawAspect="Content" ObjectID="_1692010115" r:id="rId13"/>
              </w:object>
            </w:r>
            <w:hyperlink r:id="rId14" w:history="1">
              <w:r>
                <w:rPr>
                  <w:rStyle w:val="Hyperlink"/>
                  <w:rFonts w:ascii="Encode Sans ExpandedLight" w:hAnsi="Encode Sans ExpandedLight"/>
                  <w:sz w:val="20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14:paraId="1F9568A5" w14:textId="77777777" w:rsidR="005128C7" w:rsidRPr="00D64B4E" w:rsidRDefault="005128C7" w:rsidP="001666F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2BD782FF">
                <v:shape id="_x0000_i1027" type="#_x0000_t75" style="width:20.25pt;height:20.25pt" o:ole="">
                  <v:imagedata r:id="rId15" o:title=""/>
                </v:shape>
                <o:OLEObject Type="Embed" ProgID="PBrush" ShapeID="_x0000_i1027" DrawAspect="Content" ObjectID="_1692010116" r:id="rId16"/>
              </w:object>
            </w:r>
            <w:hyperlink r:id="rId17" w:history="1">
              <w:r>
                <w:rPr>
                  <w:rStyle w:val="Hyperlink"/>
                  <w:rFonts w:ascii="Encode Sans ExpandedLight" w:hAnsi="Encode Sans ExpandedLight"/>
                  <w:sz w:val="20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14:paraId="41DC5436" w14:textId="77777777" w:rsidR="005128C7" w:rsidRPr="00D64B4E" w:rsidRDefault="005128C7" w:rsidP="001666F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05C93400">
                <v:shape id="_x0000_i1028" type="#_x0000_t75" style="width:22.5pt;height:22.5pt" o:ole="">
                  <v:imagedata r:id="rId18" o:title=""/>
                </v:shape>
                <o:OLEObject Type="Embed" ProgID="PBrush" ShapeID="_x0000_i1028" DrawAspect="Content" ObjectID="_1692010117" r:id="rId19"/>
              </w:object>
            </w:r>
            <w:hyperlink r:id="rId20" w:history="1">
              <w:r>
                <w:rPr>
                  <w:rStyle w:val="Hyperlink"/>
                  <w:rFonts w:ascii="Encode Sans ExpandedLight" w:hAnsi="Encode Sans ExpandedLight"/>
                  <w:sz w:val="20"/>
                </w:rPr>
                <w:t>Stellantis</w:t>
              </w:r>
            </w:hyperlink>
          </w:p>
        </w:tc>
      </w:tr>
    </w:tbl>
    <w:p w14:paraId="13AC5B96" w14:textId="77777777" w:rsidR="00751B25" w:rsidRDefault="00751B25"/>
    <w:tbl>
      <w:tblPr>
        <w:tblStyle w:val="Grilledutablea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FF00F4" w:rsidRPr="000742BC" w14:paraId="518B3408" w14:textId="77777777" w:rsidTr="00751B25">
        <w:trPr>
          <w:trHeight w:val="2062"/>
        </w:trPr>
        <w:tc>
          <w:tcPr>
            <w:tcW w:w="7936" w:type="dxa"/>
          </w:tcPr>
          <w:p w14:paraId="1C0B7DF3" w14:textId="77777777" w:rsidR="00FF00F4" w:rsidRPr="00751B25" w:rsidRDefault="00FF00F4" w:rsidP="00B47B0A">
            <w:pPr>
              <w:rPr>
                <w:i/>
                <w:sz w:val="16"/>
                <w:lang w:val="en-US"/>
              </w:rPr>
            </w:pPr>
            <w:r w:rsidRPr="00751B25">
              <w:rPr>
                <w:i/>
                <w:noProof/>
                <w:sz w:val="16"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 wp14:anchorId="12DCA2CB" wp14:editId="355E0177">
                      <wp:extent cx="432000" cy="61913"/>
                      <wp:effectExtent l="0" t="0" r="6350" b="0"/>
                      <wp:docPr id="36" name="Freeform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4F85CC0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2EB150B5" w14:textId="77777777" w:rsidR="00067C10" w:rsidRPr="007A5657" w:rsidRDefault="00067C10" w:rsidP="00751B25">
            <w:pPr>
              <w:pStyle w:val="SContact-Title"/>
              <w:spacing w:before="0" w:after="120" w:line="288" w:lineRule="auto"/>
              <w:jc w:val="left"/>
              <w:rPr>
                <w:bCs/>
                <w:sz w:val="22"/>
                <w:szCs w:val="22"/>
                <w:lang w:val="en-US"/>
              </w:rPr>
            </w:pPr>
            <w:bookmarkStart w:id="1" w:name="_Hlk61784883"/>
            <w:r w:rsidRPr="007A5657">
              <w:rPr>
                <w:bCs/>
                <w:sz w:val="22"/>
                <w:szCs w:val="22"/>
                <w:lang w:val="en-US"/>
              </w:rPr>
              <w:t>Per maggiori informazioni, contattare:</w:t>
            </w:r>
          </w:p>
          <w:bookmarkEnd w:id="1"/>
          <w:p w14:paraId="1B5FAC98" w14:textId="77777777" w:rsidR="007A5657" w:rsidRPr="00BC5384" w:rsidRDefault="007A5657" w:rsidP="007A5657">
            <w:pPr>
              <w:pStyle w:val="SContact-Title"/>
              <w:spacing w:after="0"/>
              <w:rPr>
                <w:rFonts w:asciiTheme="minorHAnsi" w:hAnsiTheme="minorHAnsi"/>
                <w:color w:val="243782"/>
                <w:sz w:val="20"/>
                <w:szCs w:val="20"/>
              </w:rPr>
            </w:pPr>
            <w:r w:rsidRPr="00BC5384">
              <w:rPr>
                <w:rFonts w:asciiTheme="minorHAnsi" w:hAnsiTheme="minorHAnsi"/>
                <w:b/>
                <w:color w:val="243782"/>
                <w:sz w:val="20"/>
                <w:szCs w:val="20"/>
              </w:rPr>
              <w:t>Valérie GILLOT</w:t>
            </w:r>
            <w:r w:rsidRPr="00BC5384">
              <w:rPr>
                <w:rFonts w:asciiTheme="minorHAnsi" w:hAnsiTheme="minorHAnsi"/>
                <w:color w:val="243782"/>
                <w:sz w:val="20"/>
                <w:szCs w:val="20"/>
              </w:rPr>
              <w:t> : + 33 6 83 92 92 96 - valerie.gillot@stellantis.com</w:t>
            </w:r>
          </w:p>
          <w:p w14:paraId="406D0275" w14:textId="77777777" w:rsidR="007A5657" w:rsidRPr="00F268DC" w:rsidRDefault="007A5657" w:rsidP="007A5657">
            <w:pPr>
              <w:pStyle w:val="SContact-Sendersinfo"/>
              <w:spacing w:before="120" w:after="60"/>
              <w:rPr>
                <w:rFonts w:asciiTheme="minorHAnsi" w:hAnsiTheme="minorHAnsi"/>
                <w:sz w:val="20"/>
              </w:rPr>
            </w:pPr>
            <w:r w:rsidRPr="00F268DC">
              <w:rPr>
                <w:rFonts w:asciiTheme="minorHAnsi" w:hAnsiTheme="minorHAnsi"/>
                <w:b/>
                <w:sz w:val="20"/>
              </w:rPr>
              <w:t>Kevin FRAZIER</w:t>
            </w:r>
            <w:r w:rsidRPr="00F268DC">
              <w:rPr>
                <w:rFonts w:asciiTheme="minorHAnsi" w:hAnsiTheme="minorHAnsi"/>
                <w:sz w:val="20"/>
              </w:rPr>
              <w:t>: +1 248 821 8507 - kevin.frazier@stellantis.com</w:t>
            </w:r>
          </w:p>
          <w:p w14:paraId="31042808" w14:textId="5AB22206" w:rsidR="007A5657" w:rsidRDefault="00E22368" w:rsidP="007A5657">
            <w:pPr>
              <w:pStyle w:val="SContact-Title"/>
              <w:spacing w:before="0" w:after="360"/>
              <w:rPr>
                <w:rFonts w:asciiTheme="minorHAnsi" w:hAnsiTheme="minorHAnsi"/>
                <w:color w:val="243782"/>
                <w:sz w:val="20"/>
                <w:szCs w:val="20"/>
              </w:rPr>
            </w:pPr>
            <w:hyperlink r:id="rId21" w:history="1">
              <w:r w:rsidRPr="0015712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communications@stellantis.com</w:t>
              </w:r>
            </w:hyperlink>
            <w:r w:rsidR="007A5657" w:rsidRPr="00BC5384">
              <w:rPr>
                <w:rFonts w:asciiTheme="minorHAnsi" w:hAnsiTheme="minorHAnsi"/>
                <w:color w:val="243782"/>
                <w:sz w:val="20"/>
                <w:szCs w:val="20"/>
              </w:rPr>
              <w:br/>
            </w:r>
            <w:hyperlink r:id="rId22" w:history="1">
              <w:r w:rsidR="007A5657" w:rsidRPr="00BC5384">
                <w:rPr>
                  <w:rFonts w:asciiTheme="minorHAnsi" w:hAnsiTheme="minorHAnsi"/>
                  <w:color w:val="243782"/>
                  <w:sz w:val="20"/>
                  <w:szCs w:val="20"/>
                </w:rPr>
                <w:t>www.stellantis.com</w:t>
              </w:r>
            </w:hyperlink>
          </w:p>
          <w:p w14:paraId="07809978" w14:textId="77777777" w:rsidR="007A5657" w:rsidRPr="00AD511F" w:rsidRDefault="007A5657" w:rsidP="007A5657">
            <w:pPr>
              <w:pStyle w:val="SFooter-Emailwebsite"/>
              <w:rPr>
                <w:b/>
                <w:lang w:val="en-GB"/>
              </w:rPr>
            </w:pPr>
            <w:r w:rsidRPr="00213174">
              <w:rPr>
                <w:b/>
                <w:color w:val="243782"/>
                <w:sz w:val="20"/>
                <w:szCs w:val="20"/>
                <w:lang w:val="en-US"/>
              </w:rPr>
              <w:t>Tommy MOORE</w:t>
            </w:r>
            <w:r w:rsidRPr="00AD511F">
              <w:rPr>
                <w:b/>
                <w:lang w:val="en-GB"/>
              </w:rPr>
              <w:t xml:space="preserve">: </w:t>
            </w:r>
            <w:r w:rsidRPr="00213174">
              <w:rPr>
                <w:color w:val="243782"/>
                <w:sz w:val="20"/>
                <w:szCs w:val="20"/>
                <w:lang w:val="en-US"/>
              </w:rPr>
              <w:t xml:space="preserve">+1 713 273 5114 - </w:t>
            </w:r>
            <w:hyperlink r:id="rId23" w:history="1">
              <w:r w:rsidRPr="00213174">
                <w:rPr>
                  <w:color w:val="243782"/>
                  <w:sz w:val="20"/>
                  <w:szCs w:val="20"/>
                  <w:lang w:val="en-US"/>
                </w:rPr>
                <w:t>tommy.moore@fifsg.com</w:t>
              </w:r>
            </w:hyperlink>
          </w:p>
          <w:p w14:paraId="6B8C4CE9" w14:textId="77777777" w:rsidR="007A5657" w:rsidRDefault="007A5657" w:rsidP="007A5657">
            <w:pPr>
              <w:pStyle w:val="SFooter-Emailwebsite"/>
              <w:rPr>
                <w:color w:val="243782"/>
                <w:sz w:val="20"/>
                <w:szCs w:val="20"/>
              </w:rPr>
            </w:pPr>
            <w:r w:rsidRPr="00BC5384">
              <w:rPr>
                <w:b/>
                <w:color w:val="243782"/>
                <w:sz w:val="20"/>
                <w:szCs w:val="20"/>
              </w:rPr>
              <w:t>Bennie DUCK</w:t>
            </w:r>
            <w:r w:rsidRPr="00BC5384">
              <w:rPr>
                <w:b/>
              </w:rPr>
              <w:t xml:space="preserve">: </w:t>
            </w:r>
            <w:r w:rsidRPr="00BC5384">
              <w:rPr>
                <w:color w:val="243782"/>
                <w:sz w:val="20"/>
                <w:szCs w:val="20"/>
              </w:rPr>
              <w:t xml:space="preserve">+1 713 273 5116 – </w:t>
            </w:r>
            <w:hyperlink r:id="rId24" w:history="1">
              <w:r w:rsidRPr="00BC5384">
                <w:rPr>
                  <w:color w:val="243782"/>
                  <w:sz w:val="20"/>
                  <w:szCs w:val="20"/>
                </w:rPr>
                <w:t>bennie.duck@fifsg.com</w:t>
              </w:r>
            </w:hyperlink>
          </w:p>
          <w:p w14:paraId="006F68F4" w14:textId="77777777" w:rsidR="007A5657" w:rsidRPr="00BC5384" w:rsidRDefault="007A5657" w:rsidP="007A5657">
            <w:pPr>
              <w:pStyle w:val="SFooter-Emailwebsite"/>
              <w:rPr>
                <w:b/>
              </w:rPr>
            </w:pPr>
          </w:p>
          <w:p w14:paraId="6CB4075C" w14:textId="08FA8E1C" w:rsidR="00764B4E" w:rsidRPr="00751B25" w:rsidRDefault="00B43566" w:rsidP="00FB5171">
            <w:pPr>
              <w:pStyle w:val="SFooter-Emailwebsite"/>
              <w:rPr>
                <w:i/>
                <w:sz w:val="16"/>
                <w:lang w:val="en-US"/>
              </w:rPr>
            </w:pPr>
            <w:hyperlink r:id="rId25" w:history="1">
              <w:r w:rsidR="007A5657" w:rsidRPr="00BC5384">
                <w:rPr>
                  <w:color w:val="243782"/>
                  <w:sz w:val="20"/>
                  <w:szCs w:val="20"/>
                </w:rPr>
                <w:t>www.fifsg.com</w:t>
              </w:r>
            </w:hyperlink>
          </w:p>
        </w:tc>
      </w:tr>
    </w:tbl>
    <w:p w14:paraId="70FC12D4" w14:textId="18433CAA" w:rsidR="00AF0CE1" w:rsidRDefault="00AF0CE1" w:rsidP="00FF00F4">
      <w:pPr>
        <w:rPr>
          <w:i/>
          <w:sz w:val="20"/>
          <w:szCs w:val="20"/>
        </w:rPr>
      </w:pPr>
    </w:p>
    <w:p w14:paraId="47762A1E" w14:textId="77777777" w:rsidR="00FB5171" w:rsidRPr="00751B25" w:rsidRDefault="00FB5171" w:rsidP="00FB5171">
      <w:pPr>
        <w:spacing w:after="120" w:line="288" w:lineRule="auto"/>
        <w:jc w:val="left"/>
        <w:rPr>
          <w:rFonts w:asciiTheme="majorHAnsi" w:hAnsiTheme="majorHAnsi" w:cs="Calibri"/>
          <w:i/>
          <w:color w:val="243782" w:themeColor="text2"/>
          <w:sz w:val="18"/>
          <w:szCs w:val="22"/>
          <w:lang w:val="en-US"/>
        </w:rPr>
      </w:pPr>
      <w:r w:rsidRPr="00751B25">
        <w:rPr>
          <w:rFonts w:asciiTheme="majorHAnsi" w:hAnsiTheme="majorHAnsi" w:cs="Calibri"/>
          <w:i/>
          <w:color w:val="243782" w:themeColor="text2"/>
          <w:sz w:val="18"/>
          <w:szCs w:val="22"/>
          <w:lang w:val="en-US"/>
        </w:rPr>
        <w:t>DICHIARAZIONI PREVISIONALI</w:t>
      </w:r>
    </w:p>
    <w:p w14:paraId="1B3AA1DC" w14:textId="77777777" w:rsidR="00FB5171" w:rsidRPr="00FB5171" w:rsidRDefault="00FB5171" w:rsidP="00FB5171">
      <w:pPr>
        <w:rPr>
          <w:i/>
          <w:sz w:val="16"/>
        </w:rPr>
      </w:pPr>
      <w:r w:rsidRPr="00FB5171">
        <w:rPr>
          <w:i/>
          <w:sz w:val="16"/>
        </w:rPr>
        <w:t>Questa comunicazione contiene dichiarazioni previsionali. In particolare, le dichiarazioni riguardanti eventi futuri e risultati attesi delle operazioni, strategie aziendali, i benefici previsti della transazione proposta, risultati futuri e finanziari e operativi, la data di chiusura prevista per l'operazione proposta e altri aspetti previsti delle nostre operazioni o risultati operativi sono dichiarazioni previsionali.</w:t>
      </w:r>
    </w:p>
    <w:p w14:paraId="33602A0C" w14:textId="77777777" w:rsidR="00FB5171" w:rsidRPr="00FB5171" w:rsidRDefault="00FB5171" w:rsidP="00FB5171">
      <w:pPr>
        <w:rPr>
          <w:i/>
          <w:sz w:val="16"/>
        </w:rPr>
      </w:pPr>
      <w:r w:rsidRPr="00FB5171">
        <w:rPr>
          <w:i/>
          <w:sz w:val="16"/>
        </w:rPr>
        <w:t xml:space="preserve">Tali dichiarazioni possono comprendere termini quali “può”, “sarà”, “ci si aspetta”, “potrebbe”, “dovrebbe”, “intende”, “stima”, “anticipa”, “crede”, “rimane”, “in linea”, “progetta”, “target”, “obiettivo”, “scopo”, “previsione”, “proiezione”, “aspettativa”, “prospettiva”, “piano”, o termini simili. Le dichiarazioni previsionali non sono garanzia di performance future. Piuttosto, esse sono basate sull’attuale stato di conoscenza di Stellantis, sulle aspettative e sulle proiezioni future riguardo eventi futuri e sono per loro natura soggette a rischi intrinseci e incertezze. Tali dichiarazioni riguardano eventi e dipendono da circostanze che potrebbero o non potrebbero verificarsi o esistere in futuro e, in quanto tali, non si dovrebbe fare indebito affidamento su di esse. </w:t>
      </w:r>
    </w:p>
    <w:p w14:paraId="0B39DFE3" w14:textId="77777777" w:rsidR="00FB5171" w:rsidRPr="00FB5171" w:rsidRDefault="00FB5171" w:rsidP="00FB5171">
      <w:pPr>
        <w:rPr>
          <w:i/>
          <w:sz w:val="16"/>
        </w:rPr>
      </w:pPr>
      <w:r w:rsidRPr="00FB5171">
        <w:rPr>
          <w:i/>
          <w:sz w:val="16"/>
        </w:rPr>
        <w:t xml:space="preserve">I risultati effettivi possono differire sostanzialmente da quelli espressi nelle dichiarazioni previsionali a causa di una varietà di fattori, tra cui: incertezze sul fatto che l'operazione proposta in questo documento sarà consumata o alle tempistiche della stessa; il soddisfacimento delle condizioni sospensive alla consumazione del transazione proposta, compresa la capacità di ottenere approvazioni regolamentari nei termini previsti, del tutto o in modo tempestivo; il rischio che le attività delle parti subiscano un impatto negativo durante la pendenza della proposta transazione; la capacità di Stellantis di integrare con successo le operazioni della Società; interruzione dell'attività in seguito la transazione; l'effetto dell'annuncio della transazione sulla capacità della Società di conservare e intrattenere rapporti con clienti, fornitori e altri con cui intrattiene rapporti di affari; l'impatto della pandemia di COVID-19, la capacità di Stellantis di lanciare con successo nuovi prodotti e di mantenere volumi di spedizione di veicoli; cambiamenti nei mercati finanziari globali, nell'ambiente economico generale e nei cambiamenti nella domanda di prodotti automobilistici, soggetti a ciclicità; cambiamenti nelle condizioni economiche e politiche locali, cambiamenti nella politica commerciale e l'imposizione di tariffe globali e regionali o tariffe mirate all'industria automobilistica, l'emanazione di riforme fiscali o altri cambiamenti nelle leggi e nei regolamenti fiscali; La capacità di Stellantis di espandere alcuni dei propri marchi a livello globale; la sua capacità di offrire prodotti innovativi e attraenti; la sua capacità di sviluppare, produrre e vendere veicoli con funzionalità avanzate tra cui elettrificazione potenziata, connettività e caratteristiche di guida autonoma; vari tipi di reclami, azioni legali, indagini governative e altre contingenze, inclusa la responsabilità del prodotto e richieste di garanzia e rivendicazioni ambientali, indagini e azioni legali; spese operative materiali in relazione a rispetto delle normative in materia di ambiente, salute e sicurezza; l'intenso livello di concorrenza nel settore automobilistico industria, che potrebbe aumentare a causa del consolidamento; esposizione a carenze nel finanziamento dei benefici definiti da Stellantis nei piani pensionistici; la capacità di fornire o organizzare l'accesso a finanziamenti adeguati per rivenditori e clienti al dettaglio e rischi connessi alla costituzione e all'operatività di società di servizi finanziari; la possibilità di accedere finanziamenti per eseguire i piani aziendali di Stellantis e migliorare le sue attività, le condizioni finanziarie e i risultati delle operazioni; un significativo malfunzionamento, interruzione o violazione della sicurezza che comprometta i sistemi informatici o l'elettronica sistemi di controllo contenuti nei veicoli di Stellantis; La capacità di Stellantis di realizzare i benefici previsti dalla joint venture; perturbazioni derivanti dall'instabilità politica, sociale ed economica; rischi associati alle nostre relazioni con dipendenti, rivenditori e fornitori; aumento dei costi, interruzioni della fornitura o carenza di materie prime, parti, componenti e sistemi utilizzati nei veicoli di Stellantis; sviluppi in relazioni sindacali, industriali e nella normativa del lavoro; fluttuazioni dei tassi di cambio, variazioni dei tassi di </w:t>
      </w:r>
      <w:r w:rsidRPr="00FB5171">
        <w:rPr>
          <w:i/>
          <w:sz w:val="16"/>
        </w:rPr>
        <w:lastRenderedPageBreak/>
        <w:t>interesse, rischio di credito e altri rischi di mercato; tensioni politiche e sociali; terremoti o altri disastri; e altri rischi e incertezze.</w:t>
      </w:r>
    </w:p>
    <w:p w14:paraId="667B12C8" w14:textId="464EAC8E" w:rsidR="00FB5171" w:rsidRPr="00FB5171" w:rsidRDefault="00FB5171" w:rsidP="00FB5171">
      <w:pPr>
        <w:rPr>
          <w:i/>
          <w:sz w:val="20"/>
          <w:szCs w:val="20"/>
        </w:rPr>
      </w:pPr>
      <w:r w:rsidRPr="00FB5171">
        <w:rPr>
          <w:i/>
          <w:sz w:val="16"/>
        </w:rPr>
        <w:t>Qualsiasi dichiarazione previsionale contenuta in questa comunicazione è valida solo a partire dalla data di questo documento e Stellantis declina ogni obbligo di aggiornare o rivedere pubblicamente le dichiarazioni previsionali. Ulteriori informazioni relative a Stellantis e alle sue attività, compresi i fattori che potrebbero influenzare materialmente i risultati finanziari di Stellantis, sono incluse nei rapporti e nei documenti di Stellantis presso la Securities and Exchange Commission statunitense, l'AFM e la CONSOB.</w:t>
      </w:r>
    </w:p>
    <w:sectPr w:rsidR="00FB5171" w:rsidRPr="00FB5171" w:rsidSect="009F333A">
      <w:footerReference w:type="default" r:id="rId26"/>
      <w:headerReference w:type="first" r:id="rId27"/>
      <w:pgSz w:w="11906" w:h="16838" w:code="9"/>
      <w:pgMar w:top="1135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A0AA1" w14:textId="77777777" w:rsidR="00B43566" w:rsidRDefault="00B43566" w:rsidP="0002070C">
      <w:r>
        <w:separator/>
      </w:r>
    </w:p>
  </w:endnote>
  <w:endnote w:type="continuationSeparator" w:id="0">
    <w:p w14:paraId="7F635981" w14:textId="77777777" w:rsidR="00B43566" w:rsidRDefault="00B43566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E63B96DE-4B83-41EE-B90D-4DA40EBF0024}"/>
    <w:embedBold r:id="rId2" w:fontKey="{5B8F0C3D-2881-4125-87D7-5DA2F6850753}"/>
    <w:embedItalic r:id="rId3" w:fontKey="{5A5BA72C-B754-4BE3-945B-84EF97018EC6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subsetted="1" w:fontKey="{83B2E6AB-13AA-4161-A49D-CF9480994BEB}"/>
    <w:embedItalic r:id="rId5" w:subsetted="1" w:fontKey="{DDC80122-CD8B-4F36-9264-FE5003397055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6" w:subsetted="1" w:fontKey="{10737119-A99B-44D7-9E80-8E912C4B8921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CA29" w14:textId="7C36D662" w:rsidR="00992BE1" w:rsidRPr="00A51B6A" w:rsidRDefault="00992BE1" w:rsidP="0002070C">
    <w:pPr>
      <w:pStyle w:val="SPagination"/>
      <w:rPr>
        <w:szCs w:val="16"/>
      </w:rPr>
    </w:pPr>
    <w:r>
      <w:t xml:space="preserve">- </w:t>
    </w:r>
    <w:r w:rsidRPr="00A51B6A">
      <w:rPr>
        <w:rStyle w:val="PageNumber"/>
        <w:szCs w:val="16"/>
      </w:rPr>
      <w:fldChar w:fldCharType="begin"/>
    </w:r>
    <w:r w:rsidRPr="00A51B6A">
      <w:rPr>
        <w:rStyle w:val="PageNumber"/>
        <w:szCs w:val="16"/>
      </w:rPr>
      <w:instrText xml:space="preserve"> PAGE </w:instrText>
    </w:r>
    <w:r w:rsidRPr="00A51B6A">
      <w:rPr>
        <w:rStyle w:val="PageNumber"/>
        <w:szCs w:val="16"/>
      </w:rPr>
      <w:fldChar w:fldCharType="separate"/>
    </w:r>
    <w:r w:rsidR="00E22368">
      <w:rPr>
        <w:rStyle w:val="PageNumber"/>
        <w:noProof/>
        <w:szCs w:val="16"/>
      </w:rPr>
      <w:t>4</w:t>
    </w:r>
    <w:r w:rsidRPr="00A51B6A">
      <w:rPr>
        <w:rStyle w:val="PageNumber"/>
        <w:szCs w:val="16"/>
      </w:rPr>
      <w:fldChar w:fldCharType="end"/>
    </w:r>
    <w:r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3F2EF" w14:textId="77777777" w:rsidR="00B43566" w:rsidRDefault="00B43566" w:rsidP="0002070C">
      <w:r>
        <w:separator/>
      </w:r>
    </w:p>
  </w:footnote>
  <w:footnote w:type="continuationSeparator" w:id="0">
    <w:p w14:paraId="3526D341" w14:textId="77777777" w:rsidR="00B43566" w:rsidRDefault="00B43566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33" w14:textId="77777777" w:rsidR="005F2120" w:rsidRDefault="00A33E8D" w:rsidP="0002070C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F3026A5" wp14:editId="55476AC5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3FCD7" w14:textId="77777777" w:rsidR="00A33E8D" w:rsidRPr="00683765" w:rsidRDefault="00A33E8D" w:rsidP="00297094">
                            <w:pPr>
                              <w:pStyle w:val="SPRESSRELEASE-TITLE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3026A5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4ig/zZ8KAACEPQAADgAAAAAAAAAAAAAAAAAuAgAAZHJzL2Uy&#10;b0RvYy54bWxQSwECLQAUAAYACAAAACEAaDIV5t4AAAAIAQAADwAAAAAAAAAAAAAAAAD5DAAAZHJz&#10;L2Rvd25yZXYueG1sUEsFBgAAAAAEAAQA8wAAAAQO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4893FCD7" w14:textId="77777777" w:rsidR="00A33E8D" w:rsidRPr="00683765" w:rsidRDefault="00A33E8D" w:rsidP="00297094">
                      <w:pPr>
                        <w:pStyle w:val="SPRESSRELEASE-TITLE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2FD7F7CF" wp14:editId="0B4A9DCA">
          <wp:extent cx="2317210" cy="718820"/>
          <wp:effectExtent l="0" t="0" r="6985" b="5080"/>
          <wp:docPr id="1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B5746"/>
    <w:multiLevelType w:val="multilevel"/>
    <w:tmpl w:val="9D30A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714C4E"/>
    <w:multiLevelType w:val="multilevel"/>
    <w:tmpl w:val="351E1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9A1CD0"/>
    <w:multiLevelType w:val="multilevel"/>
    <w:tmpl w:val="FE20A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2F225A3"/>
    <w:multiLevelType w:val="hybridMultilevel"/>
    <w:tmpl w:val="AAA27D8E"/>
    <w:lvl w:ilvl="0" w:tplc="177C4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B2899"/>
    <w:multiLevelType w:val="hybridMultilevel"/>
    <w:tmpl w:val="7A884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F4"/>
    <w:rsid w:val="00000BC0"/>
    <w:rsid w:val="0002070C"/>
    <w:rsid w:val="0002217B"/>
    <w:rsid w:val="00024492"/>
    <w:rsid w:val="00025506"/>
    <w:rsid w:val="0003269E"/>
    <w:rsid w:val="000342E7"/>
    <w:rsid w:val="0005392F"/>
    <w:rsid w:val="00067C10"/>
    <w:rsid w:val="000742BC"/>
    <w:rsid w:val="00081A33"/>
    <w:rsid w:val="000835FF"/>
    <w:rsid w:val="00087566"/>
    <w:rsid w:val="00087FF0"/>
    <w:rsid w:val="000C18FF"/>
    <w:rsid w:val="000F193E"/>
    <w:rsid w:val="000F6FD5"/>
    <w:rsid w:val="00103CD8"/>
    <w:rsid w:val="001571BA"/>
    <w:rsid w:val="0016113A"/>
    <w:rsid w:val="001618F8"/>
    <w:rsid w:val="00166F34"/>
    <w:rsid w:val="00167151"/>
    <w:rsid w:val="0018314C"/>
    <w:rsid w:val="0018351C"/>
    <w:rsid w:val="0018433D"/>
    <w:rsid w:val="00190445"/>
    <w:rsid w:val="001A4358"/>
    <w:rsid w:val="001B39FD"/>
    <w:rsid w:val="001B4263"/>
    <w:rsid w:val="001B591C"/>
    <w:rsid w:val="001B70DF"/>
    <w:rsid w:val="001C030C"/>
    <w:rsid w:val="001C0C0A"/>
    <w:rsid w:val="001E3A5D"/>
    <w:rsid w:val="001E480F"/>
    <w:rsid w:val="001E7847"/>
    <w:rsid w:val="00201DFA"/>
    <w:rsid w:val="00213174"/>
    <w:rsid w:val="00214A32"/>
    <w:rsid w:val="00215186"/>
    <w:rsid w:val="00220B6B"/>
    <w:rsid w:val="00221FEB"/>
    <w:rsid w:val="00224347"/>
    <w:rsid w:val="00237C75"/>
    <w:rsid w:val="002608B7"/>
    <w:rsid w:val="002836DD"/>
    <w:rsid w:val="00293E0C"/>
    <w:rsid w:val="00297094"/>
    <w:rsid w:val="002A6349"/>
    <w:rsid w:val="002B6E5A"/>
    <w:rsid w:val="002C508D"/>
    <w:rsid w:val="002D27C7"/>
    <w:rsid w:val="002F18EC"/>
    <w:rsid w:val="002F1988"/>
    <w:rsid w:val="003110EE"/>
    <w:rsid w:val="0036017D"/>
    <w:rsid w:val="0037015B"/>
    <w:rsid w:val="003864AD"/>
    <w:rsid w:val="003A6735"/>
    <w:rsid w:val="003B0DCF"/>
    <w:rsid w:val="003B1471"/>
    <w:rsid w:val="003B5516"/>
    <w:rsid w:val="003C55D4"/>
    <w:rsid w:val="003D36BB"/>
    <w:rsid w:val="003E68CC"/>
    <w:rsid w:val="003F0DAB"/>
    <w:rsid w:val="00400B91"/>
    <w:rsid w:val="004022B4"/>
    <w:rsid w:val="00410E02"/>
    <w:rsid w:val="00411411"/>
    <w:rsid w:val="00425677"/>
    <w:rsid w:val="00432055"/>
    <w:rsid w:val="00433EDD"/>
    <w:rsid w:val="004345F9"/>
    <w:rsid w:val="0044219E"/>
    <w:rsid w:val="0045216F"/>
    <w:rsid w:val="00463CFC"/>
    <w:rsid w:val="00486B8E"/>
    <w:rsid w:val="00487C87"/>
    <w:rsid w:val="004A2B09"/>
    <w:rsid w:val="004B1394"/>
    <w:rsid w:val="004B5BE7"/>
    <w:rsid w:val="004D61EA"/>
    <w:rsid w:val="004D62E7"/>
    <w:rsid w:val="004E5BD0"/>
    <w:rsid w:val="004F0485"/>
    <w:rsid w:val="004F6416"/>
    <w:rsid w:val="00503120"/>
    <w:rsid w:val="005128C7"/>
    <w:rsid w:val="00515C12"/>
    <w:rsid w:val="00535C6B"/>
    <w:rsid w:val="00537DB3"/>
    <w:rsid w:val="00544345"/>
    <w:rsid w:val="005708BD"/>
    <w:rsid w:val="005C1F23"/>
    <w:rsid w:val="005C5158"/>
    <w:rsid w:val="005C775F"/>
    <w:rsid w:val="005D7279"/>
    <w:rsid w:val="005F2120"/>
    <w:rsid w:val="006074EF"/>
    <w:rsid w:val="00613FB1"/>
    <w:rsid w:val="0061682B"/>
    <w:rsid w:val="006279C9"/>
    <w:rsid w:val="006338ED"/>
    <w:rsid w:val="006426C1"/>
    <w:rsid w:val="00646166"/>
    <w:rsid w:val="00655445"/>
    <w:rsid w:val="00655A10"/>
    <w:rsid w:val="006733A6"/>
    <w:rsid w:val="00674C94"/>
    <w:rsid w:val="00675B12"/>
    <w:rsid w:val="00682310"/>
    <w:rsid w:val="00683765"/>
    <w:rsid w:val="00683B2B"/>
    <w:rsid w:val="006B0549"/>
    <w:rsid w:val="006B5C7E"/>
    <w:rsid w:val="006C6858"/>
    <w:rsid w:val="006D3EA9"/>
    <w:rsid w:val="006D4D03"/>
    <w:rsid w:val="006E27BF"/>
    <w:rsid w:val="006F2055"/>
    <w:rsid w:val="006F3D5A"/>
    <w:rsid w:val="00712CA0"/>
    <w:rsid w:val="00715647"/>
    <w:rsid w:val="00716893"/>
    <w:rsid w:val="007278E2"/>
    <w:rsid w:val="00730F85"/>
    <w:rsid w:val="0073453D"/>
    <w:rsid w:val="00736170"/>
    <w:rsid w:val="00742E5D"/>
    <w:rsid w:val="0074375D"/>
    <w:rsid w:val="00751B25"/>
    <w:rsid w:val="00764B4E"/>
    <w:rsid w:val="00776357"/>
    <w:rsid w:val="007A46E2"/>
    <w:rsid w:val="007A5657"/>
    <w:rsid w:val="007D0A7D"/>
    <w:rsid w:val="007D12C7"/>
    <w:rsid w:val="007E16C6"/>
    <w:rsid w:val="007E317D"/>
    <w:rsid w:val="007E364E"/>
    <w:rsid w:val="007E49CE"/>
    <w:rsid w:val="0080313B"/>
    <w:rsid w:val="0080368F"/>
    <w:rsid w:val="00803BC1"/>
    <w:rsid w:val="00805FAA"/>
    <w:rsid w:val="008124BD"/>
    <w:rsid w:val="00815B14"/>
    <w:rsid w:val="0082786D"/>
    <w:rsid w:val="0083372E"/>
    <w:rsid w:val="00837340"/>
    <w:rsid w:val="0084014C"/>
    <w:rsid w:val="008426C5"/>
    <w:rsid w:val="00844956"/>
    <w:rsid w:val="0085397B"/>
    <w:rsid w:val="00854FE4"/>
    <w:rsid w:val="0086416D"/>
    <w:rsid w:val="00864781"/>
    <w:rsid w:val="00875234"/>
    <w:rsid w:val="00877117"/>
    <w:rsid w:val="00885B22"/>
    <w:rsid w:val="00887CD4"/>
    <w:rsid w:val="00890C00"/>
    <w:rsid w:val="00890ED4"/>
    <w:rsid w:val="008A1BFD"/>
    <w:rsid w:val="008B02AC"/>
    <w:rsid w:val="008B0D4F"/>
    <w:rsid w:val="008B4CD5"/>
    <w:rsid w:val="008B6C37"/>
    <w:rsid w:val="008D0A1A"/>
    <w:rsid w:val="008D6F80"/>
    <w:rsid w:val="008D7DE8"/>
    <w:rsid w:val="008E799A"/>
    <w:rsid w:val="008F0F07"/>
    <w:rsid w:val="008F2A13"/>
    <w:rsid w:val="008F51AC"/>
    <w:rsid w:val="008F646D"/>
    <w:rsid w:val="009249EA"/>
    <w:rsid w:val="009458D4"/>
    <w:rsid w:val="00951FC9"/>
    <w:rsid w:val="009874D6"/>
    <w:rsid w:val="00992BE1"/>
    <w:rsid w:val="009950E8"/>
    <w:rsid w:val="009968C5"/>
    <w:rsid w:val="009A0BD0"/>
    <w:rsid w:val="009A23AB"/>
    <w:rsid w:val="009A6230"/>
    <w:rsid w:val="009A66A7"/>
    <w:rsid w:val="009B5C99"/>
    <w:rsid w:val="009D12B1"/>
    <w:rsid w:val="009D180E"/>
    <w:rsid w:val="009D2071"/>
    <w:rsid w:val="009D38E9"/>
    <w:rsid w:val="009F2D88"/>
    <w:rsid w:val="009F333A"/>
    <w:rsid w:val="00A017B8"/>
    <w:rsid w:val="00A14F62"/>
    <w:rsid w:val="00A177A5"/>
    <w:rsid w:val="00A33E8D"/>
    <w:rsid w:val="00A36A20"/>
    <w:rsid w:val="00A51346"/>
    <w:rsid w:val="00A51B6A"/>
    <w:rsid w:val="00A5296C"/>
    <w:rsid w:val="00A5578F"/>
    <w:rsid w:val="00A63E1B"/>
    <w:rsid w:val="00A71966"/>
    <w:rsid w:val="00A74E37"/>
    <w:rsid w:val="00A75948"/>
    <w:rsid w:val="00A83FA3"/>
    <w:rsid w:val="00A87390"/>
    <w:rsid w:val="00AA4CAF"/>
    <w:rsid w:val="00AE0E14"/>
    <w:rsid w:val="00AF0CE1"/>
    <w:rsid w:val="00AF4CE0"/>
    <w:rsid w:val="00AF5DB8"/>
    <w:rsid w:val="00B02391"/>
    <w:rsid w:val="00B267C0"/>
    <w:rsid w:val="00B32F4C"/>
    <w:rsid w:val="00B43566"/>
    <w:rsid w:val="00B450AC"/>
    <w:rsid w:val="00B64F18"/>
    <w:rsid w:val="00B918EE"/>
    <w:rsid w:val="00B92FB1"/>
    <w:rsid w:val="00B9358B"/>
    <w:rsid w:val="00BA13D9"/>
    <w:rsid w:val="00BB7AAE"/>
    <w:rsid w:val="00BC40DA"/>
    <w:rsid w:val="00BC5305"/>
    <w:rsid w:val="00BC5384"/>
    <w:rsid w:val="00BD29E5"/>
    <w:rsid w:val="00BD2ADB"/>
    <w:rsid w:val="00BD2BC5"/>
    <w:rsid w:val="00BD5D05"/>
    <w:rsid w:val="00BE6DB5"/>
    <w:rsid w:val="00BF127C"/>
    <w:rsid w:val="00C10E75"/>
    <w:rsid w:val="00C20D73"/>
    <w:rsid w:val="00C21B90"/>
    <w:rsid w:val="00C27363"/>
    <w:rsid w:val="00C30847"/>
    <w:rsid w:val="00C31F14"/>
    <w:rsid w:val="00C40263"/>
    <w:rsid w:val="00C508B7"/>
    <w:rsid w:val="00C60A64"/>
    <w:rsid w:val="00C61441"/>
    <w:rsid w:val="00C63CC0"/>
    <w:rsid w:val="00C85E32"/>
    <w:rsid w:val="00C97282"/>
    <w:rsid w:val="00CA3356"/>
    <w:rsid w:val="00CF0E63"/>
    <w:rsid w:val="00D00BDF"/>
    <w:rsid w:val="00D05A8E"/>
    <w:rsid w:val="00D06316"/>
    <w:rsid w:val="00D21AB2"/>
    <w:rsid w:val="00D22355"/>
    <w:rsid w:val="00D265D9"/>
    <w:rsid w:val="00D32041"/>
    <w:rsid w:val="00D32C7F"/>
    <w:rsid w:val="00D34F1F"/>
    <w:rsid w:val="00D35611"/>
    <w:rsid w:val="00D42FE4"/>
    <w:rsid w:val="00D5456A"/>
    <w:rsid w:val="00D54C2A"/>
    <w:rsid w:val="00D57C97"/>
    <w:rsid w:val="00D60740"/>
    <w:rsid w:val="00D826B9"/>
    <w:rsid w:val="00D85399"/>
    <w:rsid w:val="00DA27E1"/>
    <w:rsid w:val="00DC51DE"/>
    <w:rsid w:val="00DE711D"/>
    <w:rsid w:val="00DE72B9"/>
    <w:rsid w:val="00DF4282"/>
    <w:rsid w:val="00DF6BDB"/>
    <w:rsid w:val="00E0768E"/>
    <w:rsid w:val="00E21673"/>
    <w:rsid w:val="00E22368"/>
    <w:rsid w:val="00E23B0D"/>
    <w:rsid w:val="00E37FA8"/>
    <w:rsid w:val="00E40FE1"/>
    <w:rsid w:val="00E42798"/>
    <w:rsid w:val="00E4298A"/>
    <w:rsid w:val="00E47347"/>
    <w:rsid w:val="00E613A1"/>
    <w:rsid w:val="00E75FA1"/>
    <w:rsid w:val="00E91808"/>
    <w:rsid w:val="00E95A10"/>
    <w:rsid w:val="00EA30F2"/>
    <w:rsid w:val="00ED2F38"/>
    <w:rsid w:val="00ED648A"/>
    <w:rsid w:val="00EE1EDD"/>
    <w:rsid w:val="00EF0E92"/>
    <w:rsid w:val="00EF1EF1"/>
    <w:rsid w:val="00EF28C7"/>
    <w:rsid w:val="00F04FFC"/>
    <w:rsid w:val="00F32D39"/>
    <w:rsid w:val="00F340AD"/>
    <w:rsid w:val="00F34E2B"/>
    <w:rsid w:val="00F5284E"/>
    <w:rsid w:val="00F60C05"/>
    <w:rsid w:val="00F65B30"/>
    <w:rsid w:val="00F73BFA"/>
    <w:rsid w:val="00F74B70"/>
    <w:rsid w:val="00F760D5"/>
    <w:rsid w:val="00F76BDA"/>
    <w:rsid w:val="00F8660E"/>
    <w:rsid w:val="00F96DAD"/>
    <w:rsid w:val="00FB2C4C"/>
    <w:rsid w:val="00FB4171"/>
    <w:rsid w:val="00FB5171"/>
    <w:rsid w:val="00FC46BB"/>
    <w:rsid w:val="00FD087F"/>
    <w:rsid w:val="00FD6CFC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6B953"/>
  <w15:chartTrackingRefBased/>
  <w15:docId w15:val="{EF0C4C45-F326-4351-AC0D-B350683D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F62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3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it-IT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</w:rPr>
  </w:style>
  <w:style w:type="paragraph" w:customStyle="1" w:styleId="STextitalic">
    <w:name w:val="S_Text italic"/>
    <w:basedOn w:val="Normal"/>
    <w:qFormat/>
    <w:rsid w:val="00025506"/>
    <w:rPr>
      <w:i/>
    </w:rPr>
  </w:style>
  <w:style w:type="table" w:customStyle="1" w:styleId="Grilledutableau2">
    <w:name w:val="Grille du tableau2"/>
    <w:basedOn w:val="TableNormal"/>
    <w:next w:val="TableGrid"/>
    <w:uiPriority w:val="39"/>
    <w:rsid w:val="005128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FF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F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38"/>
    <w:rPr>
      <w:rFonts w:ascii="Segoe UI" w:hAnsi="Segoe UI" w:cs="Segoe UI"/>
      <w:sz w:val="18"/>
      <w:szCs w:val="18"/>
      <w:lang w:val="it-IT"/>
    </w:rPr>
  </w:style>
  <w:style w:type="paragraph" w:styleId="NormalWeb">
    <w:name w:val="Normal (Web)"/>
    <w:basedOn w:val="Normal"/>
    <w:uiPriority w:val="99"/>
    <w:semiHidden/>
    <w:unhideWhenUsed/>
    <w:rsid w:val="00AF0C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SContact-TitleCar">
    <w:name w:val="S_Contact - Title Car"/>
    <w:basedOn w:val="DefaultParagraphFont"/>
    <w:link w:val="SContact-Title"/>
    <w:rsid w:val="00067C10"/>
    <w:rPr>
      <w:rFonts w:asciiTheme="majorHAnsi" w:hAnsiTheme="majorHAnsi"/>
      <w:color w:val="243782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it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ommunications@stellanti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company/Stellantis" TargetMode="External"/><Relationship Id="rId25" Type="http://schemas.openxmlformats.org/officeDocument/2006/relationships/hyperlink" Target="http://www.fifsg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s://www.youtube.com/channel/UCKgSLvI1SYKOTpEToycAz7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tellantis" TargetMode="External"/><Relationship Id="rId24" Type="http://schemas.openxmlformats.org/officeDocument/2006/relationships/hyperlink" Target="mailto:bennie.duck@fifsg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tommy.moore@fifsg.com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hyperlink" Target="http://www.stellantis.com" TargetMode="External"/><Relationship Id="rId27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\U035310\00_DCOM\2021_Communiqu&#233;s%20de%20Presse\Template\2021mmdd_PR_Stellantis_Press_Release_A4_ENG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F8F2-6246-4E94-A6D7-81F330A6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2021mmdd_PR_Stellantis_Press_Release_A4_ENG.dotx</Template>
  <TotalTime>0</TotalTime>
  <Pages>4</Pages>
  <Words>1674</Words>
  <Characters>9542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VANESSA GHUENASSIA - U035310</dc:creator>
  <cp:keywords/>
  <dc:description/>
  <cp:lastModifiedBy>Connelly Kaileen (FCA)</cp:lastModifiedBy>
  <cp:revision>2</cp:revision>
  <cp:lastPrinted>2021-01-20T13:02:00Z</cp:lastPrinted>
  <dcterms:created xsi:type="dcterms:W3CDTF">2021-09-01T18:02:00Z</dcterms:created>
  <dcterms:modified xsi:type="dcterms:W3CDTF">2021-09-01T18:02:00Z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2021-02-03T11:57:45Z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730dcfa6-3d03-48db-8a04-45e7f0a2864e</vt:lpwstr>
  </property>
  <property fmtid="{D5CDD505-2E9C-101B-9397-08002B2CF9AE}" pid="8" name="MSIP_Label_2fd53d93-3f4c-4b90-b511-bd6bdbb4fba9_ContentBits">
    <vt:lpwstr>0</vt:lpwstr>
  </property>
</Properties>
</file>