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C7CF" w14:textId="5513A39F" w:rsidR="00C16AE5" w:rsidRPr="00CB1DE1" w:rsidRDefault="00C16AE5" w:rsidP="00667CC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Stellantis e TotalEnergies danno il benvenuto a Mercedes-Benz come nuovo partner di Automotive Cells Company (ACC) e porteranno la capacità pianificata di quest</w:t>
      </w:r>
      <w:r w:rsidR="00451539"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8"/>
        </w:rPr>
        <w:t>ultima ad almeno 120 GWh entro il 2030</w:t>
      </w:r>
    </w:p>
    <w:p w14:paraId="4E501AAC" w14:textId="4B606125" w:rsidR="00CE77C7" w:rsidRPr="00F33550" w:rsidRDefault="00CE77C7" w:rsidP="00667CC2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</w:p>
    <w:p w14:paraId="4B7BADE5" w14:textId="77777777" w:rsidR="00D37FD5" w:rsidRPr="00F33550" w:rsidRDefault="00D37FD5" w:rsidP="00667CC2">
      <w:pPr>
        <w:pStyle w:val="ListParagraph"/>
        <w:spacing w:after="0" w:line="240" w:lineRule="auto"/>
        <w:ind w:left="360"/>
        <w:jc w:val="both"/>
        <w:rPr>
          <w:rFonts w:ascii="Arial" w:hAnsi="Arial"/>
          <w:i/>
        </w:rPr>
      </w:pPr>
    </w:p>
    <w:p w14:paraId="408CD48E" w14:textId="4FC22EB4" w:rsidR="00E759B8" w:rsidRPr="0021684F" w:rsidRDefault="00B12C44" w:rsidP="002168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/>
          <w:i/>
        </w:rPr>
        <w:t>Mercedes-Benz diventa azionista paritario di ACC insieme a Stellantis e TotalEnergies, ciascuno con una quota pari a 1/3</w:t>
      </w:r>
      <w:r w:rsidR="001D1726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</w:t>
      </w:r>
    </w:p>
    <w:p w14:paraId="6D26141A" w14:textId="66158374" w:rsidR="0021684F" w:rsidRPr="0021684F" w:rsidRDefault="0021684F" w:rsidP="002168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/>
          <w:i/>
        </w:rPr>
      </w:pPr>
      <w:r w:rsidRPr="0021684F">
        <w:rPr>
          <w:rFonts w:ascii="Arial" w:hAnsi="Arial"/>
          <w:i/>
        </w:rPr>
        <w:t>Mercedes-Benz fornirà tecnologia e know-how produttivo ad Automotive Cells Company (ACC).</w:t>
      </w:r>
    </w:p>
    <w:p w14:paraId="5996C2BE" w14:textId="69A38F71" w:rsidR="00E759B8" w:rsidRPr="00CE77C7" w:rsidRDefault="00194032" w:rsidP="00667C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I partner accelereranno lo sviluppo di ACC con un obiettivo di almeno 120 GWh di capacità di celle entro il 2030.</w:t>
      </w:r>
    </w:p>
    <w:p w14:paraId="687D9F84" w14:textId="62CB01C8" w:rsidR="00B23950" w:rsidRPr="00F33550" w:rsidRDefault="00B23950" w:rsidP="00667CC2"/>
    <w:p w14:paraId="21103C76" w14:textId="77777777" w:rsidR="00D37FD5" w:rsidRPr="00F33550" w:rsidRDefault="00D37FD5" w:rsidP="00667CC2"/>
    <w:p w14:paraId="591340AE" w14:textId="178C2A9C" w:rsidR="008C559D" w:rsidRDefault="003D5E94" w:rsidP="00667CC2">
      <w:r>
        <w:rPr>
          <w:rFonts w:ascii="Arial" w:hAnsi="Arial"/>
          <w:b/>
          <w:sz w:val="22"/>
        </w:rPr>
        <w:t>Parigi, 24 settembre 2021 –</w:t>
      </w:r>
      <w:r>
        <w:rPr>
          <w:rFonts w:ascii="Arial" w:hAnsi="Arial"/>
          <w:sz w:val="22"/>
        </w:rPr>
        <w:t xml:space="preserve"> Stellantis, TotalEnergies e Mercedes-Benz hanno stretto accordi per accogliere Mercedes-Benz come nuovo partner di Automotive Cells Company (ACC). Dopo l</w:t>
      </w:r>
      <w:r w:rsidR="0045153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ingresso di Mercedes-Benz, i partner si impegnano ad aumentare la capacità industriale di ACC ad almeno 120 GWh entro il 2030.</w:t>
      </w:r>
      <w:r>
        <w:rPr>
          <w:rFonts w:ascii="Arial" w:hAnsi="Arial"/>
          <w:color w:val="000000" w:themeColor="text1"/>
          <w:sz w:val="22"/>
        </w:rPr>
        <w:t xml:space="preserve"> La transazione è soggetta all</w:t>
      </w:r>
      <w:r w:rsidR="00451539">
        <w:rPr>
          <w:rFonts w:ascii="Arial" w:hAnsi="Arial"/>
          <w:color w:val="000000" w:themeColor="text1"/>
          <w:sz w:val="22"/>
        </w:rPr>
        <w:t>’</w:t>
      </w:r>
      <w:r>
        <w:rPr>
          <w:rFonts w:ascii="Arial" w:hAnsi="Arial"/>
          <w:color w:val="000000" w:themeColor="text1"/>
          <w:sz w:val="22"/>
        </w:rPr>
        <w:t>accordo sulla documentazione definitiva e alle consuete condizioni di chiusura incluse le approvazioni normative.</w:t>
      </w:r>
    </w:p>
    <w:p w14:paraId="5016A082" w14:textId="04434630" w:rsidR="00FA543D" w:rsidRPr="00F33550" w:rsidRDefault="00FA543D" w:rsidP="00667CC2"/>
    <w:p w14:paraId="43E448B1" w14:textId="227DE720" w:rsidR="00AB70E9" w:rsidRDefault="005C2471" w:rsidP="45CB4D9E">
      <w:pPr>
        <w:rPr>
          <w:sz w:val="22"/>
          <w:szCs w:val="22"/>
        </w:rPr>
      </w:pPr>
      <w:r w:rsidRPr="45CB4D9E">
        <w:rPr>
          <w:sz w:val="22"/>
          <w:szCs w:val="22"/>
        </w:rPr>
        <w:t>ACC è il risultato dell</w:t>
      </w:r>
      <w:r w:rsidR="00451539">
        <w:rPr>
          <w:sz w:val="22"/>
          <w:szCs w:val="22"/>
        </w:rPr>
        <w:t>’</w:t>
      </w:r>
      <w:r w:rsidRPr="45CB4D9E">
        <w:rPr>
          <w:sz w:val="22"/>
          <w:szCs w:val="22"/>
        </w:rPr>
        <w:t xml:space="preserve">iniziativa </w:t>
      </w:r>
      <w:r w:rsidRPr="45CB4D9E">
        <w:rPr>
          <w:rFonts w:ascii="Arial" w:hAnsi="Arial"/>
          <w:sz w:val="22"/>
          <w:szCs w:val="22"/>
        </w:rPr>
        <w:t>intrapresa nel 2020 da Stellantis e TotalEnergies e gode del sostegno delle autorità francesi, tedesche ed europee per creare un leader europeo nel settore delle batterie per veicoli elettrici. L</w:t>
      </w:r>
      <w:r w:rsidR="00451539">
        <w:rPr>
          <w:rFonts w:ascii="Arial" w:hAnsi="Arial"/>
          <w:sz w:val="22"/>
          <w:szCs w:val="22"/>
        </w:rPr>
        <w:t>’</w:t>
      </w:r>
      <w:r w:rsidRPr="45CB4D9E">
        <w:rPr>
          <w:rFonts w:ascii="Arial" w:hAnsi="Arial"/>
          <w:sz w:val="22"/>
          <w:szCs w:val="22"/>
        </w:rPr>
        <w:t>ingresso di Mercedes-Benz in ACC è una chiara dimostrazione del grado di evoluzione industriale e dei meriti del progetto, che rafforzerà.</w:t>
      </w:r>
    </w:p>
    <w:p w14:paraId="14573F5D" w14:textId="55F9C2EC" w:rsidR="007D2B6A" w:rsidRPr="00F33550" w:rsidRDefault="007D2B6A" w:rsidP="00667CC2">
      <w:pPr>
        <w:rPr>
          <w:rFonts w:ascii="Arial" w:hAnsi="Arial"/>
          <w:sz w:val="22"/>
        </w:rPr>
      </w:pPr>
    </w:p>
    <w:p w14:paraId="064B8D43" w14:textId="71C3D2AF" w:rsidR="0054536E" w:rsidRPr="003378FB" w:rsidRDefault="00C26911" w:rsidP="00667CC2">
      <w:pPr>
        <w:pStyle w:val="Default"/>
        <w:jc w:val="both"/>
        <w:rPr>
          <w:sz w:val="22"/>
        </w:rPr>
      </w:pPr>
      <w:r>
        <w:rPr>
          <w:sz w:val="22"/>
        </w:rPr>
        <w:t>L</w:t>
      </w:r>
      <w:r w:rsidR="00451539">
        <w:rPr>
          <w:sz w:val="22"/>
        </w:rPr>
        <w:t>’</w:t>
      </w:r>
      <w:r>
        <w:rPr>
          <w:sz w:val="22"/>
        </w:rPr>
        <w:t>obiettivo principale di ACC è sviluppare e produrre celle e moduli di batterie per veicoli elettrici con particolare attenzione alla sicurezza, alle prestazioni e alla competitività e garantendo nel contempo massima qualità e un</w:t>
      </w:r>
      <w:r w:rsidR="00451539">
        <w:rPr>
          <w:sz w:val="22"/>
        </w:rPr>
        <w:t>’</w:t>
      </w:r>
      <w:r>
        <w:rPr>
          <w:sz w:val="22"/>
        </w:rPr>
        <w:t>impronta di carbonio minima. L</w:t>
      </w:r>
      <w:r w:rsidR="00451539">
        <w:rPr>
          <w:sz w:val="22"/>
        </w:rPr>
        <w:t>’</w:t>
      </w:r>
      <w:r>
        <w:rPr>
          <w:sz w:val="22"/>
        </w:rPr>
        <w:t>aumento della capacità pianificata di ACC prevederà un investimento di oltre sette miliardi di euro, che sarà sostenuto da sovvenzioni e finanziato da capitale e debito. La creazione di questo leader europeo del settore delle batterie aiuterà l</w:t>
      </w:r>
      <w:r w:rsidR="00451539">
        <w:rPr>
          <w:sz w:val="22"/>
        </w:rPr>
        <w:t>’</w:t>
      </w:r>
      <w:r>
        <w:rPr>
          <w:sz w:val="22"/>
        </w:rPr>
        <w:t>Europa a fronteggiare le sfide della transizione energetica nell</w:t>
      </w:r>
      <w:r w:rsidR="00451539">
        <w:rPr>
          <w:sz w:val="22"/>
        </w:rPr>
        <w:t>’</w:t>
      </w:r>
      <w:r>
        <w:rPr>
          <w:sz w:val="22"/>
        </w:rPr>
        <w:t>ambito della mobilità, garantendo la sicurezza di approvvigionamento di un componente chiave per l</w:t>
      </w:r>
      <w:r w:rsidR="00451539">
        <w:rPr>
          <w:sz w:val="22"/>
        </w:rPr>
        <w:t>’</w:t>
      </w:r>
      <w:r>
        <w:rPr>
          <w:sz w:val="22"/>
        </w:rPr>
        <w:t>industria delle auto elettriche.</w:t>
      </w:r>
    </w:p>
    <w:p w14:paraId="3C18C1EB" w14:textId="77777777" w:rsidR="0054536E" w:rsidRPr="00F33550" w:rsidRDefault="0054536E" w:rsidP="00667CC2">
      <w:pPr>
        <w:rPr>
          <w:rFonts w:ascii="Arial" w:hAnsi="Arial"/>
          <w:sz w:val="22"/>
        </w:rPr>
      </w:pPr>
    </w:p>
    <w:p w14:paraId="60AACE7C" w14:textId="323F4E1A" w:rsidR="00D833EF" w:rsidRPr="00CB1DE1" w:rsidRDefault="00E759B8" w:rsidP="00667C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ACC potrà contare su un trio vincente di partner che combinano:</w:t>
      </w:r>
    </w:p>
    <w:p w14:paraId="2E47A5AB" w14:textId="41A41BA7" w:rsidR="00605D59" w:rsidRPr="00CB1DE1" w:rsidRDefault="00605D59" w:rsidP="00667CC2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Le profonde competenze tecnologiche nello sviluppo di batterie di Saft, azienda affiliata di TotalEnergies, che vanta oltre 100 anni di esperienza nel settore delle batterie a lunga durata e dei sistemi di batterie.</w:t>
      </w:r>
    </w:p>
    <w:p w14:paraId="35276D0F" w14:textId="015B8BBF" w:rsidR="00AE18DC" w:rsidRPr="00CB1DE1" w:rsidRDefault="00AE18DC" w:rsidP="00667CC2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Un protagonista della mobilità globale come Stellantis, la cui chiara missione è garantire a tutti la libertà di movimento attraverso soluzioni di mobilità esclusive, attraenti, accessibili e sostenibili.</w:t>
      </w:r>
    </w:p>
    <w:p w14:paraId="6B64C8F4" w14:textId="73FAD74E" w:rsidR="00070F09" w:rsidRDefault="00AE18DC" w:rsidP="00667CC2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451539">
        <w:rPr>
          <w:rFonts w:ascii="Arial" w:hAnsi="Arial"/>
        </w:rPr>
        <w:t>’</w:t>
      </w:r>
      <w:r>
        <w:rPr>
          <w:rFonts w:ascii="Arial" w:hAnsi="Arial"/>
        </w:rPr>
        <w:t>esperienza di Mercedes-Benz nella ricerca e sviluppo, oltre al suo supporto all</w:t>
      </w:r>
      <w:r w:rsidR="00451539">
        <w:rPr>
          <w:rFonts w:ascii="Arial" w:hAnsi="Arial"/>
        </w:rPr>
        <w:t>’</w:t>
      </w:r>
      <w:r>
        <w:rPr>
          <w:rFonts w:ascii="Arial" w:hAnsi="Arial"/>
        </w:rPr>
        <w:t>espansione delle strutture di produzione di ACC sulla base degli standard di qualità di riferimento del marchio.</w:t>
      </w:r>
    </w:p>
    <w:p w14:paraId="61EBA80F" w14:textId="2C2D0BD7" w:rsidR="00070F09" w:rsidRPr="00F33550" w:rsidRDefault="00070F09" w:rsidP="00667CC2">
      <w:pPr>
        <w:rPr>
          <w:rFonts w:eastAsia="Arial" w:cstheme="minorHAnsi"/>
          <w:color w:val="000000" w:themeColor="text1"/>
        </w:rPr>
      </w:pPr>
    </w:p>
    <w:p w14:paraId="572BF7D8" w14:textId="1155A4A7" w:rsidR="008C559D" w:rsidRPr="00BB57C0" w:rsidRDefault="004E3DCC" w:rsidP="00667CC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BB57C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Yann</w:t>
      </w:r>
      <w:proofErr w:type="spellEnd"/>
      <w:r w:rsidRPr="00BB57C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Vincent, CEO di ACC, afferma</w:t>
      </w:r>
      <w:r w:rsidRPr="00BB57C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: “Avere Mercedes-Benz con noi come nuovo azionista è una pietra miliare per ACC. Mercedes-Benz porterà un voto di fiducia nella nostra </w:t>
      </w:r>
      <w:proofErr w:type="spellStart"/>
      <w:r w:rsidRPr="00BB57C0">
        <w:rPr>
          <w:rFonts w:ascii="Arial" w:hAnsi="Arial" w:cs="Arial"/>
          <w:color w:val="222222"/>
          <w:sz w:val="22"/>
          <w:szCs w:val="22"/>
          <w:shd w:val="clear" w:color="auto" w:fill="FFFFFF"/>
        </w:rPr>
        <w:t>roadmap</w:t>
      </w:r>
      <w:proofErr w:type="spellEnd"/>
      <w:r w:rsidRPr="00BB57C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tecnologica e nella competitività dei prodotti che rafforzano significativamente il potenziale commerciale di ACC e sono alla base dei nostri ambiziosi piani di crescita. Questo è il nostro contributo per un futuro elettrico e sostenibile”.</w:t>
      </w:r>
    </w:p>
    <w:p w14:paraId="1D9A5FC1" w14:textId="77777777" w:rsidR="004E3DCC" w:rsidRPr="00F33550" w:rsidRDefault="004E3DCC" w:rsidP="00667CC2">
      <w:pPr>
        <w:rPr>
          <w:rFonts w:eastAsia="Arial" w:cstheme="minorHAnsi"/>
          <w:color w:val="000000" w:themeColor="text1"/>
        </w:rPr>
      </w:pPr>
    </w:p>
    <w:p w14:paraId="05692752" w14:textId="74CBD098" w:rsidR="005F0206" w:rsidRPr="00CB1DE1" w:rsidRDefault="00451539" w:rsidP="00667C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="0039623B">
        <w:rPr>
          <w:rFonts w:ascii="Arial" w:hAnsi="Arial"/>
          <w:sz w:val="22"/>
        </w:rPr>
        <w:t>Mercedes-Benz persegue un p</w:t>
      </w:r>
      <w:bookmarkStart w:id="0" w:name="_GoBack"/>
      <w:bookmarkEnd w:id="0"/>
      <w:r w:rsidR="0039623B">
        <w:rPr>
          <w:rFonts w:ascii="Arial" w:hAnsi="Arial"/>
          <w:sz w:val="22"/>
        </w:rPr>
        <w:t>iano di trasformazione molto ambizioso e questo investimento rappresenta una pietra miliare strategica nel nostro percorso verso la neutralità in termini di emissioni di CO2. Insieme ad ACC, svilupperemo e produrremo in Europa celle e moduli per batterie in maniera efficiente e specifica per soddisfare i requisiti di Mercedes-Benz</w:t>
      </w:r>
      <w:r>
        <w:rPr>
          <w:rFonts w:ascii="Arial" w:hAnsi="Arial"/>
          <w:sz w:val="22"/>
        </w:rPr>
        <w:t>”</w:t>
      </w:r>
      <w:r w:rsidR="0039623B">
        <w:rPr>
          <w:rFonts w:ascii="Arial" w:hAnsi="Arial"/>
          <w:sz w:val="22"/>
        </w:rPr>
        <w:t xml:space="preserve">, </w:t>
      </w:r>
      <w:r w:rsidR="0039623B">
        <w:rPr>
          <w:rFonts w:ascii="Arial" w:hAnsi="Arial"/>
          <w:b/>
          <w:sz w:val="22"/>
        </w:rPr>
        <w:t>ha dichiarato Ola Källenius, CEO di Daimler AG e Mercedes-Benz AG</w:t>
      </w:r>
      <w:r w:rsidR="0039623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“</w:t>
      </w:r>
      <w:r w:rsidR="0039623B">
        <w:rPr>
          <w:rFonts w:ascii="Arial" w:hAnsi="Arial"/>
          <w:sz w:val="22"/>
        </w:rPr>
        <w:t>Questa nuova partnership ci consente di garantire la fornitura, di trarre vantaggio dalle economie di scala e di fornire ai nostri clienti batterie dalla una tecnologia superiore. Inoltre, potremo contribuire a garantire che l</w:t>
      </w:r>
      <w:r>
        <w:rPr>
          <w:rFonts w:ascii="Arial" w:hAnsi="Arial"/>
          <w:sz w:val="22"/>
        </w:rPr>
        <w:t>’</w:t>
      </w:r>
      <w:r w:rsidR="0039623B">
        <w:rPr>
          <w:rFonts w:ascii="Arial" w:hAnsi="Arial"/>
          <w:sz w:val="22"/>
        </w:rPr>
        <w:t>Europa rimanga al centro dell</w:t>
      </w:r>
      <w:r>
        <w:rPr>
          <w:rFonts w:ascii="Arial" w:hAnsi="Arial"/>
          <w:sz w:val="22"/>
        </w:rPr>
        <w:t>’</w:t>
      </w:r>
      <w:r w:rsidR="0039623B">
        <w:rPr>
          <w:rFonts w:ascii="Arial" w:hAnsi="Arial"/>
          <w:sz w:val="22"/>
        </w:rPr>
        <w:t>industria automobilistica, anche nell</w:t>
      </w:r>
      <w:r>
        <w:rPr>
          <w:rFonts w:ascii="Arial" w:hAnsi="Arial"/>
          <w:sz w:val="22"/>
        </w:rPr>
        <w:t>’</w:t>
      </w:r>
      <w:r w:rsidR="0039623B">
        <w:rPr>
          <w:rFonts w:ascii="Arial" w:hAnsi="Arial"/>
          <w:sz w:val="22"/>
        </w:rPr>
        <w:t>era dell</w:t>
      </w:r>
      <w:r>
        <w:rPr>
          <w:rFonts w:ascii="Arial" w:hAnsi="Arial"/>
          <w:sz w:val="22"/>
        </w:rPr>
        <w:t>’</w:t>
      </w:r>
      <w:r w:rsidR="0039623B">
        <w:rPr>
          <w:rFonts w:ascii="Arial" w:hAnsi="Arial"/>
          <w:sz w:val="22"/>
        </w:rPr>
        <w:t>elettrificazione. Con Mercedes-Benz come nuovo partner, ACC mira almeno a raddoppiare la capacità nei propri siti europei per sostenere la competitività industriale europea nella progettazione e produzione di celle per batterie.</w:t>
      </w:r>
      <w:r>
        <w:rPr>
          <w:rFonts w:ascii="Arial" w:hAnsi="Arial"/>
          <w:sz w:val="22"/>
        </w:rPr>
        <w:t>”</w:t>
      </w:r>
    </w:p>
    <w:p w14:paraId="1EA021BC" w14:textId="77777777" w:rsidR="0039623B" w:rsidRPr="00F33550" w:rsidRDefault="0039623B" w:rsidP="00667CC2">
      <w:pPr>
        <w:rPr>
          <w:sz w:val="22"/>
        </w:rPr>
      </w:pPr>
    </w:p>
    <w:p w14:paraId="19A06ACC" w14:textId="60EB2B3A" w:rsidR="3DA9A5EE" w:rsidRPr="00CB1DE1" w:rsidRDefault="00451539" w:rsidP="00667CC2">
      <w:r>
        <w:rPr>
          <w:rFonts w:ascii="Arial" w:hAnsi="Arial"/>
          <w:color w:val="000000" w:themeColor="text1"/>
          <w:sz w:val="22"/>
        </w:rPr>
        <w:t>“</w:t>
      </w:r>
      <w:r w:rsidR="3DA9A5EE">
        <w:rPr>
          <w:rFonts w:ascii="Arial" w:hAnsi="Arial"/>
          <w:color w:val="000000" w:themeColor="text1"/>
          <w:sz w:val="22"/>
        </w:rPr>
        <w:t>Diamo il benvenuto a Mercedes-Benz come partner strategico che condivide la nostra ambizione di accelerare la leadership di ACC</w:t>
      </w:r>
      <w:r>
        <w:rPr>
          <w:rFonts w:ascii="Arial" w:hAnsi="Arial"/>
          <w:color w:val="000000" w:themeColor="text1"/>
          <w:sz w:val="22"/>
        </w:rPr>
        <w:t>”</w:t>
      </w:r>
      <w:r w:rsidR="3DA9A5EE">
        <w:rPr>
          <w:rFonts w:ascii="Arial" w:hAnsi="Arial"/>
          <w:color w:val="000000" w:themeColor="text1"/>
          <w:sz w:val="22"/>
        </w:rPr>
        <w:t xml:space="preserve">, </w:t>
      </w:r>
      <w:r w:rsidR="3DA9A5EE">
        <w:rPr>
          <w:rFonts w:ascii="Arial" w:hAnsi="Arial"/>
          <w:b/>
          <w:color w:val="000000" w:themeColor="text1"/>
          <w:sz w:val="22"/>
        </w:rPr>
        <w:t>ha dichiarato il CEO di Stellantis Carlos Tavares</w:t>
      </w:r>
      <w:r w:rsidR="3DA9A5EE">
        <w:rPr>
          <w:rFonts w:ascii="Arial" w:hAnsi="Arial"/>
          <w:color w:val="000000" w:themeColor="text1"/>
          <w:sz w:val="22"/>
        </w:rPr>
        <w:t xml:space="preserve">. </w:t>
      </w:r>
      <w:r>
        <w:rPr>
          <w:rFonts w:ascii="Arial" w:hAnsi="Arial"/>
          <w:color w:val="000000" w:themeColor="text1"/>
          <w:sz w:val="22"/>
        </w:rPr>
        <w:t>“</w:t>
      </w:r>
      <w:r w:rsidR="3DA9A5EE">
        <w:rPr>
          <w:rFonts w:ascii="Arial" w:hAnsi="Arial"/>
          <w:color w:val="000000" w:themeColor="text1"/>
          <w:sz w:val="22"/>
        </w:rPr>
        <w:t>La strategia di elettrificazione di Stellantis procede spedita e l</w:t>
      </w:r>
      <w:r>
        <w:rPr>
          <w:rFonts w:ascii="Arial" w:hAnsi="Arial"/>
          <w:color w:val="000000" w:themeColor="text1"/>
          <w:sz w:val="22"/>
        </w:rPr>
        <w:t>’</w:t>
      </w:r>
      <w:r w:rsidR="3DA9A5EE">
        <w:rPr>
          <w:rFonts w:ascii="Arial" w:hAnsi="Arial"/>
          <w:color w:val="000000" w:themeColor="text1"/>
          <w:sz w:val="22"/>
        </w:rPr>
        <w:t>annuncio di oggi è il passo successivo del nostro piano per diventare i capofila del settore automobilistico, con tutti i 14 marchi impegnati a offrire le migliori soluzioni completamente elettrificate e in grado di soddisfare le esigenze dei clienti. Questa partnership si basa sulla condivisione di competenze tecniche e sinergie di produzione e garantisce che Stellantis continui a indicare al mondo come muoversi nella maniera più efficiente, conveniente e sostenibile.</w:t>
      </w:r>
      <w:r>
        <w:rPr>
          <w:rFonts w:ascii="Arial" w:hAnsi="Arial"/>
          <w:color w:val="000000" w:themeColor="text1"/>
          <w:sz w:val="22"/>
        </w:rPr>
        <w:t>”</w:t>
      </w:r>
    </w:p>
    <w:p w14:paraId="23B93679" w14:textId="194DB1B6" w:rsidR="78E1C33B" w:rsidRPr="00F33550" w:rsidRDefault="78E1C33B" w:rsidP="00667CC2">
      <w:pPr>
        <w:rPr>
          <w:sz w:val="22"/>
        </w:rPr>
      </w:pPr>
    </w:p>
    <w:p w14:paraId="00651BAD" w14:textId="0B4C93DE" w:rsidR="00D9637B" w:rsidRPr="00CB1DE1" w:rsidRDefault="00451539" w:rsidP="00667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 w:rsidR="007A0BDD" w:rsidRPr="007A0BDD">
        <w:rPr>
          <w:rFonts w:ascii="Arial" w:hAnsi="Arial"/>
          <w:sz w:val="22"/>
          <w:szCs w:val="22"/>
        </w:rPr>
        <w:t xml:space="preserve">Siamo lieti di accogliere Mercedes-Benz come nuovo partner di ACC. Ciò dimostra la credibilità della nostra iniziativa presa un anno fa con </w:t>
      </w:r>
      <w:proofErr w:type="spellStart"/>
      <w:r w:rsidR="007A0BDD" w:rsidRPr="007A0BDD">
        <w:rPr>
          <w:rFonts w:ascii="Arial" w:hAnsi="Arial"/>
          <w:sz w:val="22"/>
          <w:szCs w:val="22"/>
        </w:rPr>
        <w:t>Stellantis</w:t>
      </w:r>
      <w:proofErr w:type="spellEnd"/>
      <w:r w:rsidR="007A0BDD" w:rsidRPr="007A0BDD">
        <w:rPr>
          <w:rFonts w:ascii="Arial" w:hAnsi="Arial"/>
          <w:sz w:val="22"/>
          <w:szCs w:val="22"/>
        </w:rPr>
        <w:t xml:space="preserve"> e sosterrà chiaramente la nostra ambizione di creare un campione europeo di batterie. Insieme, combineremo le nostre capacità per indirizzare il futuro della mobilità verso uno sviluppo sostenibile. Questo nuovo passo è un’altra dimostrazione della trasformazione di </w:t>
      </w:r>
      <w:proofErr w:type="spellStart"/>
      <w:r w:rsidR="007A0BDD" w:rsidRPr="007A0BDD">
        <w:rPr>
          <w:rFonts w:ascii="Arial" w:hAnsi="Arial"/>
          <w:sz w:val="22"/>
          <w:szCs w:val="22"/>
        </w:rPr>
        <w:t>TotalEnergies</w:t>
      </w:r>
      <w:proofErr w:type="spellEnd"/>
      <w:r w:rsidR="007A0BDD" w:rsidRPr="007A0BDD">
        <w:rPr>
          <w:rFonts w:ascii="Arial" w:hAnsi="Arial"/>
          <w:sz w:val="22"/>
          <w:szCs w:val="22"/>
        </w:rPr>
        <w:t xml:space="preserve"> in azienda multi-energetica e una prova concreta della nostra intenzione di ampliare la nostra presenza nella mobilità elettrica. </w:t>
      </w:r>
      <w:proofErr w:type="spellStart"/>
      <w:r w:rsidR="007A0BDD" w:rsidRPr="007A0BDD">
        <w:rPr>
          <w:rFonts w:ascii="Arial" w:hAnsi="Arial"/>
          <w:sz w:val="22"/>
          <w:szCs w:val="22"/>
        </w:rPr>
        <w:t>TotalEnergies</w:t>
      </w:r>
      <w:proofErr w:type="spellEnd"/>
      <w:r w:rsidR="007A0BDD" w:rsidRPr="007A0BDD">
        <w:rPr>
          <w:rFonts w:ascii="Arial" w:hAnsi="Arial"/>
          <w:sz w:val="22"/>
          <w:szCs w:val="22"/>
        </w:rPr>
        <w:t xml:space="preserve"> attingerà alle competenze riconosciute nello sviluppo di batterie della sua filiale </w:t>
      </w:r>
      <w:proofErr w:type="spellStart"/>
      <w:r w:rsidR="007A0BDD" w:rsidRPr="007A0BDD">
        <w:rPr>
          <w:rFonts w:ascii="Arial" w:hAnsi="Arial"/>
          <w:sz w:val="22"/>
          <w:szCs w:val="22"/>
        </w:rPr>
        <w:t>Saft</w:t>
      </w:r>
      <w:proofErr w:type="spellEnd"/>
      <w:r w:rsidR="007A0BDD" w:rsidRPr="007A0BDD">
        <w:rPr>
          <w:rFonts w:ascii="Arial" w:hAnsi="Arial"/>
          <w:sz w:val="22"/>
          <w:szCs w:val="22"/>
        </w:rPr>
        <w:t xml:space="preserve"> e al know-how industriale dei suoi partner per soddisfare la forte crescita dei veicoli elettrici in Europ</w:t>
      </w:r>
      <w:r w:rsidR="007A0BDD">
        <w:rPr>
          <w:rFonts w:ascii="Arial" w:hAnsi="Arial"/>
          <w:sz w:val="22"/>
          <w:szCs w:val="22"/>
        </w:rPr>
        <w:t>a</w:t>
      </w:r>
      <w:r w:rsidR="000D26AE" w:rsidRPr="1FD6D4E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”</w:t>
      </w:r>
      <w:r w:rsidR="000D26AE" w:rsidRPr="1FD6D4E4">
        <w:rPr>
          <w:rFonts w:ascii="Arial" w:hAnsi="Arial"/>
          <w:sz w:val="22"/>
          <w:szCs w:val="22"/>
        </w:rPr>
        <w:t xml:space="preserve"> </w:t>
      </w:r>
      <w:r w:rsidR="000D26AE" w:rsidRPr="1FD6D4E4">
        <w:rPr>
          <w:rFonts w:ascii="Arial" w:hAnsi="Arial"/>
          <w:b/>
          <w:bCs/>
          <w:sz w:val="22"/>
          <w:szCs w:val="22"/>
        </w:rPr>
        <w:t>ha dichiarato Patrick Pouyanné, Presidente e CEO di TotalEnergies.</w:t>
      </w:r>
      <w:r w:rsidR="000D26AE" w:rsidRPr="1FD6D4E4">
        <w:rPr>
          <w:rFonts w:ascii="Arial" w:hAnsi="Arial"/>
          <w:sz w:val="22"/>
          <w:szCs w:val="22"/>
        </w:rPr>
        <w:t xml:space="preserve"> </w:t>
      </w:r>
    </w:p>
    <w:p w14:paraId="57F194BD" w14:textId="77777777" w:rsidR="00EB0281" w:rsidRPr="00F33550" w:rsidRDefault="00EB0281" w:rsidP="00667CC2">
      <w:pPr>
        <w:rPr>
          <w:rStyle w:val="SubtleReference"/>
        </w:rPr>
      </w:pPr>
    </w:p>
    <w:p w14:paraId="558346C5" w14:textId="24F5A90B" w:rsidR="00F81D08" w:rsidRPr="00D07418" w:rsidRDefault="00A67EB7" w:rsidP="001D1726">
      <w:pPr>
        <w:jc w:val="center"/>
        <w:rPr>
          <w:rStyle w:val="SubtleReference"/>
        </w:rPr>
      </w:pPr>
      <w:r>
        <w:rPr>
          <w:rStyle w:val="SubtleReference"/>
        </w:rPr>
        <w:t>**</w:t>
      </w:r>
    </w:p>
    <w:p w14:paraId="1BEB3AAD" w14:textId="77777777" w:rsidR="00CB1DE1" w:rsidRPr="007507FC" w:rsidRDefault="00CB1DE1" w:rsidP="00667CC2">
      <w:pPr>
        <w:textAlignment w:val="baseline"/>
        <w:rPr>
          <w:rFonts w:eastAsia="Times New Roman"/>
          <w:b/>
        </w:rPr>
      </w:pPr>
      <w:r w:rsidRPr="007507FC">
        <w:rPr>
          <w:b/>
        </w:rPr>
        <w:t>ACC</w:t>
      </w:r>
    </w:p>
    <w:p w14:paraId="2A36B014" w14:textId="13922F32" w:rsidR="00CB1DE1" w:rsidRPr="008F13E5" w:rsidRDefault="00CB1DE1" w:rsidP="00667CC2">
      <w:pPr>
        <w:textAlignment w:val="baseline"/>
        <w:rPr>
          <w:rFonts w:eastAsia="Times New Roman"/>
          <w:sz w:val="22"/>
          <w:szCs w:val="22"/>
        </w:rPr>
      </w:pPr>
      <w:r>
        <w:rPr>
          <w:sz w:val="22"/>
        </w:rPr>
        <w:t>Automotive Cells Company (ACC) è stata fondata nell</w:t>
      </w:r>
      <w:r w:rsidR="00451539">
        <w:rPr>
          <w:sz w:val="22"/>
        </w:rPr>
        <w:t>’</w:t>
      </w:r>
      <w:r>
        <w:rPr>
          <w:sz w:val="22"/>
        </w:rPr>
        <w:t>agosto del 2020 e oggi combina le competenze di tre grandi aziende con capacità ed esperienze complementari. L</w:t>
      </w:r>
      <w:r w:rsidR="00451539">
        <w:rPr>
          <w:sz w:val="22"/>
        </w:rPr>
        <w:t>’</w:t>
      </w:r>
      <w:r>
        <w:rPr>
          <w:sz w:val="22"/>
        </w:rPr>
        <w:t>ambizione di ACC è diventare il leader del mercato europeo delle batterie per auto per garantire a tutti una mobilità pulita ed efficiente. Il centro di R&amp;S e le strutture di prova in Nouvelle-Aquitaine sono solo l</w:t>
      </w:r>
      <w:r w:rsidR="00451539">
        <w:rPr>
          <w:sz w:val="22"/>
        </w:rPr>
        <w:t>’</w:t>
      </w:r>
      <w:r>
        <w:rPr>
          <w:sz w:val="22"/>
        </w:rPr>
        <w:t>inizio. </w:t>
      </w:r>
    </w:p>
    <w:p w14:paraId="0F0DAFB5" w14:textId="77777777" w:rsidR="00CB1DE1" w:rsidRPr="00F33550" w:rsidRDefault="00CB1DE1" w:rsidP="00667CC2">
      <w:pPr>
        <w:textAlignment w:val="baseline"/>
        <w:rPr>
          <w:rFonts w:eastAsia="Times New Roman"/>
          <w:b/>
          <w:bCs/>
          <w:color w:val="000000"/>
          <w:sz w:val="22"/>
          <w:szCs w:val="22"/>
          <w:lang w:eastAsia="de-DE"/>
        </w:rPr>
      </w:pPr>
    </w:p>
    <w:p w14:paraId="1B1A6E53" w14:textId="478C20F6" w:rsidR="00CB1DE1" w:rsidRPr="008F13E5" w:rsidRDefault="00CB1DE1" w:rsidP="00667CC2">
      <w:pPr>
        <w:textAlignment w:val="baseline"/>
        <w:rPr>
          <w:rFonts w:eastAsia="Times New Roman"/>
          <w:sz w:val="22"/>
          <w:szCs w:val="22"/>
        </w:rPr>
      </w:pPr>
      <w:r>
        <w:rPr>
          <w:b/>
          <w:color w:val="000000" w:themeColor="text1"/>
          <w:sz w:val="22"/>
        </w:rPr>
        <w:t>Mercedes-Benz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color w:val="000000" w:themeColor="text1"/>
          <w:sz w:val="22"/>
        </w:rPr>
        <w:t>Mercedes-Benz AG è responsabile del business globale di Mercedes-Benz Cars e Mercedes-Benz Vans e conta oltre 170.000 dipendenti in tutto il mondo. L</w:t>
      </w:r>
      <w:r w:rsidR="00451539">
        <w:rPr>
          <w:color w:val="000000" w:themeColor="text1"/>
          <w:sz w:val="22"/>
        </w:rPr>
        <w:t>’</w:t>
      </w:r>
      <w:r>
        <w:rPr>
          <w:color w:val="000000" w:themeColor="text1"/>
          <w:sz w:val="22"/>
        </w:rPr>
        <w:t>azienda si concentra sullo sviluppo, la produzione e la vendita di autovetture, furgoni e servizi dedicati ai veicoli. Inoltre, aspira ad essere il leader dei settori della mobilità elettrica e del software per veicoli. Mercedes-Benz AG è uno dei maggiori produttori mondiali di autovetture di lusso. Nei suoi due segmenti di attività, Mercedes-Benz AG espande continuamente la propria rete di produzione mondiale che oggi vanta circa 35 siti di produzione in quattro continenti e si sta attrezzando per soddisfare le esigenze della mobilità elettrica. Nel contempo, l</w:t>
      </w:r>
      <w:r w:rsidR="00451539">
        <w:rPr>
          <w:color w:val="000000" w:themeColor="text1"/>
          <w:sz w:val="22"/>
        </w:rPr>
        <w:t>’</w:t>
      </w:r>
      <w:r>
        <w:rPr>
          <w:color w:val="000000" w:themeColor="text1"/>
          <w:sz w:val="22"/>
        </w:rPr>
        <w:t>azienda sta sviluppando e ampliando la propria rete globale di siti di produzione di batterie in tre continenti.  </w:t>
      </w:r>
    </w:p>
    <w:p w14:paraId="6100E085" w14:textId="77777777" w:rsidR="00CB1DE1" w:rsidRPr="00F33550" w:rsidRDefault="00CB1DE1" w:rsidP="00667CC2">
      <w:pPr>
        <w:rPr>
          <w:b/>
          <w:bCs/>
          <w:sz w:val="22"/>
          <w:szCs w:val="22"/>
        </w:rPr>
      </w:pPr>
    </w:p>
    <w:p w14:paraId="45E63CE9" w14:textId="77777777" w:rsidR="000000B9" w:rsidRDefault="000000B9" w:rsidP="00667CC2">
      <w:pPr>
        <w:rPr>
          <w:b/>
          <w:sz w:val="22"/>
        </w:rPr>
      </w:pPr>
    </w:p>
    <w:p w14:paraId="0333D8E4" w14:textId="6CCE6ADB" w:rsidR="00CB1DE1" w:rsidRPr="008F13E5" w:rsidRDefault="00CB1DE1" w:rsidP="00667CC2">
      <w:pPr>
        <w:rPr>
          <w:b/>
          <w:bCs/>
          <w:sz w:val="22"/>
          <w:szCs w:val="22"/>
        </w:rPr>
      </w:pPr>
      <w:r>
        <w:rPr>
          <w:b/>
          <w:sz w:val="22"/>
        </w:rPr>
        <w:t xml:space="preserve">Saft </w:t>
      </w:r>
    </w:p>
    <w:p w14:paraId="771447D7" w14:textId="16B81F0D" w:rsidR="00CB1DE1" w:rsidRPr="008F13E5" w:rsidRDefault="00CB1DE1" w:rsidP="00667CC2">
      <w:pPr>
        <w:rPr>
          <w:sz w:val="22"/>
          <w:szCs w:val="22"/>
        </w:rPr>
      </w:pPr>
      <w:r>
        <w:rPr>
          <w:sz w:val="22"/>
        </w:rPr>
        <w:t>Saft è specializzata in soluzioni di batterie tecnologicamente avanzate per l</w:t>
      </w:r>
      <w:r w:rsidR="00451539">
        <w:rPr>
          <w:sz w:val="22"/>
        </w:rPr>
        <w:t>’</w:t>
      </w:r>
      <w:r>
        <w:rPr>
          <w:sz w:val="22"/>
        </w:rPr>
        <w:t xml:space="preserve">industria: dalla progettazione e sviluppo alla produzione, alla personalizzazione, alla fornitura di servizi. Da oltre 100 anni, le batterie e i sistemi a lunga durata di Saft alimentano applicazioni critiche per la sicurezza, sistemi di emergenza e di propulsione dei clienti. La nostra tecnologia innovativa, sicura e affidabile offre prestazioni elevate a terra, in mare, in cielo e nello spazio. </w:t>
      </w:r>
      <w:proofErr w:type="spellStart"/>
      <w:r>
        <w:rPr>
          <w:sz w:val="22"/>
        </w:rPr>
        <w:t>Saft</w:t>
      </w:r>
      <w:proofErr w:type="spellEnd"/>
      <w:r>
        <w:rPr>
          <w:sz w:val="22"/>
        </w:rPr>
        <w:t xml:space="preserve"> alimenta l</w:t>
      </w:r>
      <w:r w:rsidR="00451539">
        <w:rPr>
          <w:sz w:val="22"/>
        </w:rPr>
        <w:t>’</w:t>
      </w:r>
      <w:r>
        <w:rPr>
          <w:sz w:val="22"/>
        </w:rPr>
        <w:t xml:space="preserve">industria e le città più intelligenti, offrendo nel contempo funzionalità critiche di emergenza in ambienti remoti e difficili, dal Circolo Polare Artico al deserto del Sahara. Saft è una società interamente controllata da </w:t>
      </w:r>
      <w:proofErr w:type="spellStart"/>
      <w:r>
        <w:rPr>
          <w:sz w:val="22"/>
        </w:rPr>
        <w:t>TotalEnergies</w:t>
      </w:r>
      <w:proofErr w:type="spellEnd"/>
      <w:r>
        <w:rPr>
          <w:sz w:val="22"/>
        </w:rPr>
        <w:t>, un</w:t>
      </w:r>
      <w:r w:rsidR="00451539">
        <w:rPr>
          <w:sz w:val="22"/>
        </w:rPr>
        <w:t>’</w:t>
      </w:r>
      <w:r>
        <w:rPr>
          <w:sz w:val="22"/>
        </w:rPr>
        <w:t xml:space="preserve">azienda multi-energetica che produce e commercializza carburanti, gas naturale ed elettricità. </w:t>
      </w:r>
    </w:p>
    <w:p w14:paraId="6014F8F8" w14:textId="77777777" w:rsidR="00CB1DE1" w:rsidRPr="008F13E5" w:rsidRDefault="00CB1DE1" w:rsidP="00667CC2">
      <w:pPr>
        <w:rPr>
          <w:rStyle w:val="SubtleReference"/>
          <w:i w:val="0"/>
          <w:iCs w:val="0"/>
          <w:sz w:val="22"/>
          <w:szCs w:val="22"/>
        </w:rPr>
      </w:pPr>
      <w:r>
        <w:rPr>
          <w:sz w:val="22"/>
        </w:rPr>
        <w:t xml:space="preserve">Diamo energia al mondo. </w:t>
      </w:r>
      <w:hyperlink r:id="rId11">
        <w:r>
          <w:rPr>
            <w:rStyle w:val="Hyperlink"/>
            <w:sz w:val="22"/>
          </w:rPr>
          <w:t>www.saftbatteries.com</w:t>
        </w:r>
      </w:hyperlink>
    </w:p>
    <w:p w14:paraId="60072923" w14:textId="77777777" w:rsidR="00CB1DE1" w:rsidRPr="00F33550" w:rsidRDefault="00CB1DE1" w:rsidP="00667CC2">
      <w:pPr>
        <w:textAlignment w:val="baseline"/>
        <w:rPr>
          <w:rFonts w:eastAsia="Times New Roman"/>
          <w:sz w:val="22"/>
          <w:szCs w:val="22"/>
          <w:lang w:eastAsia="de-DE"/>
        </w:rPr>
      </w:pPr>
    </w:p>
    <w:p w14:paraId="0DC20C65" w14:textId="77777777" w:rsidR="00CB1DE1" w:rsidRPr="008F13E5" w:rsidRDefault="00CB1DE1" w:rsidP="00667CC2">
      <w:pPr>
        <w:textAlignment w:val="baseline"/>
        <w:rPr>
          <w:rFonts w:eastAsia="Times New Roman"/>
          <w:sz w:val="22"/>
          <w:szCs w:val="22"/>
        </w:rPr>
      </w:pPr>
      <w:r>
        <w:rPr>
          <w:b/>
          <w:sz w:val="22"/>
        </w:rPr>
        <w:t>Stellantis</w:t>
      </w:r>
      <w:r>
        <w:rPr>
          <w:sz w:val="22"/>
        </w:rPr>
        <w:t> </w:t>
      </w:r>
    </w:p>
    <w:p w14:paraId="686228A6" w14:textId="7A2F9EAA" w:rsidR="00CB1DE1" w:rsidRPr="008F13E5" w:rsidRDefault="00CB1DE1" w:rsidP="00667CC2">
      <w:pPr>
        <w:textAlignment w:val="baseline"/>
        <w:rPr>
          <w:rFonts w:eastAsia="Times New Roman"/>
          <w:sz w:val="22"/>
          <w:szCs w:val="22"/>
        </w:rPr>
      </w:pPr>
      <w:r>
        <w:rPr>
          <w:sz w:val="22"/>
        </w:rPr>
        <w:t>Stellantis è una delle principali case automobilistiche al mondo. Protagonista della nuova era della mobilità, è guidata da una visione chiara: offrire libertà di movimento con soluzioni di mobilità esclusive, convenienti e affidabili. Oltre al ricco patrimonio e all</w:t>
      </w:r>
      <w:r w:rsidR="00451539">
        <w:rPr>
          <w:sz w:val="22"/>
        </w:rPr>
        <w:t>’</w:t>
      </w:r>
      <w:r>
        <w:rPr>
          <w:sz w:val="22"/>
        </w:rPr>
        <w:t>ampia presenza geografica dell</w:t>
      </w:r>
      <w:r w:rsidR="00451539">
        <w:rPr>
          <w:sz w:val="22"/>
        </w:rPr>
        <w:t>’</w:t>
      </w:r>
      <w:r>
        <w:rPr>
          <w:sz w:val="22"/>
        </w:rPr>
        <w:t xml:space="preserve">azienda,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</w:t>
      </w:r>
      <w:proofErr w:type="spellStart"/>
      <w:r>
        <w:rPr>
          <w:sz w:val="22"/>
        </w:rPr>
        <w:t>Stellantis</w:t>
      </w:r>
      <w:proofErr w:type="spellEnd"/>
      <w:r>
        <w:rPr>
          <w:sz w:val="22"/>
        </w:rPr>
        <w:t xml:space="preserve"> punta all</w:t>
      </w:r>
      <w:r w:rsidR="00451539">
        <w:rPr>
          <w:sz w:val="22"/>
        </w:rPr>
        <w:t>’</w:t>
      </w:r>
      <w:r>
        <w:rPr>
          <w:sz w:val="22"/>
        </w:rPr>
        <w:t>eccellenza, non alla grandezza, e si pone l</w:t>
      </w:r>
      <w:r w:rsidR="00451539">
        <w:rPr>
          <w:sz w:val="22"/>
        </w:rPr>
        <w:t>’</w:t>
      </w:r>
      <w:r>
        <w:rPr>
          <w:sz w:val="22"/>
        </w:rPr>
        <w:t>obiettivo di creare valore aggiunto per tutti gli stakeholder e le comunità in cui opera. </w:t>
      </w:r>
    </w:p>
    <w:p w14:paraId="18BE5DB8" w14:textId="77777777" w:rsidR="00CB1DE1" w:rsidRPr="00F33550" w:rsidRDefault="00CB1DE1" w:rsidP="00667CC2">
      <w:pPr>
        <w:textAlignment w:val="baseline"/>
        <w:rPr>
          <w:rFonts w:eastAsia="Times New Roman"/>
          <w:sz w:val="22"/>
          <w:szCs w:val="22"/>
          <w:lang w:eastAsia="de-DE"/>
        </w:rPr>
      </w:pPr>
    </w:p>
    <w:p w14:paraId="5A1E2785" w14:textId="77777777" w:rsidR="00CB1DE1" w:rsidRPr="008F13E5" w:rsidRDefault="00CB1DE1" w:rsidP="00667CC2">
      <w:pPr>
        <w:textAlignment w:val="baseline"/>
        <w:rPr>
          <w:rFonts w:eastAsia="Times New Roman"/>
          <w:sz w:val="22"/>
          <w:szCs w:val="22"/>
        </w:rPr>
      </w:pPr>
      <w:r>
        <w:rPr>
          <w:b/>
          <w:sz w:val="22"/>
        </w:rPr>
        <w:t>TotalEnergies</w:t>
      </w:r>
    </w:p>
    <w:p w14:paraId="51DF04B0" w14:textId="58976C2E" w:rsidR="00CB1DE1" w:rsidRPr="008F13E5" w:rsidRDefault="00CB1DE1" w:rsidP="00667CC2">
      <w:pPr>
        <w:textAlignment w:val="baseline"/>
        <w:rPr>
          <w:rFonts w:eastAsia="Times New Roman"/>
          <w:sz w:val="22"/>
          <w:szCs w:val="22"/>
        </w:rPr>
      </w:pPr>
      <w:proofErr w:type="spellStart"/>
      <w:r>
        <w:rPr>
          <w:sz w:val="22"/>
        </w:rPr>
        <w:t>TotalEnergies</w:t>
      </w:r>
      <w:proofErr w:type="spellEnd"/>
      <w:r>
        <w:rPr>
          <w:sz w:val="22"/>
        </w:rPr>
        <w:t xml:space="preserve"> è un</w:t>
      </w:r>
      <w:r w:rsidR="00451539">
        <w:rPr>
          <w:sz w:val="22"/>
        </w:rPr>
        <w:t>’</w:t>
      </w:r>
      <w:r>
        <w:rPr>
          <w:sz w:val="22"/>
        </w:rPr>
        <w:t>azienda multi-energetica che produce e commercializza energia su scala globale: petrolio e biocarburanti, gas naturale e gas green, energie rinnovabili ed energia elettrica. I nostri 105.000 dipendenti si impegnano per un</w:t>
      </w:r>
      <w:r w:rsidR="00451539">
        <w:rPr>
          <w:sz w:val="22"/>
        </w:rPr>
        <w:t>’</w:t>
      </w:r>
      <w:r>
        <w:rPr>
          <w:sz w:val="22"/>
        </w:rPr>
        <w:t>energia sempre più conveniente, pulita, affidabile e accessibile al maggior numero di persone possibile. Presente in oltre 130 paesi, TotalEnergies pone lo sviluppo sostenibile, in tutte le sue dimensioni, al centro dei suoi progetti e operazioni per contribuire al benessere delle popolazioni. </w:t>
      </w:r>
    </w:p>
    <w:p w14:paraId="73C3B8F0" w14:textId="77777777" w:rsidR="00CB1DE1" w:rsidRPr="00F33550" w:rsidRDefault="00CB1DE1" w:rsidP="00667CC2">
      <w:pPr>
        <w:textAlignment w:val="baseline"/>
        <w:rPr>
          <w:rFonts w:eastAsia="Times New Roman" w:cstheme="minorHAnsi"/>
          <w:sz w:val="22"/>
          <w:szCs w:val="22"/>
          <w:lang w:eastAsia="de-DE"/>
        </w:rPr>
      </w:pPr>
    </w:p>
    <w:p w14:paraId="369AC9B2" w14:textId="77777777" w:rsidR="00CB1DE1" w:rsidRPr="00F33550" w:rsidRDefault="00CB1DE1" w:rsidP="00667CC2">
      <w:pPr>
        <w:textAlignment w:val="baseline"/>
        <w:rPr>
          <w:rFonts w:eastAsia="Times New Roman" w:cstheme="minorHAnsi"/>
          <w:sz w:val="22"/>
          <w:szCs w:val="22"/>
          <w:lang w:eastAsia="de-DE"/>
        </w:rPr>
      </w:pPr>
    </w:p>
    <w:p w14:paraId="6B388AE7" w14:textId="77777777" w:rsidR="00CB1DE1" w:rsidRPr="00CB1DE1" w:rsidRDefault="00CB1DE1" w:rsidP="00667CC2">
      <w:pPr>
        <w:rPr>
          <w:rFonts w:eastAsia="Arial" w:cstheme="minorHAnsi"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</w:rPr>
        <w:t>Contatti di ACC:</w:t>
      </w:r>
    </w:p>
    <w:p w14:paraId="7335A691" w14:textId="77777777" w:rsidR="00CB1DE1" w:rsidRPr="00CB1DE1" w:rsidRDefault="00CB1DE1" w:rsidP="00667CC2">
      <w:pPr>
        <w:rPr>
          <w:rFonts w:cstheme="minorHAnsi"/>
          <w:sz w:val="22"/>
          <w:szCs w:val="22"/>
        </w:rPr>
      </w:pPr>
      <w:r>
        <w:rPr>
          <w:sz w:val="22"/>
        </w:rPr>
        <w:t xml:space="preserve">Matthieu Hubert: +33 (0) 6 88 05 16 26, </w:t>
      </w:r>
      <w:r>
        <w:rPr>
          <w:rStyle w:val="Hyperlink"/>
          <w:sz w:val="22"/>
        </w:rPr>
        <w:t>matthieu.hubert@acc-emotion.com</w:t>
      </w:r>
    </w:p>
    <w:p w14:paraId="6C44032E" w14:textId="77777777" w:rsidR="00CB1DE1" w:rsidRPr="00F33550" w:rsidRDefault="00CB1DE1" w:rsidP="00667CC2">
      <w:pPr>
        <w:rPr>
          <w:rFonts w:cstheme="minorHAnsi"/>
          <w:sz w:val="22"/>
          <w:szCs w:val="22"/>
        </w:rPr>
      </w:pPr>
    </w:p>
    <w:p w14:paraId="083AFB51" w14:textId="77777777" w:rsidR="00CB1DE1" w:rsidRPr="00CB1DE1" w:rsidRDefault="00CB1DE1" w:rsidP="00667CC2">
      <w:pPr>
        <w:rPr>
          <w:rStyle w:val="SubtleReference"/>
          <w:rFonts w:cstheme="minorHAnsi"/>
          <w:b/>
          <w:i w:val="0"/>
          <w:iCs w:val="0"/>
          <w:sz w:val="22"/>
          <w:szCs w:val="22"/>
        </w:rPr>
      </w:pPr>
      <w:r>
        <w:rPr>
          <w:rStyle w:val="SubtleReference"/>
          <w:b/>
          <w:i w:val="0"/>
          <w:sz w:val="22"/>
        </w:rPr>
        <w:t>Contatti di Mercedes-Benz:</w:t>
      </w:r>
    </w:p>
    <w:p w14:paraId="59C812CA" w14:textId="77777777" w:rsidR="00CB1DE1" w:rsidRPr="00CB1DE1" w:rsidRDefault="00CB1DE1" w:rsidP="00667CC2">
      <w:pPr>
        <w:rPr>
          <w:rFonts w:cstheme="minorHAnsi"/>
          <w:sz w:val="22"/>
          <w:szCs w:val="22"/>
        </w:rPr>
      </w:pPr>
      <w:r>
        <w:rPr>
          <w:sz w:val="22"/>
        </w:rPr>
        <w:t xml:space="preserve">Aline Meiser: +49 (0) 176 30 900 064, </w:t>
      </w:r>
      <w:r>
        <w:rPr>
          <w:rStyle w:val="Hyperlink"/>
          <w:sz w:val="22"/>
        </w:rPr>
        <w:t>aline.meiser@daimler.com</w:t>
      </w:r>
      <w:r>
        <w:rPr>
          <w:sz w:val="22"/>
        </w:rPr>
        <w:t xml:space="preserve"> </w:t>
      </w:r>
    </w:p>
    <w:p w14:paraId="6B85AA58" w14:textId="23E85F21" w:rsidR="00CB1DE1" w:rsidRPr="00F33550" w:rsidRDefault="00CB1DE1" w:rsidP="00667CC2">
      <w:pPr>
        <w:rPr>
          <w:rStyle w:val="Hyperlink"/>
          <w:rFonts w:cstheme="minorHAnsi"/>
          <w:sz w:val="22"/>
          <w:szCs w:val="22"/>
          <w:lang w:val="en-GB"/>
        </w:rPr>
      </w:pPr>
      <w:r w:rsidRPr="00F33550">
        <w:rPr>
          <w:sz w:val="22"/>
          <w:lang w:val="en-GB"/>
        </w:rPr>
        <w:t xml:space="preserve">Heike </w:t>
      </w:r>
      <w:proofErr w:type="spellStart"/>
      <w:r w:rsidRPr="00F33550">
        <w:rPr>
          <w:sz w:val="22"/>
          <w:lang w:val="en-GB"/>
        </w:rPr>
        <w:t>Rombach</w:t>
      </w:r>
      <w:proofErr w:type="spellEnd"/>
      <w:r w:rsidRPr="00F33550">
        <w:rPr>
          <w:sz w:val="22"/>
          <w:lang w:val="en-GB"/>
        </w:rPr>
        <w:t xml:space="preserve">: +49 (0) 176 30 922 505, </w:t>
      </w:r>
      <w:hyperlink r:id="rId12" w:history="1">
        <w:r w:rsidRPr="00F33550">
          <w:rPr>
            <w:rStyle w:val="Hyperlink"/>
            <w:sz w:val="22"/>
            <w:lang w:val="en-GB"/>
          </w:rPr>
          <w:t>heike.rombach@daimler.com</w:t>
        </w:r>
      </w:hyperlink>
    </w:p>
    <w:p w14:paraId="2496379A" w14:textId="31DFD4C8" w:rsidR="008F13E5" w:rsidRPr="009E5BEE" w:rsidRDefault="008F13E5" w:rsidP="00667CC2">
      <w:pPr>
        <w:rPr>
          <w:rStyle w:val="Hyperlink"/>
          <w:rFonts w:cstheme="minorHAnsi"/>
          <w:color w:val="auto"/>
          <w:sz w:val="22"/>
          <w:szCs w:val="22"/>
          <w:lang w:val="en-US"/>
        </w:rPr>
      </w:pPr>
    </w:p>
    <w:p w14:paraId="72F2BB38" w14:textId="27E39AB7" w:rsidR="008F13E5" w:rsidRPr="00F33550" w:rsidRDefault="008F13E5" w:rsidP="00667CC2">
      <w:pPr>
        <w:rPr>
          <w:rFonts w:cstheme="minorHAnsi"/>
          <w:sz w:val="22"/>
          <w:szCs w:val="22"/>
          <w:lang w:val="en-GB"/>
        </w:rPr>
      </w:pPr>
      <w:r w:rsidRPr="00F33550">
        <w:rPr>
          <w:rStyle w:val="SubtleReference"/>
          <w:b/>
          <w:sz w:val="22"/>
          <w:lang w:val="en-GB"/>
        </w:rPr>
        <w:t>Saft:</w:t>
      </w:r>
      <w:r w:rsidRPr="00F33550">
        <w:rPr>
          <w:rStyle w:val="SubtleReference"/>
          <w:b/>
          <w:sz w:val="22"/>
          <w:lang w:val="en-GB"/>
        </w:rPr>
        <w:br/>
      </w:r>
      <w:r w:rsidRPr="00F33550">
        <w:rPr>
          <w:rStyle w:val="Hyperlink"/>
          <w:color w:val="auto"/>
          <w:sz w:val="22"/>
          <w:lang w:val="en-GB"/>
        </w:rPr>
        <w:t>Elma Peters: +33 (0) 7 63 46 06 47</w:t>
      </w:r>
      <w:r w:rsidRPr="00F33550">
        <w:rPr>
          <w:rStyle w:val="Hyperlink"/>
          <w:sz w:val="22"/>
          <w:lang w:val="en-GB"/>
        </w:rPr>
        <w:t>; elma.peters@saftbatteries.com</w:t>
      </w:r>
    </w:p>
    <w:p w14:paraId="01E4DF71" w14:textId="77777777" w:rsidR="00CB1DE1" w:rsidRPr="00D373E2" w:rsidRDefault="00CB1DE1" w:rsidP="00667CC2">
      <w:pPr>
        <w:rPr>
          <w:rFonts w:cstheme="minorHAnsi"/>
          <w:sz w:val="22"/>
          <w:szCs w:val="22"/>
          <w:lang w:val="en-US"/>
        </w:rPr>
      </w:pPr>
    </w:p>
    <w:p w14:paraId="445CB410" w14:textId="77777777" w:rsidR="00CB1DE1" w:rsidRPr="00D373E2" w:rsidRDefault="00CB1DE1" w:rsidP="00667CC2">
      <w:pPr>
        <w:rPr>
          <w:rFonts w:cstheme="minorHAnsi"/>
          <w:sz w:val="22"/>
          <w:szCs w:val="22"/>
        </w:rPr>
      </w:pPr>
      <w:r>
        <w:rPr>
          <w:b/>
          <w:sz w:val="22"/>
        </w:rPr>
        <w:t>Contatti di Stellantis:</w:t>
      </w:r>
    </w:p>
    <w:p w14:paraId="3374A4A1" w14:textId="77777777" w:rsidR="00CB1DE1" w:rsidRPr="00D373E2" w:rsidRDefault="00CB1DE1" w:rsidP="00667CC2">
      <w:pPr>
        <w:rPr>
          <w:rFonts w:cstheme="minorHAnsi"/>
          <w:sz w:val="22"/>
          <w:szCs w:val="22"/>
        </w:rPr>
      </w:pPr>
      <w:r>
        <w:rPr>
          <w:sz w:val="22"/>
        </w:rPr>
        <w:t xml:space="preserve">Pierre-Olivier Salmon: +33 6 76 86 45 48, </w:t>
      </w:r>
      <w:r>
        <w:rPr>
          <w:rStyle w:val="Hyperlink"/>
          <w:sz w:val="22"/>
        </w:rPr>
        <w:t>pierreolivier.salmon@stellantis.com</w:t>
      </w:r>
    </w:p>
    <w:p w14:paraId="1CDC84AA" w14:textId="77777777" w:rsidR="00CB1DE1" w:rsidRPr="00D373E2" w:rsidRDefault="00CB1DE1" w:rsidP="00667CC2">
      <w:pPr>
        <w:rPr>
          <w:rFonts w:cstheme="minorHAnsi"/>
          <w:sz w:val="22"/>
          <w:szCs w:val="22"/>
        </w:rPr>
      </w:pPr>
      <w:r>
        <w:rPr>
          <w:sz w:val="22"/>
        </w:rPr>
        <w:t xml:space="preserve">Valerie Gillot: +33 6 83 92 92 96, </w:t>
      </w:r>
      <w:r>
        <w:rPr>
          <w:rStyle w:val="Hyperlink"/>
          <w:sz w:val="22"/>
        </w:rPr>
        <w:t>valerie.gillot@stellantis.com</w:t>
      </w:r>
    </w:p>
    <w:p w14:paraId="52DA2EDF" w14:textId="77777777" w:rsidR="00CB1DE1" w:rsidRPr="00F33550" w:rsidRDefault="00CB1DE1" w:rsidP="00667CC2">
      <w:pPr>
        <w:rPr>
          <w:rFonts w:cstheme="minorHAnsi"/>
          <w:sz w:val="22"/>
          <w:szCs w:val="22"/>
        </w:rPr>
      </w:pPr>
    </w:p>
    <w:p w14:paraId="1744F4EF" w14:textId="77777777" w:rsidR="00CB1DE1" w:rsidRPr="00CB1DE1" w:rsidRDefault="00CB1DE1" w:rsidP="00667CC2">
      <w:pPr>
        <w:rPr>
          <w:rStyle w:val="SubtleReference"/>
          <w:rFonts w:cstheme="minorHAnsi"/>
          <w:b/>
          <w:bCs/>
          <w:i w:val="0"/>
          <w:iCs w:val="0"/>
          <w:sz w:val="22"/>
          <w:szCs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B81C538" wp14:editId="3C77FA91">
            <wp:simplePos x="0" y="0"/>
            <wp:positionH relativeFrom="column">
              <wp:posOffset>4090670</wp:posOffset>
            </wp:positionH>
            <wp:positionV relativeFrom="paragraph">
              <wp:posOffset>87630</wp:posOffset>
            </wp:positionV>
            <wp:extent cx="227330" cy="227330"/>
            <wp:effectExtent l="0" t="0" r="1270" b="1270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ubtleReference"/>
          <w:b/>
          <w:i w:val="0"/>
          <w:sz w:val="22"/>
        </w:rPr>
        <w:t>Contatti di TotalEnergies:</w:t>
      </w:r>
    </w:p>
    <w:p w14:paraId="4B753915" w14:textId="77777777" w:rsidR="00CB1DE1" w:rsidRPr="00CB1DE1" w:rsidRDefault="00CB1DE1" w:rsidP="00667CC2">
      <w:pPr>
        <w:rPr>
          <w:rStyle w:val="SubtleReference"/>
          <w:rFonts w:cstheme="minorHAnsi"/>
          <w:b/>
          <w:bCs/>
          <w:i w:val="0"/>
          <w:iCs w:val="0"/>
          <w:sz w:val="22"/>
          <w:szCs w:val="22"/>
        </w:rPr>
      </w:pPr>
      <w:r>
        <w:rPr>
          <w:rStyle w:val="SubtleReference"/>
          <w:i w:val="0"/>
          <w:sz w:val="22"/>
        </w:rPr>
        <w:t xml:space="preserve">Media Relations: +33 1 47 44 46 99 l </w:t>
      </w:r>
      <w:hyperlink r:id="rId14" w:history="1">
        <w:r>
          <w:rPr>
            <w:rStyle w:val="Hyperlink"/>
            <w:sz w:val="22"/>
          </w:rPr>
          <w:t>presse@totalenergies.com</w:t>
        </w:r>
      </w:hyperlink>
      <w:r>
        <w:rPr>
          <w:rStyle w:val="SubtleReference"/>
          <w:i w:val="0"/>
          <w:sz w:val="22"/>
        </w:rPr>
        <w:t xml:space="preserve"> l       </w:t>
      </w:r>
      <w:hyperlink r:id="rId15" w:history="1">
        <w:r>
          <w:rPr>
            <w:rStyle w:val="Hyperlink"/>
            <w:sz w:val="22"/>
          </w:rPr>
          <w:t>@TotalEnergiesPR</w:t>
        </w:r>
      </w:hyperlink>
    </w:p>
    <w:p w14:paraId="6B1BC6AC" w14:textId="77777777" w:rsidR="00CB1DE1" w:rsidRPr="00F33550" w:rsidRDefault="00CB1DE1" w:rsidP="00667CC2">
      <w:pPr>
        <w:rPr>
          <w:rStyle w:val="SubtleReference"/>
          <w:rFonts w:cstheme="minorHAnsi"/>
          <w:i w:val="0"/>
          <w:iCs w:val="0"/>
          <w:sz w:val="22"/>
          <w:szCs w:val="22"/>
          <w:lang w:val="en-GB"/>
        </w:rPr>
      </w:pPr>
      <w:r w:rsidRPr="00F33550">
        <w:rPr>
          <w:rStyle w:val="SubtleReference"/>
          <w:i w:val="0"/>
          <w:sz w:val="22"/>
          <w:lang w:val="en-GB"/>
        </w:rPr>
        <w:t xml:space="preserve">Investor Relations: +44 (0)207 719 7962 l </w:t>
      </w:r>
      <w:hyperlink r:id="rId16" w:history="1">
        <w:r w:rsidRPr="00F33550">
          <w:rPr>
            <w:rStyle w:val="Hyperlink"/>
            <w:sz w:val="22"/>
            <w:lang w:val="en-GB"/>
          </w:rPr>
          <w:t>ir@totalenergies.com</w:t>
        </w:r>
      </w:hyperlink>
    </w:p>
    <w:p w14:paraId="23A1B1D7" w14:textId="77777777" w:rsidR="00CB1DE1" w:rsidRPr="00D373E2" w:rsidRDefault="00CB1DE1" w:rsidP="00667CC2">
      <w:pPr>
        <w:rPr>
          <w:rStyle w:val="SubtleReference"/>
          <w:rFonts w:cstheme="minorHAnsi"/>
          <w:i w:val="0"/>
          <w:iCs w:val="0"/>
          <w:sz w:val="22"/>
          <w:szCs w:val="22"/>
          <w:lang w:val="en-US"/>
        </w:rPr>
      </w:pPr>
    </w:p>
    <w:p w14:paraId="1FD31E5B" w14:textId="7F908807" w:rsidR="00CB1DE1" w:rsidRDefault="00CB1DE1" w:rsidP="00667CC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hAnsi="Arial"/>
          <w:b/>
        </w:rPr>
        <w:t>Avvertenza</w:t>
      </w:r>
      <w:r>
        <w:rPr>
          <w:rFonts w:ascii="Arial" w:hAnsi="Arial"/>
        </w:rPr>
        <w:t> </w:t>
      </w:r>
    </w:p>
    <w:p w14:paraId="66BF6229" w14:textId="77777777" w:rsidR="00667CC2" w:rsidRDefault="00667CC2" w:rsidP="00667CC2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5334484" w14:textId="1D0557E5" w:rsidR="7BA01A71" w:rsidRPr="00667CC2" w:rsidRDefault="7BA01A71" w:rsidP="00667CC2">
      <w:pPr>
        <w:rPr>
          <w:rFonts w:ascii="Arial" w:hAnsi="Arial"/>
          <w:color w:val="222222"/>
          <w:sz w:val="18"/>
        </w:rPr>
      </w:pPr>
      <w:r w:rsidRPr="00667CC2">
        <w:rPr>
          <w:rFonts w:ascii="Arial" w:hAnsi="Arial"/>
          <w:color w:val="222222"/>
          <w:sz w:val="18"/>
        </w:rPr>
        <w:t xml:space="preserve">Il presente comunicato stampa, dal quale non possono essere tratte conseguenze giuridiche, ha scopo puramente informativo. Il presente documento può contenere informazioni e dichiarazioni previsionali basate su una serie di dati economici e ipotesi formulate in un determinato contesto economico, competitivo e normativo. Tali informazioni </w:t>
      </w:r>
      <w:r w:rsidRPr="00667CC2">
        <w:rPr>
          <w:rFonts w:ascii="Arial" w:hAnsi="Arial"/>
          <w:color w:val="222222"/>
          <w:sz w:val="18"/>
        </w:rPr>
        <w:lastRenderedPageBreak/>
        <w:t>e dichiarazioni potrebbero rivelarsi imprecise in futuro e sono soggette a vari fattori di rischio. Né TotalEnergies SE, né Stellantis o Mercedes-Benz AG, né le loro rispettive affiliate si assumono alcun obbligo di aggiornare pubblicamente qualsiasi informazione o dichiarazione previsionale, obiettivo o tendenza contenuta nel presente documento a seguito di nuove informazioni, eventi futuri o altro poiché tali informazioni, dichiarazioni, obiettivi o tendenze previsionali si basano esclusivamente sulle circostanze vigenti alla data di pubblicazione.</w:t>
      </w:r>
    </w:p>
    <w:p w14:paraId="2C569105" w14:textId="07D01B90" w:rsidR="1CA071C1" w:rsidRPr="00F33550" w:rsidRDefault="1CA071C1" w:rsidP="00667CC2">
      <w:pPr>
        <w:rPr>
          <w:rFonts w:ascii="Arial" w:eastAsia="Times New Roman" w:hAnsi="Arial" w:cs="Arial"/>
          <w:lang w:eastAsia="de-DE"/>
        </w:rPr>
      </w:pPr>
    </w:p>
    <w:p w14:paraId="5BF7C132" w14:textId="0DC47EDE" w:rsidR="00F81D08" w:rsidRPr="00CB1DE1" w:rsidRDefault="76B97552" w:rsidP="00667CC2">
      <w:pPr>
        <w:rPr>
          <w:rFonts w:ascii="Arial" w:eastAsia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/>
          <w:b/>
          <w:color w:val="222222"/>
          <w:sz w:val="18"/>
        </w:rPr>
        <w:t>Stellantis N.V. Dichiarazioni previsionali</w:t>
      </w:r>
    </w:p>
    <w:p w14:paraId="002F3BFF" w14:textId="22E9C97C" w:rsidR="00667CC2" w:rsidRDefault="00F81D08" w:rsidP="00667CC2">
      <w:pPr>
        <w:rPr>
          <w:rFonts w:ascii="Arial" w:hAnsi="Arial"/>
          <w:color w:val="222222"/>
          <w:sz w:val="18"/>
        </w:rPr>
      </w:pPr>
      <w:r>
        <w:br/>
      </w:r>
      <w:r>
        <w:rPr>
          <w:rFonts w:ascii="Arial" w:hAnsi="Arial"/>
          <w:color w:val="222222"/>
          <w:sz w:val="18"/>
        </w:rPr>
        <w:t xml:space="preserve"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possono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saranno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prevedono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potrebbero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dovrebbero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intendono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stimano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anticipano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credono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rimangono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sulla buona strada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progettano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obiettivo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previsione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proiezione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prospettiva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prospettive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, </w:t>
      </w:r>
      <w:r w:rsidR="00451539">
        <w:rPr>
          <w:rFonts w:ascii="Arial" w:hAnsi="Arial"/>
          <w:color w:val="222222"/>
          <w:sz w:val="18"/>
        </w:rPr>
        <w:t>“</w:t>
      </w:r>
      <w:r>
        <w:rPr>
          <w:rFonts w:ascii="Arial" w:hAnsi="Arial"/>
          <w:color w:val="222222"/>
          <w:sz w:val="18"/>
        </w:rPr>
        <w:t>piano</w:t>
      </w:r>
      <w:r w:rsidR="00451539">
        <w:rPr>
          <w:rFonts w:ascii="Arial" w:hAnsi="Arial"/>
          <w:color w:val="222222"/>
          <w:sz w:val="18"/>
        </w:rPr>
        <w:t>”</w:t>
      </w:r>
      <w:r>
        <w:rPr>
          <w:rFonts w:ascii="Arial" w:hAnsi="Arial"/>
          <w:color w:val="222222"/>
          <w:sz w:val="18"/>
        </w:rPr>
        <w:t xml:space="preserve">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11559D37" w14:textId="30BD3CD4" w:rsidR="00667CC2" w:rsidRDefault="00F81D08" w:rsidP="00667CC2">
      <w:pPr>
        <w:rPr>
          <w:rFonts w:ascii="Arial" w:hAnsi="Arial"/>
          <w:color w:val="222222"/>
          <w:sz w:val="18"/>
        </w:rPr>
      </w:pPr>
      <w:r>
        <w:br/>
      </w:r>
      <w:r>
        <w:br/>
      </w:r>
      <w:r>
        <w:rPr>
          <w:rFonts w:ascii="Arial" w:hAnsi="Arial"/>
          <w:color w:val="222222"/>
          <w:sz w:val="18"/>
        </w:rPr>
        <w:t>I risultati reali possono differire materialmente da quelli espressi nelle dichiarazioni previsionali in conseguenza di vari fattori, quali: incertezze sul fatto che la transazione proposta discussa nel presente documento sarà completata o sui tempi di completamento della stessa; la soddisfazione delle condizioni precedenti al completamento della transazione proposta, inclusa la capacità di ottenere le approvazioni normative nei termini previsti, a tutti i livelli o in maniera tempestiva; il rischio che le attività delle parti siano influenzate negativamente durante la pendenza della transazione proposta; la capacità di Stellantis di integrare con successo le operazioni dell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Azienda;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interruzione dell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attività a seguito della transazione;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effetto dell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annuncio della transazione sulla capacità dell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Azienda di trattenere e assumere personale chiave e mantenere i rapporti con clienti, fornitori e con gli altri soggetti con cui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Azienda intrattiene rapporti commerciali;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imposizione di tariffe globali e regionali o di tariffe mirate all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</w:t>
      </w:r>
      <w:r>
        <w:tab/>
      </w:r>
      <w:r>
        <w:rPr>
          <w:rFonts w:ascii="Arial" w:hAnsi="Arial"/>
          <w:color w:val="222222"/>
          <w:sz w:val="18"/>
        </w:rPr>
        <w:t xml:space="preserve">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elevato livello di concorrenza nel settore automobilistico, che potrebbe aumentare a causa del consolidamento;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esposizione a carenze nel finanziamento dei piani pensionistici a benefici definiti di Stellantis; la capacità di fornire o organizzare 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interruzione o una violazione della sicurezza che comprometta i sistemi informatici o i sistemi di controllo elettronici contenuti nei veicoli di Stellantis; la capacità di Stellantis di realizzare i benefici previsti dagli accordi di joint venture; interruzioni derivanti dall</w:t>
      </w:r>
      <w:r w:rsidR="00451539">
        <w:rPr>
          <w:rFonts w:ascii="Arial" w:hAnsi="Arial"/>
          <w:color w:val="222222"/>
          <w:sz w:val="18"/>
        </w:rPr>
        <w:t>’</w:t>
      </w:r>
      <w:r>
        <w:rPr>
          <w:rFonts w:ascii="Arial" w:hAnsi="Arial"/>
          <w:color w:val="222222"/>
          <w:sz w:val="18"/>
        </w:rPr>
        <w:t>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14:paraId="707F1E4B" w14:textId="1C7D0566" w:rsidR="00F81D08" w:rsidRPr="00CB1DE1" w:rsidRDefault="00F81D08" w:rsidP="00667CC2">
      <w:pPr>
        <w:rPr>
          <w:rFonts w:ascii="Arial" w:eastAsia="Arial" w:hAnsi="Arial" w:cs="Arial"/>
          <w:color w:val="222222"/>
          <w:sz w:val="18"/>
          <w:szCs w:val="18"/>
        </w:rPr>
      </w:pPr>
      <w:r>
        <w:br/>
      </w:r>
      <w:r>
        <w:br/>
      </w:r>
      <w:r>
        <w:rPr>
          <w:rFonts w:ascii="Arial" w:hAnsi="Arial"/>
          <w:color w:val="222222"/>
          <w:sz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Commission, AFM e CONSOB.</w:t>
      </w:r>
    </w:p>
    <w:p w14:paraId="4C0948C8" w14:textId="5EE97C64" w:rsidR="00F81D08" w:rsidRPr="00F33550" w:rsidRDefault="00F81D08" w:rsidP="00667CC2">
      <w:pPr>
        <w:rPr>
          <w:rStyle w:val="SubtleReference"/>
          <w:sz w:val="20"/>
          <w:szCs w:val="20"/>
        </w:rPr>
      </w:pPr>
    </w:p>
    <w:sectPr w:rsidR="00F81D08" w:rsidRPr="00F33550" w:rsidSect="003858E3">
      <w:headerReference w:type="first" r:id="rId17"/>
      <w:pgSz w:w="11906" w:h="16838"/>
      <w:pgMar w:top="1644" w:right="1418" w:bottom="8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A10E" w14:textId="77777777" w:rsidR="004E14A9" w:rsidRDefault="004E14A9" w:rsidP="000C0E7E">
      <w:r>
        <w:separator/>
      </w:r>
    </w:p>
  </w:endnote>
  <w:endnote w:type="continuationSeparator" w:id="0">
    <w:p w14:paraId="1925E0C1" w14:textId="77777777" w:rsidR="004E14A9" w:rsidRDefault="004E14A9" w:rsidP="000C0E7E">
      <w:r>
        <w:continuationSeparator/>
      </w:r>
    </w:p>
  </w:endnote>
  <w:endnote w:type="continuationNotice" w:id="1">
    <w:p w14:paraId="7DDBFFCC" w14:textId="77777777" w:rsidR="004E14A9" w:rsidRDefault="004E1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483E" w14:textId="77777777" w:rsidR="004E14A9" w:rsidRDefault="004E14A9" w:rsidP="000C0E7E">
      <w:r>
        <w:separator/>
      </w:r>
    </w:p>
  </w:footnote>
  <w:footnote w:type="continuationSeparator" w:id="0">
    <w:p w14:paraId="500F8D29" w14:textId="77777777" w:rsidR="004E14A9" w:rsidRDefault="004E14A9" w:rsidP="000C0E7E">
      <w:r>
        <w:continuationSeparator/>
      </w:r>
    </w:p>
  </w:footnote>
  <w:footnote w:type="continuationNotice" w:id="1">
    <w:p w14:paraId="4FACDAF7" w14:textId="77777777" w:rsidR="004E14A9" w:rsidRDefault="004E14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4EF6" w14:textId="539B43DC" w:rsidR="00A67EB7" w:rsidRPr="004027CD" w:rsidRDefault="009C450C" w:rsidP="003D0D42">
    <w:pPr>
      <w:pStyle w:val="Header"/>
      <w:jc w:val="center"/>
      <w:rPr>
        <w:rFonts w:ascii="Gotham Rounded Light" w:hAnsi="Gotham Rounded Light"/>
        <w:color w:val="497D91" w:themeColor="accent2"/>
        <w:sz w:val="32"/>
        <w:szCs w:val="32"/>
      </w:rPr>
    </w:pPr>
    <w:r>
      <w:rPr>
        <w:rFonts w:ascii="Gotham Rounded Light" w:hAnsi="Gotham Rounded Light"/>
        <w:noProof/>
        <w:color w:val="497D91" w:themeColor="accent2"/>
        <w:sz w:val="32"/>
        <w:lang w:val="en-US"/>
      </w:rPr>
      <w:drawing>
        <wp:anchor distT="0" distB="0" distL="114300" distR="114300" simplePos="0" relativeHeight="251667456" behindDoc="0" locked="0" layoutInCell="1" allowOverlap="1" wp14:anchorId="333BBA9A" wp14:editId="7139334A">
          <wp:simplePos x="0" y="0"/>
          <wp:positionH relativeFrom="margin">
            <wp:posOffset>5009515</wp:posOffset>
          </wp:positionH>
          <wp:positionV relativeFrom="paragraph">
            <wp:posOffset>258445</wp:posOffset>
          </wp:positionV>
          <wp:extent cx="1083310" cy="852805"/>
          <wp:effectExtent l="0" t="0" r="0" b="0"/>
          <wp:wrapNone/>
          <wp:docPr id="1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Rounded Light" w:hAnsi="Gotham Rounded Light"/>
        <w:noProof/>
        <w:color w:val="497D91" w:themeColor="accent2"/>
        <w:sz w:val="32"/>
        <w:lang w:val="en-US"/>
      </w:rPr>
      <w:drawing>
        <wp:anchor distT="0" distB="0" distL="114300" distR="114300" simplePos="0" relativeHeight="251668480" behindDoc="0" locked="0" layoutInCell="1" allowOverlap="1" wp14:anchorId="63949F96" wp14:editId="57BB38C0">
          <wp:simplePos x="0" y="0"/>
          <wp:positionH relativeFrom="column">
            <wp:posOffset>1643380</wp:posOffset>
          </wp:positionH>
          <wp:positionV relativeFrom="paragraph">
            <wp:posOffset>314960</wp:posOffset>
          </wp:positionV>
          <wp:extent cx="768350" cy="768350"/>
          <wp:effectExtent l="0" t="0" r="0" b="0"/>
          <wp:wrapTopAndBottom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-star_L_3Coff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Rounded Light" w:hAnsi="Gotham Rounded Light"/>
        <w:noProof/>
        <w:color w:val="497D91" w:themeColor="accent2"/>
        <w:sz w:val="32"/>
        <w:lang w:val="en-US"/>
      </w:rPr>
      <w:drawing>
        <wp:anchor distT="0" distB="0" distL="114300" distR="114300" simplePos="0" relativeHeight="251669504" behindDoc="0" locked="0" layoutInCell="1" allowOverlap="1" wp14:anchorId="447CEFDF" wp14:editId="080B1ADA">
          <wp:simplePos x="0" y="0"/>
          <wp:positionH relativeFrom="column">
            <wp:posOffset>0</wp:posOffset>
          </wp:positionH>
          <wp:positionV relativeFrom="paragraph">
            <wp:posOffset>492760</wp:posOffset>
          </wp:positionV>
          <wp:extent cx="852805" cy="453390"/>
          <wp:effectExtent l="0" t="0" r="4445" b="3810"/>
          <wp:wrapTopAndBottom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-star_L_3Coffic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Rounded Light" w:hAnsi="Gotham Rounded Light"/>
        <w:noProof/>
        <w:color w:val="497D91" w:themeColor="accent2"/>
        <w:sz w:val="32"/>
        <w:lang w:val="en-US"/>
      </w:rPr>
      <w:drawing>
        <wp:anchor distT="0" distB="0" distL="114300" distR="114300" simplePos="0" relativeHeight="251670528" behindDoc="0" locked="0" layoutInCell="1" allowOverlap="1" wp14:anchorId="2D11D2B2" wp14:editId="1FCCC4AB">
          <wp:simplePos x="0" y="0"/>
          <wp:positionH relativeFrom="column">
            <wp:posOffset>2907030</wp:posOffset>
          </wp:positionH>
          <wp:positionV relativeFrom="paragraph">
            <wp:posOffset>488950</wp:posOffset>
          </wp:positionV>
          <wp:extent cx="1464945" cy="464185"/>
          <wp:effectExtent l="0" t="0" r="0" b="0"/>
          <wp:wrapTopAndBottom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-star_L_3Coffic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Rounded Light" w:hAnsi="Gotham Rounded Light"/>
        <w:color w:val="497D91" w:themeColor="accent2"/>
        <w:sz w:val="32"/>
      </w:rPr>
      <w:t xml:space="preserve">    </w:t>
    </w:r>
  </w:p>
  <w:p w14:paraId="1C83AF5F" w14:textId="12E06468" w:rsidR="00D44581" w:rsidRDefault="00D44581" w:rsidP="00D44581">
    <w:pPr>
      <w:pStyle w:val="Header"/>
    </w:pPr>
  </w:p>
  <w:p w14:paraId="4578A5B9" w14:textId="407A9009" w:rsidR="009C450C" w:rsidRDefault="009C450C" w:rsidP="00D44581">
    <w:pPr>
      <w:pStyle w:val="Header"/>
    </w:pPr>
  </w:p>
  <w:p w14:paraId="45515047" w14:textId="5B818B88" w:rsidR="009C450C" w:rsidRDefault="009C450C" w:rsidP="00D44581">
    <w:pPr>
      <w:pStyle w:val="Header"/>
    </w:pPr>
  </w:p>
  <w:p w14:paraId="13D2D526" w14:textId="1A47C622" w:rsidR="009C450C" w:rsidRDefault="009C450C" w:rsidP="00D44581">
    <w:pPr>
      <w:pStyle w:val="Header"/>
    </w:pPr>
  </w:p>
  <w:p w14:paraId="1F4C5E40" w14:textId="77777777" w:rsidR="003858E3" w:rsidRPr="00D44581" w:rsidRDefault="00D44581" w:rsidP="00D44581">
    <w:pPr>
      <w:pStyle w:val="Header"/>
      <w:spacing w:after="360"/>
      <w:jc w:val="right"/>
      <w:rPr>
        <w:color w:val="374649"/>
        <w:sz w:val="44"/>
        <w:szCs w:val="44"/>
      </w:rPr>
    </w:pPr>
    <w:r>
      <w:rPr>
        <w:color w:val="374649"/>
        <w:sz w:val="32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CF8"/>
    <w:multiLevelType w:val="hybridMultilevel"/>
    <w:tmpl w:val="F1E45D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F1C3E"/>
    <w:multiLevelType w:val="hybridMultilevel"/>
    <w:tmpl w:val="68F0467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2BE0681"/>
    <w:multiLevelType w:val="hybridMultilevel"/>
    <w:tmpl w:val="62BE8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4EBF"/>
    <w:multiLevelType w:val="hybridMultilevel"/>
    <w:tmpl w:val="DD48C482"/>
    <w:lvl w:ilvl="0" w:tplc="5374F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C94"/>
    <w:multiLevelType w:val="multilevel"/>
    <w:tmpl w:val="0802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101"/>
    <w:multiLevelType w:val="hybridMultilevel"/>
    <w:tmpl w:val="F5845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6A4A"/>
    <w:multiLevelType w:val="hybridMultilevel"/>
    <w:tmpl w:val="ACE42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82B1F"/>
    <w:multiLevelType w:val="hybridMultilevel"/>
    <w:tmpl w:val="8D90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1"/>
    <w:rsid w:val="000000B9"/>
    <w:rsid w:val="000121FC"/>
    <w:rsid w:val="000204CE"/>
    <w:rsid w:val="0002542B"/>
    <w:rsid w:val="00027E2E"/>
    <w:rsid w:val="00033C39"/>
    <w:rsid w:val="0003655E"/>
    <w:rsid w:val="000512F1"/>
    <w:rsid w:val="00062860"/>
    <w:rsid w:val="00063DCA"/>
    <w:rsid w:val="00066700"/>
    <w:rsid w:val="00070F09"/>
    <w:rsid w:val="000A4036"/>
    <w:rsid w:val="000A5B73"/>
    <w:rsid w:val="000C02A5"/>
    <w:rsid w:val="000C0E7E"/>
    <w:rsid w:val="000C29EA"/>
    <w:rsid w:val="000D0A14"/>
    <w:rsid w:val="000D26AE"/>
    <w:rsid w:val="000E13CC"/>
    <w:rsid w:val="00110499"/>
    <w:rsid w:val="00115950"/>
    <w:rsid w:val="0012694A"/>
    <w:rsid w:val="00140083"/>
    <w:rsid w:val="001420CD"/>
    <w:rsid w:val="001616CD"/>
    <w:rsid w:val="001814CC"/>
    <w:rsid w:val="00194032"/>
    <w:rsid w:val="001C2EE5"/>
    <w:rsid w:val="001C65B5"/>
    <w:rsid w:val="001D1726"/>
    <w:rsid w:val="001D1E81"/>
    <w:rsid w:val="001D7888"/>
    <w:rsid w:val="001F030F"/>
    <w:rsid w:val="002119A6"/>
    <w:rsid w:val="0021684F"/>
    <w:rsid w:val="00241ACB"/>
    <w:rsid w:val="00241C78"/>
    <w:rsid w:val="00254092"/>
    <w:rsid w:val="0028456B"/>
    <w:rsid w:val="002B718F"/>
    <w:rsid w:val="002C6159"/>
    <w:rsid w:val="002D4989"/>
    <w:rsid w:val="002E0210"/>
    <w:rsid w:val="002E3AF5"/>
    <w:rsid w:val="002F2D12"/>
    <w:rsid w:val="002F60E3"/>
    <w:rsid w:val="003001FB"/>
    <w:rsid w:val="00303D87"/>
    <w:rsid w:val="0032343F"/>
    <w:rsid w:val="00330740"/>
    <w:rsid w:val="0033226E"/>
    <w:rsid w:val="00332A20"/>
    <w:rsid w:val="00337408"/>
    <w:rsid w:val="003378FB"/>
    <w:rsid w:val="00343728"/>
    <w:rsid w:val="003475AD"/>
    <w:rsid w:val="00350D10"/>
    <w:rsid w:val="00357460"/>
    <w:rsid w:val="003858E3"/>
    <w:rsid w:val="0039206C"/>
    <w:rsid w:val="0039275E"/>
    <w:rsid w:val="0039623B"/>
    <w:rsid w:val="003A1D7E"/>
    <w:rsid w:val="003A432C"/>
    <w:rsid w:val="003B12F1"/>
    <w:rsid w:val="003B26D6"/>
    <w:rsid w:val="003B6B19"/>
    <w:rsid w:val="003D0D42"/>
    <w:rsid w:val="003D1827"/>
    <w:rsid w:val="003D5E94"/>
    <w:rsid w:val="003E4F9F"/>
    <w:rsid w:val="004023D0"/>
    <w:rsid w:val="004027CD"/>
    <w:rsid w:val="004041BE"/>
    <w:rsid w:val="00406141"/>
    <w:rsid w:val="00412108"/>
    <w:rsid w:val="004121CF"/>
    <w:rsid w:val="004202F4"/>
    <w:rsid w:val="004246A3"/>
    <w:rsid w:val="00434B0E"/>
    <w:rsid w:val="00435A66"/>
    <w:rsid w:val="00436B38"/>
    <w:rsid w:val="004477D4"/>
    <w:rsid w:val="00451539"/>
    <w:rsid w:val="00453F91"/>
    <w:rsid w:val="004545BB"/>
    <w:rsid w:val="0046762D"/>
    <w:rsid w:val="00473BC6"/>
    <w:rsid w:val="00485043"/>
    <w:rsid w:val="0049045F"/>
    <w:rsid w:val="004978E8"/>
    <w:rsid w:val="004A7397"/>
    <w:rsid w:val="004C5820"/>
    <w:rsid w:val="004E14A9"/>
    <w:rsid w:val="004E3DCC"/>
    <w:rsid w:val="004E46ED"/>
    <w:rsid w:val="004F22D9"/>
    <w:rsid w:val="00500759"/>
    <w:rsid w:val="00514CD1"/>
    <w:rsid w:val="00540738"/>
    <w:rsid w:val="0054536E"/>
    <w:rsid w:val="00545551"/>
    <w:rsid w:val="00553F73"/>
    <w:rsid w:val="0056616E"/>
    <w:rsid w:val="00567437"/>
    <w:rsid w:val="00571D34"/>
    <w:rsid w:val="005745A0"/>
    <w:rsid w:val="00577113"/>
    <w:rsid w:val="00584824"/>
    <w:rsid w:val="0058691F"/>
    <w:rsid w:val="005939E6"/>
    <w:rsid w:val="00595B24"/>
    <w:rsid w:val="00597B71"/>
    <w:rsid w:val="005A1BD3"/>
    <w:rsid w:val="005A1C18"/>
    <w:rsid w:val="005A62CA"/>
    <w:rsid w:val="005B117F"/>
    <w:rsid w:val="005C079F"/>
    <w:rsid w:val="005C2471"/>
    <w:rsid w:val="005D2AD9"/>
    <w:rsid w:val="005E0003"/>
    <w:rsid w:val="005F0206"/>
    <w:rsid w:val="00605D59"/>
    <w:rsid w:val="00607216"/>
    <w:rsid w:val="0061505E"/>
    <w:rsid w:val="00620043"/>
    <w:rsid w:val="006425AC"/>
    <w:rsid w:val="006614D0"/>
    <w:rsid w:val="00664F67"/>
    <w:rsid w:val="00667CC2"/>
    <w:rsid w:val="0067613E"/>
    <w:rsid w:val="00697BA4"/>
    <w:rsid w:val="006A068A"/>
    <w:rsid w:val="006A1333"/>
    <w:rsid w:val="006A6948"/>
    <w:rsid w:val="006B21AD"/>
    <w:rsid w:val="006B7EF6"/>
    <w:rsid w:val="006D487F"/>
    <w:rsid w:val="006D49A6"/>
    <w:rsid w:val="006D65F0"/>
    <w:rsid w:val="00703B9D"/>
    <w:rsid w:val="0070774A"/>
    <w:rsid w:val="00711D79"/>
    <w:rsid w:val="00720156"/>
    <w:rsid w:val="00721AEA"/>
    <w:rsid w:val="00723817"/>
    <w:rsid w:val="00726F55"/>
    <w:rsid w:val="00740AB3"/>
    <w:rsid w:val="007507FC"/>
    <w:rsid w:val="00750F8C"/>
    <w:rsid w:val="007546C2"/>
    <w:rsid w:val="0075507D"/>
    <w:rsid w:val="00761FC0"/>
    <w:rsid w:val="00763CAA"/>
    <w:rsid w:val="00791D05"/>
    <w:rsid w:val="007A0BDD"/>
    <w:rsid w:val="007A229D"/>
    <w:rsid w:val="007B0DAC"/>
    <w:rsid w:val="007D1798"/>
    <w:rsid w:val="007D2B6A"/>
    <w:rsid w:val="007E7107"/>
    <w:rsid w:val="007ED231"/>
    <w:rsid w:val="007F07CA"/>
    <w:rsid w:val="007F4208"/>
    <w:rsid w:val="007F4765"/>
    <w:rsid w:val="00823808"/>
    <w:rsid w:val="00831B79"/>
    <w:rsid w:val="008367F6"/>
    <w:rsid w:val="0086A20C"/>
    <w:rsid w:val="008700D1"/>
    <w:rsid w:val="00875D06"/>
    <w:rsid w:val="00881FB7"/>
    <w:rsid w:val="00885005"/>
    <w:rsid w:val="00895D4F"/>
    <w:rsid w:val="008B5037"/>
    <w:rsid w:val="008C559D"/>
    <w:rsid w:val="008C5CDE"/>
    <w:rsid w:val="008F0583"/>
    <w:rsid w:val="008F13E5"/>
    <w:rsid w:val="00903D42"/>
    <w:rsid w:val="00910372"/>
    <w:rsid w:val="00924E42"/>
    <w:rsid w:val="00926A35"/>
    <w:rsid w:val="00935AB5"/>
    <w:rsid w:val="00942532"/>
    <w:rsid w:val="0094389E"/>
    <w:rsid w:val="00966C0D"/>
    <w:rsid w:val="00967EDD"/>
    <w:rsid w:val="0098146A"/>
    <w:rsid w:val="00985E5E"/>
    <w:rsid w:val="009948A9"/>
    <w:rsid w:val="00994B71"/>
    <w:rsid w:val="009B3C72"/>
    <w:rsid w:val="009C3E9F"/>
    <w:rsid w:val="009C450C"/>
    <w:rsid w:val="009E4A08"/>
    <w:rsid w:val="009E5BEE"/>
    <w:rsid w:val="009F698E"/>
    <w:rsid w:val="00A03CAF"/>
    <w:rsid w:val="00A32929"/>
    <w:rsid w:val="00A479F5"/>
    <w:rsid w:val="00A50B0E"/>
    <w:rsid w:val="00A52352"/>
    <w:rsid w:val="00A551CD"/>
    <w:rsid w:val="00A67EB7"/>
    <w:rsid w:val="00A70BC2"/>
    <w:rsid w:val="00A74BE8"/>
    <w:rsid w:val="00A752FD"/>
    <w:rsid w:val="00A84EDB"/>
    <w:rsid w:val="00A91DC7"/>
    <w:rsid w:val="00A966D1"/>
    <w:rsid w:val="00AB0DE0"/>
    <w:rsid w:val="00AB28EE"/>
    <w:rsid w:val="00AB70E9"/>
    <w:rsid w:val="00AC298F"/>
    <w:rsid w:val="00AE18DC"/>
    <w:rsid w:val="00B06710"/>
    <w:rsid w:val="00B12C44"/>
    <w:rsid w:val="00B22AC0"/>
    <w:rsid w:val="00B23950"/>
    <w:rsid w:val="00B37650"/>
    <w:rsid w:val="00B520CA"/>
    <w:rsid w:val="00B7520D"/>
    <w:rsid w:val="00B85CE9"/>
    <w:rsid w:val="00BA4D18"/>
    <w:rsid w:val="00BB193A"/>
    <w:rsid w:val="00BB4F36"/>
    <w:rsid w:val="00BB57C0"/>
    <w:rsid w:val="00BC241B"/>
    <w:rsid w:val="00BC5B71"/>
    <w:rsid w:val="00BD4E07"/>
    <w:rsid w:val="00C02910"/>
    <w:rsid w:val="00C125E2"/>
    <w:rsid w:val="00C159A6"/>
    <w:rsid w:val="00C16AE5"/>
    <w:rsid w:val="00C26173"/>
    <w:rsid w:val="00C26911"/>
    <w:rsid w:val="00C31485"/>
    <w:rsid w:val="00C77B73"/>
    <w:rsid w:val="00C81EE9"/>
    <w:rsid w:val="00CB06C2"/>
    <w:rsid w:val="00CB1DE1"/>
    <w:rsid w:val="00CC2D9C"/>
    <w:rsid w:val="00CD3887"/>
    <w:rsid w:val="00CD480F"/>
    <w:rsid w:val="00CE0976"/>
    <w:rsid w:val="00CE2686"/>
    <w:rsid w:val="00CE54F1"/>
    <w:rsid w:val="00CE77C7"/>
    <w:rsid w:val="00CF3075"/>
    <w:rsid w:val="00D07418"/>
    <w:rsid w:val="00D17751"/>
    <w:rsid w:val="00D233AB"/>
    <w:rsid w:val="00D307BC"/>
    <w:rsid w:val="00D34131"/>
    <w:rsid w:val="00D3577A"/>
    <w:rsid w:val="00D365F5"/>
    <w:rsid w:val="00D373E2"/>
    <w:rsid w:val="00D37FD5"/>
    <w:rsid w:val="00D44581"/>
    <w:rsid w:val="00D55B7B"/>
    <w:rsid w:val="00D565CE"/>
    <w:rsid w:val="00D65B72"/>
    <w:rsid w:val="00D833EF"/>
    <w:rsid w:val="00D8493E"/>
    <w:rsid w:val="00D86FB5"/>
    <w:rsid w:val="00D91748"/>
    <w:rsid w:val="00D9391C"/>
    <w:rsid w:val="00D9637B"/>
    <w:rsid w:val="00DC7C6E"/>
    <w:rsid w:val="00DE2AA0"/>
    <w:rsid w:val="00DF7DDE"/>
    <w:rsid w:val="00E10552"/>
    <w:rsid w:val="00E208D9"/>
    <w:rsid w:val="00E229F0"/>
    <w:rsid w:val="00E251E7"/>
    <w:rsid w:val="00E30602"/>
    <w:rsid w:val="00E32F21"/>
    <w:rsid w:val="00E542F4"/>
    <w:rsid w:val="00E60AE3"/>
    <w:rsid w:val="00E71D41"/>
    <w:rsid w:val="00E72FD9"/>
    <w:rsid w:val="00E7510E"/>
    <w:rsid w:val="00E759B8"/>
    <w:rsid w:val="00E9053E"/>
    <w:rsid w:val="00E94BBA"/>
    <w:rsid w:val="00EB0281"/>
    <w:rsid w:val="00ED344B"/>
    <w:rsid w:val="00F13900"/>
    <w:rsid w:val="00F32FFB"/>
    <w:rsid w:val="00F33550"/>
    <w:rsid w:val="00F52417"/>
    <w:rsid w:val="00F641B0"/>
    <w:rsid w:val="00F7334A"/>
    <w:rsid w:val="00F81D08"/>
    <w:rsid w:val="00F95B1A"/>
    <w:rsid w:val="00FA0FBC"/>
    <w:rsid w:val="00FA25AC"/>
    <w:rsid w:val="00FA543D"/>
    <w:rsid w:val="00FA7CE7"/>
    <w:rsid w:val="00FB4855"/>
    <w:rsid w:val="00FC637B"/>
    <w:rsid w:val="00FD4DF4"/>
    <w:rsid w:val="00FE2AC4"/>
    <w:rsid w:val="00FE7D09"/>
    <w:rsid w:val="014676F8"/>
    <w:rsid w:val="01D13F50"/>
    <w:rsid w:val="02EAE1A0"/>
    <w:rsid w:val="047B4ADC"/>
    <w:rsid w:val="04E6775A"/>
    <w:rsid w:val="0520FA42"/>
    <w:rsid w:val="062F5544"/>
    <w:rsid w:val="063E61B3"/>
    <w:rsid w:val="07F443FB"/>
    <w:rsid w:val="095D1106"/>
    <w:rsid w:val="0968D71E"/>
    <w:rsid w:val="0A251384"/>
    <w:rsid w:val="0AF8E167"/>
    <w:rsid w:val="0C0B1409"/>
    <w:rsid w:val="0CA077E0"/>
    <w:rsid w:val="0D4AF2C3"/>
    <w:rsid w:val="0DC01A47"/>
    <w:rsid w:val="0E5DCC68"/>
    <w:rsid w:val="0EA4D34F"/>
    <w:rsid w:val="0ED48F6B"/>
    <w:rsid w:val="0EE447D9"/>
    <w:rsid w:val="1060F1D8"/>
    <w:rsid w:val="106996BF"/>
    <w:rsid w:val="119088C9"/>
    <w:rsid w:val="11D2BD31"/>
    <w:rsid w:val="12CF232B"/>
    <w:rsid w:val="139D78BA"/>
    <w:rsid w:val="13D6065C"/>
    <w:rsid w:val="13FE4AAD"/>
    <w:rsid w:val="14B33D8F"/>
    <w:rsid w:val="15D46F59"/>
    <w:rsid w:val="166497DF"/>
    <w:rsid w:val="170870D4"/>
    <w:rsid w:val="171470A7"/>
    <w:rsid w:val="1797B0FD"/>
    <w:rsid w:val="17F1CB53"/>
    <w:rsid w:val="18B725CE"/>
    <w:rsid w:val="18D5C0CF"/>
    <w:rsid w:val="19172507"/>
    <w:rsid w:val="1A686B22"/>
    <w:rsid w:val="1B06717E"/>
    <w:rsid w:val="1BE76603"/>
    <w:rsid w:val="1BEB1710"/>
    <w:rsid w:val="1CA071C1"/>
    <w:rsid w:val="1CD4A48E"/>
    <w:rsid w:val="1D4CBEBC"/>
    <w:rsid w:val="1DAB6E70"/>
    <w:rsid w:val="1DCB7F09"/>
    <w:rsid w:val="1DD0F0DE"/>
    <w:rsid w:val="1E3E1240"/>
    <w:rsid w:val="1E400D53"/>
    <w:rsid w:val="1E972F70"/>
    <w:rsid w:val="1ED53666"/>
    <w:rsid w:val="1F55C2B4"/>
    <w:rsid w:val="1FB1514F"/>
    <w:rsid w:val="1FD6D4E4"/>
    <w:rsid w:val="2033143E"/>
    <w:rsid w:val="20C8D702"/>
    <w:rsid w:val="21546459"/>
    <w:rsid w:val="2159ACFC"/>
    <w:rsid w:val="21E2E7F8"/>
    <w:rsid w:val="225A3C83"/>
    <w:rsid w:val="23096610"/>
    <w:rsid w:val="23CA3FAA"/>
    <w:rsid w:val="23F86C35"/>
    <w:rsid w:val="24D35668"/>
    <w:rsid w:val="258D16FA"/>
    <w:rsid w:val="26F758B1"/>
    <w:rsid w:val="26F7824D"/>
    <w:rsid w:val="2710AAAA"/>
    <w:rsid w:val="27381886"/>
    <w:rsid w:val="2747A73D"/>
    <w:rsid w:val="27CA1154"/>
    <w:rsid w:val="27EB007E"/>
    <w:rsid w:val="283686A7"/>
    <w:rsid w:val="28B843D8"/>
    <w:rsid w:val="28E3779E"/>
    <w:rsid w:val="2935F398"/>
    <w:rsid w:val="2971E080"/>
    <w:rsid w:val="298830F4"/>
    <w:rsid w:val="2A2F230F"/>
    <w:rsid w:val="2A9654B8"/>
    <w:rsid w:val="2A978EDC"/>
    <w:rsid w:val="2AF8927E"/>
    <w:rsid w:val="2C263211"/>
    <w:rsid w:val="2CB3DDB5"/>
    <w:rsid w:val="2D913AB9"/>
    <w:rsid w:val="2DAA223F"/>
    <w:rsid w:val="2E9A83A6"/>
    <w:rsid w:val="2F029432"/>
    <w:rsid w:val="2F2A020E"/>
    <w:rsid w:val="2F7A2165"/>
    <w:rsid w:val="30079B31"/>
    <w:rsid w:val="3068C277"/>
    <w:rsid w:val="309068D4"/>
    <w:rsid w:val="30E329F9"/>
    <w:rsid w:val="31B1517D"/>
    <w:rsid w:val="31F5FB80"/>
    <w:rsid w:val="3238A272"/>
    <w:rsid w:val="34EAA186"/>
    <w:rsid w:val="35669BA8"/>
    <w:rsid w:val="35AC02AC"/>
    <w:rsid w:val="35BF9746"/>
    <w:rsid w:val="35D777D2"/>
    <w:rsid w:val="3645EDBC"/>
    <w:rsid w:val="3668A74E"/>
    <w:rsid w:val="36B21FE0"/>
    <w:rsid w:val="373E760C"/>
    <w:rsid w:val="375B67A7"/>
    <w:rsid w:val="37E1BE1D"/>
    <w:rsid w:val="389F38D6"/>
    <w:rsid w:val="389F58BA"/>
    <w:rsid w:val="39331F1F"/>
    <w:rsid w:val="3959BD8A"/>
    <w:rsid w:val="397FB98D"/>
    <w:rsid w:val="399C82EF"/>
    <w:rsid w:val="39A3C530"/>
    <w:rsid w:val="3AAF4EBF"/>
    <w:rsid w:val="3C241F07"/>
    <w:rsid w:val="3C642860"/>
    <w:rsid w:val="3DA9A5EE"/>
    <w:rsid w:val="3DC40999"/>
    <w:rsid w:val="3DCBF625"/>
    <w:rsid w:val="3E532AB0"/>
    <w:rsid w:val="3F560A72"/>
    <w:rsid w:val="3FA38E2F"/>
    <w:rsid w:val="40386792"/>
    <w:rsid w:val="409874D8"/>
    <w:rsid w:val="40CDC356"/>
    <w:rsid w:val="40CE2915"/>
    <w:rsid w:val="411D3431"/>
    <w:rsid w:val="41210C6F"/>
    <w:rsid w:val="41EB5CD3"/>
    <w:rsid w:val="41F60CE0"/>
    <w:rsid w:val="4248B5A9"/>
    <w:rsid w:val="42584644"/>
    <w:rsid w:val="42C3FC00"/>
    <w:rsid w:val="435E46D1"/>
    <w:rsid w:val="436A63D2"/>
    <w:rsid w:val="43891D38"/>
    <w:rsid w:val="4405C9D7"/>
    <w:rsid w:val="44F632CB"/>
    <w:rsid w:val="450B7344"/>
    <w:rsid w:val="45CB4D9E"/>
    <w:rsid w:val="46A20494"/>
    <w:rsid w:val="47119789"/>
    <w:rsid w:val="477AE262"/>
    <w:rsid w:val="47D6DBCF"/>
    <w:rsid w:val="48405398"/>
    <w:rsid w:val="48A7FD9E"/>
    <w:rsid w:val="4A6457E9"/>
    <w:rsid w:val="4B83C6C9"/>
    <w:rsid w:val="4C2495EB"/>
    <w:rsid w:val="4C7433DA"/>
    <w:rsid w:val="4C9340F4"/>
    <w:rsid w:val="4D349189"/>
    <w:rsid w:val="4EA60D91"/>
    <w:rsid w:val="4EC4C88D"/>
    <w:rsid w:val="4F6305BA"/>
    <w:rsid w:val="4FC2872F"/>
    <w:rsid w:val="4FD46E2D"/>
    <w:rsid w:val="503C3F71"/>
    <w:rsid w:val="5058506E"/>
    <w:rsid w:val="506C324B"/>
    <w:rsid w:val="512BAC5F"/>
    <w:rsid w:val="52566E58"/>
    <w:rsid w:val="528B2C4F"/>
    <w:rsid w:val="5361BE86"/>
    <w:rsid w:val="5410D906"/>
    <w:rsid w:val="54624E4F"/>
    <w:rsid w:val="55076F80"/>
    <w:rsid w:val="55D40556"/>
    <w:rsid w:val="5680A566"/>
    <w:rsid w:val="57AE20DF"/>
    <w:rsid w:val="593030DE"/>
    <w:rsid w:val="5A157C27"/>
    <w:rsid w:val="5A318FAC"/>
    <w:rsid w:val="5B9AED2D"/>
    <w:rsid w:val="5CF7FB94"/>
    <w:rsid w:val="5E8BB74B"/>
    <w:rsid w:val="5FAEED71"/>
    <w:rsid w:val="61CE4CC2"/>
    <w:rsid w:val="62641769"/>
    <w:rsid w:val="62843C03"/>
    <w:rsid w:val="6386964A"/>
    <w:rsid w:val="63AF3D33"/>
    <w:rsid w:val="64FEA3EB"/>
    <w:rsid w:val="65E48B9F"/>
    <w:rsid w:val="65F1CA67"/>
    <w:rsid w:val="6645FD5B"/>
    <w:rsid w:val="66A1BDE5"/>
    <w:rsid w:val="66B2EC8C"/>
    <w:rsid w:val="66C3059E"/>
    <w:rsid w:val="66FD5C5A"/>
    <w:rsid w:val="676AE136"/>
    <w:rsid w:val="685B722B"/>
    <w:rsid w:val="690B3A5E"/>
    <w:rsid w:val="6926A227"/>
    <w:rsid w:val="69282D84"/>
    <w:rsid w:val="6937A9BC"/>
    <w:rsid w:val="69B536DF"/>
    <w:rsid w:val="69D2D3C4"/>
    <w:rsid w:val="6AFBA7E4"/>
    <w:rsid w:val="6B03D2F1"/>
    <w:rsid w:val="6DED5154"/>
    <w:rsid w:val="6EB4EF26"/>
    <w:rsid w:val="6F15E773"/>
    <w:rsid w:val="6F952F8D"/>
    <w:rsid w:val="6FF8B487"/>
    <w:rsid w:val="70D71110"/>
    <w:rsid w:val="71178F90"/>
    <w:rsid w:val="713FB3E8"/>
    <w:rsid w:val="72A6EB63"/>
    <w:rsid w:val="72F5BC79"/>
    <w:rsid w:val="737D85DC"/>
    <w:rsid w:val="74BB02A4"/>
    <w:rsid w:val="74DE1A7B"/>
    <w:rsid w:val="76B97552"/>
    <w:rsid w:val="7780084E"/>
    <w:rsid w:val="7826C7A9"/>
    <w:rsid w:val="785B9F96"/>
    <w:rsid w:val="786EC198"/>
    <w:rsid w:val="7876B65F"/>
    <w:rsid w:val="78E1C33B"/>
    <w:rsid w:val="78E66001"/>
    <w:rsid w:val="7A248B54"/>
    <w:rsid w:val="7AE57073"/>
    <w:rsid w:val="7AE6962E"/>
    <w:rsid w:val="7B108E38"/>
    <w:rsid w:val="7B5DF18B"/>
    <w:rsid w:val="7B9C959E"/>
    <w:rsid w:val="7B9CCBF4"/>
    <w:rsid w:val="7BA01A71"/>
    <w:rsid w:val="7CCE7169"/>
    <w:rsid w:val="7D032E28"/>
    <w:rsid w:val="7DD5071E"/>
    <w:rsid w:val="7E43ADF2"/>
    <w:rsid w:val="7FA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EE52A9"/>
  <w15:chartTrackingRefBased/>
  <w15:docId w15:val="{013E74A5-B92F-414D-A5E9-F26B731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7E"/>
    <w:pPr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E7E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E7E"/>
    <w:pPr>
      <w:spacing w:before="60" w:after="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B71"/>
  </w:style>
  <w:style w:type="paragraph" w:styleId="Footer">
    <w:name w:val="footer"/>
    <w:basedOn w:val="Normal"/>
    <w:link w:val="FooterChar"/>
    <w:uiPriority w:val="99"/>
    <w:unhideWhenUsed/>
    <w:rsid w:val="00597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71"/>
  </w:style>
  <w:style w:type="character" w:customStyle="1" w:styleId="Heading1Char">
    <w:name w:val="Heading 1 Char"/>
    <w:basedOn w:val="DefaultParagraphFont"/>
    <w:link w:val="Heading1"/>
    <w:uiPriority w:val="9"/>
    <w:rsid w:val="000C0E7E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E7E"/>
    <w:rPr>
      <w:b/>
      <w:bCs/>
      <w:sz w:val="20"/>
      <w:szCs w:val="20"/>
    </w:rPr>
  </w:style>
  <w:style w:type="character" w:styleId="SubtleReference">
    <w:name w:val="Subtle Reference"/>
    <w:uiPriority w:val="31"/>
    <w:qFormat/>
    <w:rsid w:val="00F81D08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EB7"/>
    <w:rPr>
      <w:color w:val="285A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67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7F6"/>
    <w:rPr>
      <w:color w:val="2B506D" w:themeColor="followedHyperlink"/>
      <w:u w:val="single"/>
    </w:rPr>
  </w:style>
  <w:style w:type="paragraph" w:customStyle="1" w:styleId="paragraph">
    <w:name w:val="paragraph"/>
    <w:basedOn w:val="Normal"/>
    <w:rsid w:val="008700D1"/>
    <w:pPr>
      <w:spacing w:before="100" w:beforeAutospacing="1" w:after="100" w:afterAutospacing="1"/>
      <w:jc w:val="left"/>
    </w:pPr>
    <w:rPr>
      <w:rFonts w:ascii="Calibri" w:eastAsia="SimSun" w:hAnsi="Calibri" w:cs="Calibri"/>
      <w:sz w:val="22"/>
      <w:szCs w:val="22"/>
      <w:lang w:eastAsia="fr-FR"/>
    </w:rPr>
  </w:style>
  <w:style w:type="paragraph" w:styleId="ListParagraph">
    <w:name w:val="List Paragraph"/>
    <w:aliases w:val="List Paragraph- Con,Bullet List,FooterText"/>
    <w:basedOn w:val="Normal"/>
    <w:link w:val="ListParagraphChar"/>
    <w:uiPriority w:val="34"/>
    <w:qFormat/>
    <w:rsid w:val="008700D1"/>
    <w:pPr>
      <w:spacing w:after="160" w:line="259" w:lineRule="auto"/>
      <w:ind w:left="720"/>
      <w:contextualSpacing/>
      <w:jc w:val="left"/>
    </w:pPr>
    <w:rPr>
      <w:rFonts w:eastAsia="SimSun"/>
      <w:sz w:val="22"/>
      <w:szCs w:val="22"/>
    </w:rPr>
  </w:style>
  <w:style w:type="character" w:customStyle="1" w:styleId="ListParagraphChar">
    <w:name w:val="List Paragraph Char"/>
    <w:aliases w:val="List Paragraph- Con Char,Bullet List Char,FooterText Char"/>
    <w:link w:val="ListParagraph"/>
    <w:uiPriority w:val="34"/>
    <w:locked/>
    <w:rsid w:val="008700D1"/>
    <w:rPr>
      <w:rFonts w:eastAsia="SimSun"/>
      <w:sz w:val="22"/>
      <w:szCs w:val="22"/>
    </w:rPr>
  </w:style>
  <w:style w:type="paragraph" w:styleId="NoSpacing">
    <w:name w:val="No Spacing"/>
    <w:uiPriority w:val="1"/>
    <w:qFormat/>
    <w:rsid w:val="008700D1"/>
    <w:rPr>
      <w:rFonts w:eastAsia="SimSun"/>
      <w:sz w:val="22"/>
      <w:szCs w:val="22"/>
    </w:rPr>
  </w:style>
  <w:style w:type="character" w:customStyle="1" w:styleId="normaltextrun">
    <w:name w:val="normaltextrun"/>
    <w:basedOn w:val="DefaultParagraphFont"/>
    <w:rsid w:val="008700D1"/>
  </w:style>
  <w:style w:type="character" w:styleId="Strong">
    <w:name w:val="Strong"/>
    <w:basedOn w:val="DefaultParagraphFont"/>
    <w:uiPriority w:val="22"/>
    <w:qFormat/>
    <w:rsid w:val="008700D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8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8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8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E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E94"/>
    <w:rPr>
      <w:b/>
      <w:bCs/>
      <w:sz w:val="20"/>
      <w:szCs w:val="20"/>
    </w:rPr>
  </w:style>
  <w:style w:type="paragraph" w:customStyle="1" w:styleId="Default">
    <w:name w:val="Default"/>
    <w:rsid w:val="00935AB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875D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FB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3378FB"/>
  </w:style>
  <w:style w:type="character" w:customStyle="1" w:styleId="scxw3202120">
    <w:name w:val="scxw3202120"/>
    <w:basedOn w:val="DefaultParagraphFont"/>
    <w:rsid w:val="003378FB"/>
  </w:style>
  <w:style w:type="character" w:customStyle="1" w:styleId="scxw44760719">
    <w:name w:val="scxw44760719"/>
    <w:basedOn w:val="DefaultParagraphFont"/>
    <w:rsid w:val="0033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ke.rombach@daimle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r@totalenergi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ftbatteri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TotalEnergiesP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totalenergi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TOTALENERGIE5">
      <a:dk1>
        <a:srgbClr val="000000"/>
      </a:dk1>
      <a:lt1>
        <a:srgbClr val="FFFFFF"/>
      </a:lt1>
      <a:dk2>
        <a:srgbClr val="374649"/>
      </a:dk2>
      <a:lt2>
        <a:srgbClr val="FFFFFF"/>
      </a:lt2>
      <a:accent1>
        <a:srgbClr val="FF0000"/>
      </a:accent1>
      <a:accent2>
        <a:srgbClr val="497D91"/>
      </a:accent2>
      <a:accent3>
        <a:srgbClr val="2859FF"/>
      </a:accent3>
      <a:accent4>
        <a:srgbClr val="FFC800"/>
      </a:accent4>
      <a:accent5>
        <a:srgbClr val="95E500"/>
      </a:accent5>
      <a:accent6>
        <a:srgbClr val="009BFF"/>
      </a:accent6>
      <a:hlink>
        <a:srgbClr val="285AFF"/>
      </a:hlink>
      <a:folHlink>
        <a:srgbClr val="2B50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556A57732C6408AB181755BA5B504" ma:contentTypeVersion="8" ma:contentTypeDescription="Create a new document." ma:contentTypeScope="" ma:versionID="015af60258d46276ec3b8d7c1dd27e96">
  <xsd:schema xmlns:xsd="http://www.w3.org/2001/XMLSchema" xmlns:xs="http://www.w3.org/2001/XMLSchema" xmlns:p="http://schemas.microsoft.com/office/2006/metadata/properties" xmlns:ns2="8b4fa8db-1d63-49cb-8702-7053d758763a" targetNamespace="http://schemas.microsoft.com/office/2006/metadata/properties" ma:root="true" ma:fieldsID="8e497ba6dcd630e6cf5ee558cb38183d" ns2:_="">
    <xsd:import namespace="8b4fa8db-1d63-49cb-8702-7053d758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fa8db-1d63-49cb-8702-7053d7587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919E-CBE9-4A31-9BC6-01E926C34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6DDFC-AE9D-4EB6-94C7-F5AF391C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F7BA1-9223-4B30-A18A-044224C7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fa8db-1d63-49cb-8702-7053d758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84583-A7C9-4BA0-8B19-6E1ECE89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QUEVAL</dc:creator>
  <cp:keywords/>
  <dc:description/>
  <cp:lastModifiedBy>Paul Johnston</cp:lastModifiedBy>
  <cp:revision>9</cp:revision>
  <cp:lastPrinted>2021-09-23T18:44:00Z</cp:lastPrinted>
  <dcterms:created xsi:type="dcterms:W3CDTF">2021-09-24T00:04:00Z</dcterms:created>
  <dcterms:modified xsi:type="dcterms:W3CDTF">2021-09-24T08:17:00Z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etDate">
    <vt:lpwstr>2021-09-14T12:59:58Z</vt:lpwstr>
  </property>
  <property fmtid="{D5CDD505-2E9C-101B-9397-08002B2CF9AE}" pid="4" name="MSIP_Label_a4593b6e-8994-43c5-a486-e951b5f02cec_Method">
    <vt:lpwstr>Privileged</vt:lpwstr>
  </property>
  <property fmtid="{D5CDD505-2E9C-101B-9397-08002B2CF9AE}" pid="5" name="MSIP_Label_a4593b6e-8994-43c5-a486-e951b5f02cec_Name">
    <vt:lpwstr>a4593b6e-8994-43c5-a486-e951b5f02cec</vt:lpwstr>
  </property>
  <property fmtid="{D5CDD505-2E9C-101B-9397-08002B2CF9AE}" pid="6" name="MSIP_Label_a4593b6e-8994-43c5-a486-e951b5f02cec_SiteId">
    <vt:lpwstr>329e91b0-e21f-48fb-a071-456717ecc28e</vt:lpwstr>
  </property>
  <property fmtid="{D5CDD505-2E9C-101B-9397-08002B2CF9AE}" pid="7" name="MSIP_Label_a4593b6e-8994-43c5-a486-e951b5f02cec_ActionId">
    <vt:lpwstr>a3f1defa-f754-442b-8caa-ab35b53ca888</vt:lpwstr>
  </property>
  <property fmtid="{D5CDD505-2E9C-101B-9397-08002B2CF9AE}" pid="8" name="MSIP_Label_a4593b6e-8994-43c5-a486-e951b5f02cec_ContentBits">
    <vt:lpwstr>0</vt:lpwstr>
  </property>
  <property fmtid="{D5CDD505-2E9C-101B-9397-08002B2CF9AE}" pid="9" name="MSIP_Label_61e3985f-f701-4a1c-a97f-401c0b5e51f9_Enabled">
    <vt:lpwstr>true</vt:lpwstr>
  </property>
  <property fmtid="{D5CDD505-2E9C-101B-9397-08002B2CF9AE}" pid="10" name="MSIP_Label_61e3985f-f701-4a1c-a97f-401c0b5e51f9_SetDate">
    <vt:lpwstr>2021-09-20T09:03:23Z</vt:lpwstr>
  </property>
  <property fmtid="{D5CDD505-2E9C-101B-9397-08002B2CF9AE}" pid="11" name="MSIP_Label_61e3985f-f701-4a1c-a97f-401c0b5e51f9_Method">
    <vt:lpwstr>Standard</vt:lpwstr>
  </property>
  <property fmtid="{D5CDD505-2E9C-101B-9397-08002B2CF9AE}" pid="12" name="MSIP_Label_61e3985f-f701-4a1c-a97f-401c0b5e51f9_Name">
    <vt:lpwstr>C2 - Restricted</vt:lpwstr>
  </property>
  <property fmtid="{D5CDD505-2E9C-101B-9397-08002B2CF9AE}" pid="13" name="MSIP_Label_61e3985f-f701-4a1c-a97f-401c0b5e51f9_SiteId">
    <vt:lpwstr>0f111499-fe47-4d09-9cbe-6a59b98c9107</vt:lpwstr>
  </property>
  <property fmtid="{D5CDD505-2E9C-101B-9397-08002B2CF9AE}" pid="14" name="MSIP_Label_61e3985f-f701-4a1c-a97f-401c0b5e51f9_ActionId">
    <vt:lpwstr>032b987e-e9f3-4a13-9204-d6d668c46eb3</vt:lpwstr>
  </property>
  <property fmtid="{D5CDD505-2E9C-101B-9397-08002B2CF9AE}" pid="15" name="MSIP_Label_61e3985f-f701-4a1c-a97f-401c0b5e51f9_ContentBits">
    <vt:lpwstr>0</vt:lpwstr>
  </property>
  <property fmtid="{D5CDD505-2E9C-101B-9397-08002B2CF9AE}" pid="16" name="ContentTypeId">
    <vt:lpwstr>0x0101004FB556A57732C6408AB181755BA5B504</vt:lpwstr>
  </property>
</Properties>
</file>