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96CF" w14:textId="77777777" w:rsidR="00BC58B1" w:rsidRPr="005F5540" w:rsidRDefault="00BC58B1" w:rsidP="00BC58B1">
      <w:pPr>
        <w:spacing w:after="160"/>
        <w:jc w:val="center"/>
        <w:rPr>
          <w:rFonts w:ascii="Arial" w:hAnsi="Arial" w:cs="Arial"/>
          <w:b/>
          <w:bCs/>
        </w:rPr>
      </w:pPr>
    </w:p>
    <w:p w14:paraId="0CEDFCD0" w14:textId="77777777" w:rsidR="00E53A26" w:rsidRPr="003C5847" w:rsidRDefault="00E53A26" w:rsidP="00E53A26">
      <w:pPr>
        <w:spacing w:after="160"/>
        <w:jc w:val="center"/>
        <w:rPr>
          <w:rFonts w:ascii="Arial" w:hAnsi="Arial" w:cs="Arial"/>
        </w:rPr>
      </w:pPr>
      <w:r w:rsidRPr="003C5847">
        <w:rPr>
          <w:rFonts w:ascii="Arial" w:hAnsi="Arial" w:cs="Arial"/>
          <w:b/>
          <w:bCs/>
        </w:rPr>
        <w:t xml:space="preserve">Stellantis </w:t>
      </w:r>
      <w:proofErr w:type="spellStart"/>
      <w:r w:rsidRPr="003C5847">
        <w:rPr>
          <w:rFonts w:ascii="Arial" w:hAnsi="Arial" w:cs="Arial"/>
          <w:b/>
          <w:bCs/>
        </w:rPr>
        <w:t>pianifica</w:t>
      </w:r>
      <w:proofErr w:type="spellEnd"/>
      <w:r w:rsidRPr="003C5847">
        <w:rPr>
          <w:rFonts w:ascii="Arial" w:hAnsi="Arial" w:cs="Arial"/>
          <w:b/>
          <w:bCs/>
        </w:rPr>
        <w:t xml:space="preserve"> l’</w:t>
      </w:r>
      <w:proofErr w:type="spellStart"/>
      <w:r w:rsidRPr="003C5847">
        <w:rPr>
          <w:rFonts w:ascii="Arial" w:hAnsi="Arial" w:cs="Arial"/>
          <w:b/>
          <w:bCs/>
        </w:rPr>
        <w:t>acquisto</w:t>
      </w:r>
      <w:proofErr w:type="spellEnd"/>
      <w:r w:rsidRPr="003C5847">
        <w:rPr>
          <w:rFonts w:ascii="Arial" w:hAnsi="Arial" w:cs="Arial"/>
          <w:b/>
          <w:bCs/>
        </w:rPr>
        <w:t xml:space="preserve"> di </w:t>
      </w:r>
      <w:proofErr w:type="spellStart"/>
      <w:r w:rsidRPr="003C5847">
        <w:rPr>
          <w:rFonts w:ascii="Arial" w:hAnsi="Arial" w:cs="Arial"/>
          <w:b/>
          <w:bCs/>
        </w:rPr>
        <w:t>quote</w:t>
      </w:r>
      <w:proofErr w:type="spellEnd"/>
      <w:r w:rsidRPr="003C5847">
        <w:rPr>
          <w:rFonts w:ascii="Arial" w:hAnsi="Arial" w:cs="Arial"/>
          <w:b/>
          <w:bCs/>
        </w:rPr>
        <w:t xml:space="preserve"> di </w:t>
      </w:r>
      <w:proofErr w:type="spellStart"/>
      <w:r w:rsidRPr="003C5847">
        <w:rPr>
          <w:rFonts w:ascii="Arial" w:hAnsi="Arial" w:cs="Arial"/>
          <w:b/>
          <w:bCs/>
        </w:rPr>
        <w:t>partecipazione</w:t>
      </w:r>
      <w:proofErr w:type="spellEnd"/>
      <w:r w:rsidRPr="003C5847">
        <w:rPr>
          <w:rFonts w:ascii="Arial" w:hAnsi="Arial" w:cs="Arial"/>
          <w:b/>
          <w:bCs/>
        </w:rPr>
        <w:t xml:space="preserve"> in </w:t>
      </w:r>
      <w:proofErr w:type="spellStart"/>
      <w:r w:rsidRPr="003C5847">
        <w:rPr>
          <w:rFonts w:ascii="Arial" w:hAnsi="Arial" w:cs="Arial"/>
          <w:b/>
          <w:bCs/>
        </w:rPr>
        <w:t>Symbio</w:t>
      </w:r>
      <w:proofErr w:type="spellEnd"/>
      <w:r w:rsidRPr="003C5847">
        <w:rPr>
          <w:rFonts w:ascii="Arial" w:hAnsi="Arial" w:cs="Arial"/>
          <w:b/>
          <w:bCs/>
        </w:rPr>
        <w:t xml:space="preserve">, </w:t>
      </w:r>
      <w:proofErr w:type="spellStart"/>
      <w:r w:rsidRPr="003C5847">
        <w:rPr>
          <w:rFonts w:ascii="Arial" w:hAnsi="Arial" w:cs="Arial"/>
          <w:b/>
          <w:bCs/>
        </w:rPr>
        <w:t>joint venture</w:t>
      </w:r>
      <w:proofErr w:type="spellEnd"/>
      <w:r w:rsidRPr="003C5847">
        <w:rPr>
          <w:rFonts w:ascii="Arial" w:hAnsi="Arial" w:cs="Arial"/>
          <w:b/>
          <w:bCs/>
        </w:rPr>
        <w:t xml:space="preserve"> di Faurecia e Michelin </w:t>
      </w:r>
      <w:proofErr w:type="spellStart"/>
      <w:r w:rsidRPr="003C5847">
        <w:rPr>
          <w:rFonts w:ascii="Arial" w:hAnsi="Arial" w:cs="Arial"/>
          <w:b/>
          <w:bCs/>
        </w:rPr>
        <w:t>specializzata</w:t>
      </w:r>
      <w:proofErr w:type="spellEnd"/>
      <w:r w:rsidRPr="003C5847">
        <w:rPr>
          <w:rFonts w:ascii="Arial" w:hAnsi="Arial" w:cs="Arial"/>
          <w:b/>
          <w:bCs/>
        </w:rPr>
        <w:t xml:space="preserve"> </w:t>
      </w:r>
      <w:proofErr w:type="spellStart"/>
      <w:r w:rsidRPr="003C5847">
        <w:rPr>
          <w:rFonts w:ascii="Arial" w:hAnsi="Arial" w:cs="Arial"/>
          <w:b/>
          <w:bCs/>
        </w:rPr>
        <w:t>nel</w:t>
      </w:r>
      <w:proofErr w:type="spellEnd"/>
      <w:r w:rsidRPr="003C5847">
        <w:rPr>
          <w:rFonts w:ascii="Arial" w:hAnsi="Arial" w:cs="Arial"/>
          <w:b/>
          <w:bCs/>
        </w:rPr>
        <w:t xml:space="preserve"> </w:t>
      </w:r>
      <w:proofErr w:type="spellStart"/>
      <w:r w:rsidRPr="003C5847">
        <w:rPr>
          <w:rFonts w:ascii="Arial" w:hAnsi="Arial" w:cs="Arial"/>
          <w:b/>
          <w:bCs/>
        </w:rPr>
        <w:t>settore</w:t>
      </w:r>
      <w:proofErr w:type="spellEnd"/>
      <w:r w:rsidRPr="003C5847">
        <w:rPr>
          <w:rFonts w:ascii="Arial" w:hAnsi="Arial" w:cs="Arial"/>
          <w:b/>
          <w:bCs/>
        </w:rPr>
        <w:t xml:space="preserve"> </w:t>
      </w:r>
      <w:proofErr w:type="spellStart"/>
      <w:r w:rsidRPr="003C5847">
        <w:rPr>
          <w:rFonts w:ascii="Arial" w:hAnsi="Arial" w:cs="Arial"/>
          <w:b/>
          <w:bCs/>
        </w:rPr>
        <w:t>dell’idrogeno</w:t>
      </w:r>
      <w:proofErr w:type="spellEnd"/>
      <w:r w:rsidRPr="003C5847">
        <w:rPr>
          <w:rFonts w:ascii="Arial" w:hAnsi="Arial" w:cs="Arial"/>
          <w:b/>
          <w:bCs/>
        </w:rPr>
        <w:t xml:space="preserve"> e leader </w:t>
      </w:r>
      <w:proofErr w:type="spellStart"/>
      <w:r w:rsidRPr="003C5847">
        <w:rPr>
          <w:rFonts w:ascii="Arial" w:hAnsi="Arial" w:cs="Arial"/>
          <w:b/>
          <w:bCs/>
        </w:rPr>
        <w:t>nelle</w:t>
      </w:r>
      <w:proofErr w:type="spellEnd"/>
      <w:r w:rsidRPr="003C5847">
        <w:rPr>
          <w:rFonts w:ascii="Arial" w:hAnsi="Arial" w:cs="Arial"/>
          <w:b/>
          <w:bCs/>
        </w:rPr>
        <w:t xml:space="preserve"> </w:t>
      </w:r>
      <w:proofErr w:type="spellStart"/>
      <w:r w:rsidRPr="003C5847">
        <w:rPr>
          <w:rFonts w:ascii="Arial" w:hAnsi="Arial" w:cs="Arial"/>
          <w:b/>
          <w:bCs/>
        </w:rPr>
        <w:t>tecnologie</w:t>
      </w:r>
      <w:proofErr w:type="spellEnd"/>
      <w:r w:rsidRPr="003C5847">
        <w:rPr>
          <w:rFonts w:ascii="Arial" w:hAnsi="Arial" w:cs="Arial"/>
          <w:b/>
          <w:bCs/>
        </w:rPr>
        <w:t xml:space="preserve"> a celle a </w:t>
      </w:r>
      <w:proofErr w:type="spellStart"/>
      <w:r w:rsidRPr="003C5847">
        <w:rPr>
          <w:rFonts w:ascii="Arial" w:hAnsi="Arial" w:cs="Arial"/>
          <w:b/>
          <w:bCs/>
        </w:rPr>
        <w:t>combustibile</w:t>
      </w:r>
      <w:proofErr w:type="spellEnd"/>
      <w:r w:rsidRPr="003C5847">
        <w:rPr>
          <w:rFonts w:ascii="Arial" w:hAnsi="Arial" w:cs="Arial"/>
          <w:b/>
          <w:bCs/>
        </w:rPr>
        <w:t xml:space="preserve"> per </w:t>
      </w:r>
      <w:proofErr w:type="spellStart"/>
      <w:r w:rsidRPr="003C5847">
        <w:rPr>
          <w:rFonts w:ascii="Arial" w:hAnsi="Arial" w:cs="Arial"/>
          <w:b/>
          <w:bCs/>
        </w:rPr>
        <w:t>l’industria</w:t>
      </w:r>
      <w:proofErr w:type="spellEnd"/>
      <w:r w:rsidRPr="003C5847">
        <w:rPr>
          <w:rFonts w:ascii="Arial" w:hAnsi="Arial" w:cs="Arial"/>
          <w:b/>
          <w:bCs/>
        </w:rPr>
        <w:t xml:space="preserve"> </w:t>
      </w:r>
      <w:proofErr w:type="spellStart"/>
      <w:r w:rsidRPr="003C5847">
        <w:rPr>
          <w:rFonts w:ascii="Arial" w:hAnsi="Arial" w:cs="Arial"/>
          <w:b/>
          <w:bCs/>
        </w:rPr>
        <w:t>della</w:t>
      </w:r>
      <w:proofErr w:type="spellEnd"/>
      <w:r w:rsidRPr="003C5847">
        <w:rPr>
          <w:rFonts w:ascii="Arial" w:hAnsi="Arial" w:cs="Arial"/>
          <w:b/>
          <w:bCs/>
        </w:rPr>
        <w:t xml:space="preserve"> </w:t>
      </w:r>
      <w:proofErr w:type="spellStart"/>
      <w:r w:rsidRPr="003C5847">
        <w:rPr>
          <w:rFonts w:ascii="Arial" w:hAnsi="Arial" w:cs="Arial"/>
          <w:b/>
          <w:bCs/>
        </w:rPr>
        <w:t>mobilità</w:t>
      </w:r>
      <w:proofErr w:type="spellEnd"/>
    </w:p>
    <w:p w14:paraId="21085FBA" w14:textId="77777777" w:rsidR="00E53A26" w:rsidRPr="003C5847" w:rsidRDefault="00E53A26" w:rsidP="00E53A26">
      <w:pPr>
        <w:spacing w:after="160"/>
        <w:jc w:val="both"/>
        <w:rPr>
          <w:rFonts w:ascii="Arial" w:hAnsi="Arial" w:cs="Arial"/>
        </w:rPr>
      </w:pPr>
      <w:r w:rsidRPr="003C5847">
        <w:rPr>
          <w:rFonts w:ascii="Arial" w:hAnsi="Arial" w:cs="Arial"/>
        </w:rPr>
        <w:t xml:space="preserve">23 </w:t>
      </w:r>
      <w:proofErr w:type="spellStart"/>
      <w:r w:rsidRPr="003C5847">
        <w:rPr>
          <w:rFonts w:ascii="Arial" w:hAnsi="Arial" w:cs="Arial"/>
        </w:rPr>
        <w:t>dicembre</w:t>
      </w:r>
      <w:proofErr w:type="spellEnd"/>
      <w:r w:rsidRPr="003C5847">
        <w:rPr>
          <w:rFonts w:ascii="Arial" w:hAnsi="Arial" w:cs="Arial"/>
        </w:rPr>
        <w:t xml:space="preserve"> 2022 </w:t>
      </w:r>
    </w:p>
    <w:p w14:paraId="0A0D3B42" w14:textId="4940AC28" w:rsidR="003C5847" w:rsidRPr="003C5847" w:rsidRDefault="003C5847" w:rsidP="00E53A26">
      <w:pPr>
        <w:spacing w:after="160"/>
        <w:jc w:val="both"/>
        <w:rPr>
          <w:rFonts w:ascii="Arial" w:hAnsi="Arial" w:cs="Arial"/>
        </w:rPr>
      </w:pPr>
      <w:r w:rsidRPr="003C5847">
        <w:rPr>
          <w:rFonts w:ascii="Arial" w:hAnsi="Arial" w:cs="Arial"/>
        </w:rPr>
        <w:t>Faurecia</w:t>
      </w:r>
      <w:r w:rsidRPr="003C5847">
        <w:rPr>
          <w:rFonts w:ascii="Arial" w:hAnsi="Arial" w:cs="Arial"/>
        </w:rPr>
        <w:t>,</w:t>
      </w:r>
      <w:r w:rsidRPr="003C5847">
        <w:rPr>
          <w:rFonts w:ascii="Arial" w:hAnsi="Arial" w:cs="Arial"/>
        </w:rPr>
        <w:t xml:space="preserve"> u</w:t>
      </w:r>
      <w:proofErr w:type="spellStart"/>
      <w:r w:rsidRPr="003C5847">
        <w:rPr>
          <w:rFonts w:ascii="Arial" w:hAnsi="Arial" w:cs="Arial"/>
        </w:rPr>
        <w:t>na</w:t>
      </w:r>
      <w:proofErr w:type="spellEnd"/>
      <w:r w:rsidRPr="003C5847">
        <w:rPr>
          <w:rFonts w:ascii="Arial" w:hAnsi="Arial" w:cs="Arial"/>
        </w:rPr>
        <w:t xml:space="preserve"> </w:t>
      </w:r>
      <w:proofErr w:type="spellStart"/>
      <w:r w:rsidRPr="003C5847">
        <w:rPr>
          <w:rFonts w:ascii="Arial" w:hAnsi="Arial" w:cs="Arial"/>
        </w:rPr>
        <w:t>società</w:t>
      </w:r>
      <w:proofErr w:type="spellEnd"/>
      <w:r w:rsidRPr="003C5847">
        <w:rPr>
          <w:rFonts w:ascii="Arial" w:hAnsi="Arial" w:cs="Arial"/>
        </w:rPr>
        <w:t xml:space="preserve"> </w:t>
      </w:r>
      <w:proofErr w:type="spellStart"/>
      <w:r w:rsidRPr="003C5847">
        <w:rPr>
          <w:rFonts w:ascii="Arial" w:hAnsi="Arial" w:cs="Arial"/>
        </w:rPr>
        <w:t>del</w:t>
      </w:r>
      <w:proofErr w:type="spellEnd"/>
      <w:r w:rsidRPr="003C5847">
        <w:rPr>
          <w:rFonts w:ascii="Arial" w:hAnsi="Arial" w:cs="Arial"/>
        </w:rPr>
        <w:t xml:space="preserve"> </w:t>
      </w:r>
      <w:proofErr w:type="spellStart"/>
      <w:r w:rsidRPr="003C5847">
        <w:rPr>
          <w:rFonts w:ascii="Arial" w:hAnsi="Arial" w:cs="Arial"/>
        </w:rPr>
        <w:t>gruppo</w:t>
      </w:r>
      <w:proofErr w:type="spellEnd"/>
      <w:r w:rsidRPr="003C5847">
        <w:rPr>
          <w:rFonts w:ascii="Arial" w:hAnsi="Arial" w:cs="Arial"/>
        </w:rPr>
        <w:t xml:space="preserve"> </w:t>
      </w:r>
      <w:proofErr w:type="spellStart"/>
      <w:r w:rsidRPr="003C5847">
        <w:rPr>
          <w:rFonts w:ascii="Arial" w:hAnsi="Arial" w:cs="Arial"/>
        </w:rPr>
        <w:t>Forvia</w:t>
      </w:r>
      <w:proofErr w:type="spellEnd"/>
      <w:r w:rsidRPr="003C5847">
        <w:rPr>
          <w:rFonts w:ascii="Arial" w:hAnsi="Arial" w:cs="Arial"/>
        </w:rPr>
        <w:t xml:space="preserve">, </w:t>
      </w:r>
      <w:r w:rsidRPr="003C5847">
        <w:rPr>
          <w:rFonts w:ascii="Arial" w:hAnsi="Arial" w:cs="Arial"/>
        </w:rPr>
        <w:t xml:space="preserve">Michelin e Stellantis </w:t>
      </w:r>
      <w:proofErr w:type="spellStart"/>
      <w:r w:rsidRPr="003C5847">
        <w:rPr>
          <w:rFonts w:ascii="Arial" w:hAnsi="Arial" w:cs="Arial"/>
        </w:rPr>
        <w:t>hanno</w:t>
      </w:r>
      <w:proofErr w:type="spellEnd"/>
      <w:r w:rsidRPr="003C5847">
        <w:rPr>
          <w:rFonts w:ascii="Arial" w:hAnsi="Arial" w:cs="Arial"/>
        </w:rPr>
        <w:t xml:space="preserve"> </w:t>
      </w:r>
      <w:proofErr w:type="spellStart"/>
      <w:r w:rsidRPr="003C5847">
        <w:rPr>
          <w:rFonts w:ascii="Arial" w:hAnsi="Arial" w:cs="Arial"/>
        </w:rPr>
        <w:t>annunciato</w:t>
      </w:r>
      <w:proofErr w:type="spellEnd"/>
      <w:r w:rsidRPr="003C5847">
        <w:rPr>
          <w:rFonts w:ascii="Arial" w:hAnsi="Arial" w:cs="Arial"/>
        </w:rPr>
        <w:t xml:space="preserve"> </w:t>
      </w:r>
      <w:proofErr w:type="spellStart"/>
      <w:r w:rsidRPr="003C5847">
        <w:rPr>
          <w:rFonts w:ascii="Arial" w:hAnsi="Arial" w:cs="Arial"/>
        </w:rPr>
        <w:t>oggi</w:t>
      </w:r>
      <w:proofErr w:type="spellEnd"/>
      <w:r w:rsidRPr="003C5847">
        <w:rPr>
          <w:rFonts w:ascii="Arial" w:hAnsi="Arial" w:cs="Arial"/>
        </w:rPr>
        <w:t xml:space="preserve"> l’</w:t>
      </w:r>
      <w:proofErr w:type="spellStart"/>
      <w:r w:rsidRPr="003C5847">
        <w:rPr>
          <w:rFonts w:ascii="Arial" w:hAnsi="Arial" w:cs="Arial"/>
        </w:rPr>
        <w:t>avvio</w:t>
      </w:r>
      <w:proofErr w:type="spellEnd"/>
      <w:r w:rsidRPr="003C5847">
        <w:rPr>
          <w:rFonts w:ascii="Arial" w:hAnsi="Arial" w:cs="Arial"/>
        </w:rPr>
        <w:t xml:space="preserve"> di </w:t>
      </w:r>
      <w:proofErr w:type="spellStart"/>
      <w:r w:rsidRPr="003C5847">
        <w:rPr>
          <w:rFonts w:ascii="Arial" w:hAnsi="Arial" w:cs="Arial"/>
        </w:rPr>
        <w:t>una</w:t>
      </w:r>
      <w:proofErr w:type="spellEnd"/>
      <w:r w:rsidRPr="003C5847">
        <w:rPr>
          <w:rFonts w:ascii="Arial" w:hAnsi="Arial" w:cs="Arial"/>
        </w:rPr>
        <w:t xml:space="preserve"> </w:t>
      </w:r>
      <w:proofErr w:type="spellStart"/>
      <w:r w:rsidRPr="003C5847">
        <w:rPr>
          <w:rFonts w:ascii="Arial" w:hAnsi="Arial" w:cs="Arial"/>
        </w:rPr>
        <w:t>trattativa</w:t>
      </w:r>
      <w:proofErr w:type="spellEnd"/>
      <w:r w:rsidRPr="003C5847">
        <w:rPr>
          <w:rFonts w:ascii="Arial" w:hAnsi="Arial" w:cs="Arial"/>
        </w:rPr>
        <w:t xml:space="preserve"> </w:t>
      </w:r>
      <w:proofErr w:type="spellStart"/>
      <w:r w:rsidRPr="003C5847">
        <w:rPr>
          <w:rFonts w:ascii="Arial" w:hAnsi="Arial" w:cs="Arial"/>
        </w:rPr>
        <w:t>esclusiva</w:t>
      </w:r>
      <w:proofErr w:type="spellEnd"/>
      <w:r w:rsidRPr="003C5847">
        <w:rPr>
          <w:rFonts w:ascii="Arial" w:hAnsi="Arial" w:cs="Arial"/>
        </w:rPr>
        <w:t xml:space="preserve"> per l’</w:t>
      </w:r>
      <w:proofErr w:type="spellStart"/>
      <w:r w:rsidRPr="003C5847">
        <w:rPr>
          <w:rFonts w:ascii="Arial" w:hAnsi="Arial" w:cs="Arial"/>
        </w:rPr>
        <w:t>acquisizione</w:t>
      </w:r>
      <w:proofErr w:type="spellEnd"/>
      <w:r w:rsidRPr="003C5847">
        <w:rPr>
          <w:rFonts w:ascii="Arial" w:hAnsi="Arial" w:cs="Arial"/>
        </w:rPr>
        <w:t xml:space="preserve"> di </w:t>
      </w:r>
      <w:proofErr w:type="spellStart"/>
      <w:r w:rsidRPr="003C5847">
        <w:rPr>
          <w:rFonts w:ascii="Arial" w:hAnsi="Arial" w:cs="Arial"/>
        </w:rPr>
        <w:t>una</w:t>
      </w:r>
      <w:proofErr w:type="spellEnd"/>
      <w:r w:rsidRPr="003C5847">
        <w:rPr>
          <w:rFonts w:ascii="Arial" w:hAnsi="Arial" w:cs="Arial"/>
        </w:rPr>
        <w:t xml:space="preserve"> </w:t>
      </w:r>
      <w:proofErr w:type="spellStart"/>
      <w:r w:rsidRPr="003C5847">
        <w:rPr>
          <w:rFonts w:ascii="Arial" w:hAnsi="Arial" w:cs="Arial"/>
        </w:rPr>
        <w:t>considerevole</w:t>
      </w:r>
      <w:proofErr w:type="spellEnd"/>
      <w:r w:rsidRPr="003C5847">
        <w:rPr>
          <w:rFonts w:ascii="Arial" w:hAnsi="Arial" w:cs="Arial"/>
        </w:rPr>
        <w:t xml:space="preserve"> quota di </w:t>
      </w:r>
      <w:proofErr w:type="spellStart"/>
      <w:r w:rsidRPr="003C5847">
        <w:rPr>
          <w:rFonts w:ascii="Arial" w:hAnsi="Arial" w:cs="Arial"/>
        </w:rPr>
        <w:t>partecipazione</w:t>
      </w:r>
      <w:proofErr w:type="spellEnd"/>
      <w:r w:rsidRPr="003C5847">
        <w:rPr>
          <w:rFonts w:ascii="Arial" w:hAnsi="Arial" w:cs="Arial"/>
        </w:rPr>
        <w:t xml:space="preserve"> in </w:t>
      </w:r>
      <w:proofErr w:type="spellStart"/>
      <w:r w:rsidRPr="003C5847">
        <w:rPr>
          <w:rFonts w:ascii="Arial" w:hAnsi="Arial" w:cs="Arial"/>
        </w:rPr>
        <w:t>Symbio</w:t>
      </w:r>
      <w:proofErr w:type="spellEnd"/>
      <w:r w:rsidRPr="003C5847">
        <w:rPr>
          <w:rFonts w:ascii="Arial" w:hAnsi="Arial" w:cs="Arial"/>
        </w:rPr>
        <w:t xml:space="preserve">, </w:t>
      </w:r>
      <w:proofErr w:type="spellStart"/>
      <w:r w:rsidRPr="003C5847">
        <w:rPr>
          <w:rFonts w:ascii="Arial" w:hAnsi="Arial" w:cs="Arial"/>
        </w:rPr>
        <w:t>azienda</w:t>
      </w:r>
      <w:proofErr w:type="spellEnd"/>
      <w:r w:rsidRPr="003C5847">
        <w:rPr>
          <w:rFonts w:ascii="Arial" w:hAnsi="Arial" w:cs="Arial"/>
        </w:rPr>
        <w:t xml:space="preserve"> leader </w:t>
      </w:r>
      <w:proofErr w:type="spellStart"/>
      <w:r w:rsidRPr="003C5847">
        <w:rPr>
          <w:rFonts w:ascii="Arial" w:hAnsi="Arial" w:cs="Arial"/>
        </w:rPr>
        <w:t>nel</w:t>
      </w:r>
      <w:proofErr w:type="spellEnd"/>
      <w:r w:rsidRPr="003C5847">
        <w:rPr>
          <w:rFonts w:ascii="Arial" w:hAnsi="Arial" w:cs="Arial"/>
        </w:rPr>
        <w:t xml:space="preserve"> </w:t>
      </w:r>
      <w:proofErr w:type="spellStart"/>
      <w:r w:rsidRPr="003C5847">
        <w:rPr>
          <w:rFonts w:ascii="Arial" w:hAnsi="Arial" w:cs="Arial"/>
        </w:rPr>
        <w:t>settore</w:t>
      </w:r>
      <w:proofErr w:type="spellEnd"/>
      <w:r w:rsidRPr="003C5847">
        <w:rPr>
          <w:rFonts w:ascii="Arial" w:hAnsi="Arial" w:cs="Arial"/>
        </w:rPr>
        <w:t xml:space="preserve"> </w:t>
      </w:r>
      <w:proofErr w:type="spellStart"/>
      <w:r w:rsidRPr="003C5847">
        <w:rPr>
          <w:rFonts w:ascii="Arial" w:hAnsi="Arial" w:cs="Arial"/>
        </w:rPr>
        <w:t>della</w:t>
      </w:r>
      <w:proofErr w:type="spellEnd"/>
      <w:r w:rsidRPr="003C5847">
        <w:rPr>
          <w:rFonts w:ascii="Arial" w:hAnsi="Arial" w:cs="Arial"/>
        </w:rPr>
        <w:t xml:space="preserve"> </w:t>
      </w:r>
      <w:proofErr w:type="spellStart"/>
      <w:r w:rsidRPr="003C5847">
        <w:rPr>
          <w:rFonts w:ascii="Arial" w:hAnsi="Arial" w:cs="Arial"/>
        </w:rPr>
        <w:t>mobilità</w:t>
      </w:r>
      <w:proofErr w:type="spellEnd"/>
      <w:r w:rsidRPr="003C5847">
        <w:rPr>
          <w:rFonts w:ascii="Arial" w:hAnsi="Arial" w:cs="Arial"/>
        </w:rPr>
        <w:t xml:space="preserve"> a </w:t>
      </w:r>
      <w:proofErr w:type="spellStart"/>
      <w:r w:rsidRPr="003C5847">
        <w:rPr>
          <w:rFonts w:ascii="Arial" w:hAnsi="Arial" w:cs="Arial"/>
        </w:rPr>
        <w:t>idrogeno</w:t>
      </w:r>
      <w:proofErr w:type="spellEnd"/>
      <w:r w:rsidRPr="003C5847">
        <w:rPr>
          <w:rFonts w:ascii="Arial" w:hAnsi="Arial" w:cs="Arial"/>
        </w:rPr>
        <w:t xml:space="preserve"> a </w:t>
      </w:r>
      <w:proofErr w:type="spellStart"/>
      <w:r w:rsidRPr="003C5847">
        <w:rPr>
          <w:rFonts w:ascii="Arial" w:hAnsi="Arial" w:cs="Arial"/>
        </w:rPr>
        <w:t>zero</w:t>
      </w:r>
      <w:proofErr w:type="spellEnd"/>
      <w:r w:rsidRPr="003C5847">
        <w:rPr>
          <w:rFonts w:ascii="Arial" w:hAnsi="Arial" w:cs="Arial"/>
        </w:rPr>
        <w:t xml:space="preserve"> </w:t>
      </w:r>
      <w:proofErr w:type="spellStart"/>
      <w:r w:rsidRPr="003C5847">
        <w:rPr>
          <w:rFonts w:ascii="Arial" w:hAnsi="Arial" w:cs="Arial"/>
        </w:rPr>
        <w:t>emissioni</w:t>
      </w:r>
      <w:proofErr w:type="spellEnd"/>
      <w:r w:rsidRPr="003C5847">
        <w:rPr>
          <w:rFonts w:ascii="Arial" w:hAnsi="Arial" w:cs="Arial"/>
        </w:rPr>
        <w:t xml:space="preserve">, da parte di Stellantis, </w:t>
      </w:r>
      <w:proofErr w:type="spellStart"/>
      <w:r w:rsidRPr="003C5847">
        <w:rPr>
          <w:rFonts w:ascii="Arial" w:hAnsi="Arial" w:cs="Arial"/>
        </w:rPr>
        <w:t>che</w:t>
      </w:r>
      <w:proofErr w:type="spellEnd"/>
      <w:r w:rsidRPr="003C5847">
        <w:rPr>
          <w:rFonts w:ascii="Arial" w:hAnsi="Arial" w:cs="Arial"/>
        </w:rPr>
        <w:t xml:space="preserve"> </w:t>
      </w:r>
      <w:proofErr w:type="spellStart"/>
      <w:r w:rsidRPr="003C5847">
        <w:rPr>
          <w:rFonts w:ascii="Arial" w:hAnsi="Arial" w:cs="Arial"/>
        </w:rPr>
        <w:t>andrà</w:t>
      </w:r>
      <w:proofErr w:type="spellEnd"/>
      <w:r w:rsidRPr="003C5847">
        <w:rPr>
          <w:rFonts w:ascii="Arial" w:hAnsi="Arial" w:cs="Arial"/>
        </w:rPr>
        <w:t xml:space="preserve"> ad </w:t>
      </w:r>
      <w:proofErr w:type="spellStart"/>
      <w:r w:rsidRPr="003C5847">
        <w:rPr>
          <w:rFonts w:ascii="Arial" w:hAnsi="Arial" w:cs="Arial"/>
        </w:rPr>
        <w:t>affiancarsi</w:t>
      </w:r>
      <w:proofErr w:type="spellEnd"/>
      <w:r w:rsidRPr="003C5847">
        <w:rPr>
          <w:rFonts w:ascii="Arial" w:hAnsi="Arial" w:cs="Arial"/>
        </w:rPr>
        <w:t xml:space="preserve"> </w:t>
      </w:r>
      <w:proofErr w:type="spellStart"/>
      <w:r w:rsidRPr="003C5847">
        <w:rPr>
          <w:rFonts w:ascii="Arial" w:hAnsi="Arial" w:cs="Arial"/>
        </w:rPr>
        <w:t>agli</w:t>
      </w:r>
      <w:proofErr w:type="spellEnd"/>
      <w:r w:rsidRPr="003C5847">
        <w:rPr>
          <w:rFonts w:ascii="Arial" w:hAnsi="Arial" w:cs="Arial"/>
        </w:rPr>
        <w:t xml:space="preserve"> </w:t>
      </w:r>
      <w:proofErr w:type="spellStart"/>
      <w:r w:rsidRPr="003C5847">
        <w:rPr>
          <w:rFonts w:ascii="Arial" w:hAnsi="Arial" w:cs="Arial"/>
        </w:rPr>
        <w:t>attuali</w:t>
      </w:r>
      <w:proofErr w:type="spellEnd"/>
      <w:r w:rsidRPr="003C5847">
        <w:rPr>
          <w:rFonts w:ascii="Arial" w:hAnsi="Arial" w:cs="Arial"/>
        </w:rPr>
        <w:t xml:space="preserve"> </w:t>
      </w:r>
      <w:proofErr w:type="spellStart"/>
      <w:r w:rsidRPr="003C5847">
        <w:rPr>
          <w:rFonts w:ascii="Arial" w:hAnsi="Arial" w:cs="Arial"/>
        </w:rPr>
        <w:t>azionisti</w:t>
      </w:r>
      <w:proofErr w:type="spellEnd"/>
      <w:r w:rsidRPr="003C5847">
        <w:rPr>
          <w:rFonts w:ascii="Arial" w:hAnsi="Arial" w:cs="Arial"/>
        </w:rPr>
        <w:t xml:space="preserve"> Faurecia e Michelin.</w:t>
      </w:r>
    </w:p>
    <w:p w14:paraId="7F64843B" w14:textId="610B501C" w:rsidR="00E53A26" w:rsidRPr="003C5847" w:rsidRDefault="00E53A26" w:rsidP="00E53A26">
      <w:pPr>
        <w:spacing w:after="160"/>
        <w:jc w:val="both"/>
        <w:rPr>
          <w:rFonts w:ascii="Arial" w:hAnsi="Arial" w:cs="Arial"/>
          <w:lang w:val="es-ES"/>
        </w:rPr>
      </w:pPr>
      <w:r w:rsidRPr="003C5847">
        <w:rPr>
          <w:rFonts w:ascii="Arial" w:hAnsi="Arial" w:cs="Arial"/>
          <w:lang w:val="es-ES"/>
        </w:rPr>
        <w:t xml:space="preserve">“La tabella di marcia di </w:t>
      </w:r>
      <w:proofErr w:type="spellStart"/>
      <w:r w:rsidRPr="003C5847">
        <w:rPr>
          <w:rFonts w:ascii="Arial" w:hAnsi="Arial" w:cs="Arial"/>
          <w:lang w:val="es-ES"/>
        </w:rPr>
        <w:t>Symbio</w:t>
      </w:r>
      <w:proofErr w:type="spellEnd"/>
      <w:r w:rsidRPr="003C5847">
        <w:rPr>
          <w:rFonts w:ascii="Arial" w:hAnsi="Arial" w:cs="Arial"/>
          <w:lang w:val="es-ES"/>
        </w:rPr>
        <w:t xml:space="preserve"> per </w:t>
      </w:r>
      <w:proofErr w:type="spellStart"/>
      <w:r w:rsidRPr="003C5847">
        <w:rPr>
          <w:rFonts w:ascii="Arial" w:hAnsi="Arial" w:cs="Arial"/>
          <w:lang w:val="es-ES"/>
        </w:rPr>
        <w:t>gli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aspetti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tecnici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combacia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perfettamente</w:t>
      </w:r>
      <w:proofErr w:type="spellEnd"/>
      <w:r w:rsidRPr="003C5847">
        <w:rPr>
          <w:rFonts w:ascii="Arial" w:hAnsi="Arial" w:cs="Arial"/>
          <w:lang w:val="es-ES"/>
        </w:rPr>
        <w:t xml:space="preserve"> con i </w:t>
      </w:r>
      <w:proofErr w:type="spellStart"/>
      <w:r w:rsidRPr="003C5847">
        <w:rPr>
          <w:rFonts w:ascii="Arial" w:hAnsi="Arial" w:cs="Arial"/>
          <w:lang w:val="es-ES"/>
        </w:rPr>
        <w:t>piani</w:t>
      </w:r>
      <w:proofErr w:type="spellEnd"/>
      <w:r w:rsidRPr="003C5847">
        <w:rPr>
          <w:rFonts w:ascii="Arial" w:hAnsi="Arial" w:cs="Arial"/>
          <w:lang w:val="es-ES"/>
        </w:rPr>
        <w:t xml:space="preserve"> di Stellantis </w:t>
      </w:r>
      <w:proofErr w:type="spellStart"/>
      <w:r w:rsidRPr="003C5847">
        <w:rPr>
          <w:rFonts w:ascii="Arial" w:hAnsi="Arial" w:cs="Arial"/>
          <w:lang w:val="es-ES"/>
        </w:rPr>
        <w:t>relativi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alla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mobilità</w:t>
      </w:r>
      <w:proofErr w:type="spellEnd"/>
      <w:r w:rsidRPr="003C5847">
        <w:rPr>
          <w:rFonts w:ascii="Arial" w:hAnsi="Arial" w:cs="Arial"/>
          <w:lang w:val="es-ES"/>
        </w:rPr>
        <w:t xml:space="preserve"> a </w:t>
      </w:r>
      <w:proofErr w:type="spellStart"/>
      <w:r w:rsidRPr="003C5847">
        <w:rPr>
          <w:rFonts w:ascii="Arial" w:hAnsi="Arial" w:cs="Arial"/>
          <w:lang w:val="es-ES"/>
        </w:rPr>
        <w:t>idrogeno</w:t>
      </w:r>
      <w:proofErr w:type="spellEnd"/>
      <w:r w:rsidRPr="003C5847">
        <w:rPr>
          <w:rFonts w:ascii="Arial" w:hAnsi="Arial" w:cs="Arial"/>
          <w:lang w:val="es-ES"/>
        </w:rPr>
        <w:t xml:space="preserve"> in Europa e </w:t>
      </w:r>
      <w:proofErr w:type="spellStart"/>
      <w:r w:rsidRPr="003C5847">
        <w:rPr>
          <w:rFonts w:ascii="Arial" w:hAnsi="Arial" w:cs="Arial"/>
          <w:lang w:val="es-ES"/>
        </w:rPr>
        <w:t>negli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Stati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Uniti</w:t>
      </w:r>
      <w:proofErr w:type="spellEnd"/>
      <w:r w:rsidRPr="003C5847">
        <w:rPr>
          <w:rFonts w:ascii="Arial" w:hAnsi="Arial" w:cs="Arial"/>
          <w:lang w:val="es-ES"/>
        </w:rPr>
        <w:t xml:space="preserve">” ha </w:t>
      </w:r>
      <w:proofErr w:type="spellStart"/>
      <w:r w:rsidRPr="003C5847">
        <w:rPr>
          <w:rFonts w:ascii="Arial" w:hAnsi="Arial" w:cs="Arial"/>
          <w:lang w:val="es-ES"/>
        </w:rPr>
        <w:t>dichiarato</w:t>
      </w:r>
      <w:proofErr w:type="spellEnd"/>
      <w:r w:rsidRPr="003C5847">
        <w:rPr>
          <w:rFonts w:ascii="Arial" w:hAnsi="Arial" w:cs="Arial"/>
          <w:lang w:val="es-ES"/>
        </w:rPr>
        <w:t xml:space="preserve"> Carlos Tavares, CEO di Stellantis.  “</w:t>
      </w:r>
      <w:proofErr w:type="spellStart"/>
      <w:r w:rsidRPr="003C5847">
        <w:rPr>
          <w:rFonts w:ascii="Arial" w:hAnsi="Arial" w:cs="Arial"/>
          <w:lang w:val="es-ES"/>
        </w:rPr>
        <w:t>Questo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passo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consentirà</w:t>
      </w:r>
      <w:proofErr w:type="spellEnd"/>
      <w:r w:rsidRPr="003C5847">
        <w:rPr>
          <w:rFonts w:ascii="Arial" w:hAnsi="Arial" w:cs="Arial"/>
          <w:lang w:val="es-ES"/>
        </w:rPr>
        <w:t xml:space="preserve"> di </w:t>
      </w:r>
      <w:proofErr w:type="spellStart"/>
      <w:r w:rsidRPr="003C5847">
        <w:rPr>
          <w:rFonts w:ascii="Arial" w:hAnsi="Arial" w:cs="Arial"/>
          <w:lang w:val="es-ES"/>
        </w:rPr>
        <w:t>velocizzare</w:t>
      </w:r>
      <w:proofErr w:type="spellEnd"/>
      <w:r w:rsidRPr="003C5847">
        <w:rPr>
          <w:rFonts w:ascii="Arial" w:hAnsi="Arial" w:cs="Arial"/>
          <w:lang w:val="es-ES"/>
        </w:rPr>
        <w:t xml:space="preserve"> lo </w:t>
      </w:r>
      <w:proofErr w:type="spellStart"/>
      <w:r w:rsidRPr="003C5847">
        <w:rPr>
          <w:rFonts w:ascii="Arial" w:hAnsi="Arial" w:cs="Arial"/>
          <w:lang w:val="es-ES"/>
        </w:rPr>
        <w:t>sviluppo</w:t>
      </w:r>
      <w:proofErr w:type="spellEnd"/>
      <w:r w:rsidRPr="003C5847">
        <w:rPr>
          <w:rFonts w:ascii="Arial" w:hAnsi="Arial" w:cs="Arial"/>
          <w:lang w:val="es-ES"/>
        </w:rPr>
        <w:t xml:space="preserve"> di </w:t>
      </w:r>
      <w:proofErr w:type="spellStart"/>
      <w:r w:rsidRPr="003C5847">
        <w:rPr>
          <w:rFonts w:ascii="Arial" w:hAnsi="Arial" w:cs="Arial"/>
          <w:lang w:val="es-ES"/>
        </w:rPr>
        <w:t>questa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tecnologia</w:t>
      </w:r>
      <w:proofErr w:type="spellEnd"/>
      <w:r w:rsidRPr="003C5847">
        <w:rPr>
          <w:rFonts w:ascii="Arial" w:hAnsi="Arial" w:cs="Arial"/>
          <w:lang w:val="es-ES"/>
        </w:rPr>
        <w:t xml:space="preserve">, che </w:t>
      </w:r>
      <w:proofErr w:type="spellStart"/>
      <w:r w:rsidRPr="003C5847">
        <w:rPr>
          <w:rFonts w:ascii="Arial" w:hAnsi="Arial" w:cs="Arial"/>
          <w:lang w:val="es-ES"/>
        </w:rPr>
        <w:t>consentirà</w:t>
      </w:r>
      <w:proofErr w:type="spellEnd"/>
      <w:r w:rsidRPr="003C5847">
        <w:rPr>
          <w:rFonts w:ascii="Arial" w:hAnsi="Arial" w:cs="Arial"/>
          <w:lang w:val="es-ES"/>
        </w:rPr>
        <w:t xml:space="preserve"> di </w:t>
      </w:r>
      <w:proofErr w:type="spellStart"/>
      <w:r w:rsidRPr="003C5847">
        <w:rPr>
          <w:rFonts w:ascii="Arial" w:hAnsi="Arial" w:cs="Arial"/>
          <w:lang w:val="es-ES"/>
        </w:rPr>
        <w:t>offrire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ai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nostri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clienti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nuovi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prodotti</w:t>
      </w:r>
      <w:proofErr w:type="spellEnd"/>
      <w:r w:rsidRPr="003C5847">
        <w:rPr>
          <w:rFonts w:ascii="Arial" w:hAnsi="Arial" w:cs="Arial"/>
          <w:lang w:val="es-ES"/>
        </w:rPr>
        <w:t xml:space="preserve"> a </w:t>
      </w:r>
      <w:proofErr w:type="spellStart"/>
      <w:r w:rsidRPr="003C5847">
        <w:rPr>
          <w:rFonts w:ascii="Arial" w:hAnsi="Arial" w:cs="Arial"/>
          <w:lang w:val="es-ES"/>
        </w:rPr>
        <w:t>basse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emissioni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oltre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ai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tradizionali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veicoli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elettrici</w:t>
      </w:r>
      <w:proofErr w:type="spellEnd"/>
      <w:r w:rsidRPr="003C5847">
        <w:rPr>
          <w:rFonts w:ascii="Arial" w:hAnsi="Arial" w:cs="Arial"/>
          <w:lang w:val="es-ES"/>
        </w:rPr>
        <w:t xml:space="preserve">. </w:t>
      </w:r>
      <w:proofErr w:type="spellStart"/>
      <w:r w:rsidRPr="003C5847">
        <w:rPr>
          <w:rFonts w:ascii="Arial" w:hAnsi="Arial" w:cs="Arial"/>
          <w:lang w:val="es-ES"/>
        </w:rPr>
        <w:t>Siamo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grati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ai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team</w:t>
      </w:r>
      <w:proofErr w:type="spellEnd"/>
      <w:r w:rsidRPr="003C5847">
        <w:rPr>
          <w:rFonts w:ascii="Arial" w:hAnsi="Arial" w:cs="Arial"/>
          <w:lang w:val="es-ES"/>
        </w:rPr>
        <w:t xml:space="preserve"> di Faurecia, Michelin e </w:t>
      </w:r>
      <w:proofErr w:type="spellStart"/>
      <w:r w:rsidRPr="003C5847">
        <w:rPr>
          <w:rFonts w:ascii="Arial" w:hAnsi="Arial" w:cs="Arial"/>
          <w:lang w:val="es-ES"/>
        </w:rPr>
        <w:t>Symbio</w:t>
      </w:r>
      <w:proofErr w:type="spellEnd"/>
      <w:r w:rsidRPr="003C5847">
        <w:rPr>
          <w:rFonts w:ascii="Arial" w:hAnsi="Arial" w:cs="Arial"/>
          <w:lang w:val="es-ES"/>
        </w:rPr>
        <w:t xml:space="preserve"> per </w:t>
      </w:r>
      <w:proofErr w:type="spellStart"/>
      <w:r w:rsidRPr="003C5847">
        <w:rPr>
          <w:rFonts w:ascii="Arial" w:hAnsi="Arial" w:cs="Arial"/>
          <w:lang w:val="es-ES"/>
        </w:rPr>
        <w:t>il</w:t>
      </w:r>
      <w:proofErr w:type="spellEnd"/>
      <w:r w:rsidRPr="003C5847">
        <w:rPr>
          <w:rFonts w:ascii="Arial" w:hAnsi="Arial" w:cs="Arial"/>
          <w:lang w:val="es-ES"/>
        </w:rPr>
        <w:t xml:space="preserve"> loro </w:t>
      </w:r>
      <w:proofErr w:type="spellStart"/>
      <w:r w:rsidRPr="003C5847">
        <w:rPr>
          <w:rFonts w:ascii="Arial" w:hAnsi="Arial" w:cs="Arial"/>
          <w:lang w:val="es-ES"/>
        </w:rPr>
        <w:t>impegno</w:t>
      </w:r>
      <w:proofErr w:type="spellEnd"/>
      <w:r w:rsidRPr="003C5847">
        <w:rPr>
          <w:rFonts w:ascii="Arial" w:hAnsi="Arial" w:cs="Arial"/>
          <w:lang w:val="es-ES"/>
        </w:rPr>
        <w:t xml:space="preserve"> a </w:t>
      </w:r>
      <w:proofErr w:type="spellStart"/>
      <w:r w:rsidRPr="003C5847">
        <w:rPr>
          <w:rFonts w:ascii="Arial" w:hAnsi="Arial" w:cs="Arial"/>
          <w:lang w:val="es-ES"/>
        </w:rPr>
        <w:t>favore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dell’innovazione</w:t>
      </w:r>
      <w:proofErr w:type="spellEnd"/>
      <w:r w:rsidRPr="003C5847">
        <w:rPr>
          <w:rFonts w:ascii="Arial" w:hAnsi="Arial" w:cs="Arial"/>
          <w:lang w:val="es-ES"/>
        </w:rPr>
        <w:t xml:space="preserve">, </w:t>
      </w:r>
      <w:proofErr w:type="spellStart"/>
      <w:r w:rsidRPr="003C5847">
        <w:rPr>
          <w:rFonts w:ascii="Arial" w:hAnsi="Arial" w:cs="Arial"/>
          <w:lang w:val="es-ES"/>
        </w:rPr>
        <w:t>dell’eccellenza</w:t>
      </w:r>
      <w:proofErr w:type="spellEnd"/>
      <w:r w:rsidRPr="003C5847">
        <w:rPr>
          <w:rFonts w:ascii="Arial" w:hAnsi="Arial" w:cs="Arial"/>
          <w:lang w:val="es-ES"/>
        </w:rPr>
        <w:t xml:space="preserve"> e </w:t>
      </w:r>
      <w:proofErr w:type="spellStart"/>
      <w:r w:rsidRPr="003C5847">
        <w:rPr>
          <w:rFonts w:ascii="Arial" w:hAnsi="Arial" w:cs="Arial"/>
          <w:lang w:val="es-ES"/>
        </w:rPr>
        <w:t>della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collaborazione</w:t>
      </w:r>
      <w:proofErr w:type="spellEnd"/>
      <w:r w:rsidRPr="003C5847">
        <w:rPr>
          <w:rFonts w:ascii="Arial" w:hAnsi="Arial" w:cs="Arial"/>
          <w:lang w:val="es-ES"/>
        </w:rPr>
        <w:t xml:space="preserve">; </w:t>
      </w:r>
      <w:proofErr w:type="spellStart"/>
      <w:r w:rsidRPr="003C5847">
        <w:rPr>
          <w:rFonts w:ascii="Arial" w:hAnsi="Arial" w:cs="Arial"/>
          <w:lang w:val="es-ES"/>
        </w:rPr>
        <w:t>tutti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noi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lavoriamo</w:t>
      </w:r>
      <w:proofErr w:type="spellEnd"/>
      <w:r w:rsidRPr="003C5847">
        <w:rPr>
          <w:rFonts w:ascii="Arial" w:hAnsi="Arial" w:cs="Arial"/>
          <w:lang w:val="es-ES"/>
        </w:rPr>
        <w:t xml:space="preserve"> per </w:t>
      </w:r>
      <w:proofErr w:type="spellStart"/>
      <w:r w:rsidRPr="003C5847">
        <w:rPr>
          <w:rFonts w:ascii="Arial" w:hAnsi="Arial" w:cs="Arial"/>
          <w:lang w:val="es-ES"/>
        </w:rPr>
        <w:t>raggiungere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l’obiettivo</w:t>
      </w:r>
      <w:proofErr w:type="spellEnd"/>
      <w:r w:rsidRPr="003C5847">
        <w:rPr>
          <w:rFonts w:ascii="Arial" w:hAnsi="Arial" w:cs="Arial"/>
          <w:lang w:val="es-ES"/>
        </w:rPr>
        <w:t xml:space="preserve"> di una </w:t>
      </w:r>
      <w:proofErr w:type="spellStart"/>
      <w:r w:rsidRPr="003C5847">
        <w:rPr>
          <w:rFonts w:ascii="Arial" w:hAnsi="Arial" w:cs="Arial"/>
          <w:lang w:val="es-ES"/>
        </w:rPr>
        <w:t>mobilità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decarbonizzata</w:t>
      </w:r>
      <w:proofErr w:type="spellEnd"/>
      <w:r w:rsidRPr="003C5847">
        <w:rPr>
          <w:rFonts w:ascii="Arial" w:hAnsi="Arial" w:cs="Arial"/>
          <w:lang w:val="es-ES"/>
        </w:rPr>
        <w:t>.”</w:t>
      </w:r>
    </w:p>
    <w:p w14:paraId="4E31D42D" w14:textId="77777777" w:rsidR="00E53A26" w:rsidRPr="003C5847" w:rsidRDefault="00E53A26" w:rsidP="00E53A26">
      <w:pPr>
        <w:spacing w:after="160"/>
        <w:jc w:val="both"/>
        <w:rPr>
          <w:rFonts w:ascii="Arial" w:hAnsi="Arial" w:cs="Arial"/>
          <w:lang w:val="es-ES"/>
        </w:rPr>
      </w:pPr>
      <w:r w:rsidRPr="003C5847">
        <w:rPr>
          <w:rFonts w:ascii="Arial" w:hAnsi="Arial" w:cs="Arial"/>
          <w:lang w:val="es-ES"/>
        </w:rPr>
        <w:t xml:space="preserve">Stellantis è </w:t>
      </w:r>
      <w:proofErr w:type="spellStart"/>
      <w:r w:rsidRPr="003C5847">
        <w:rPr>
          <w:rFonts w:ascii="Arial" w:hAnsi="Arial" w:cs="Arial"/>
          <w:lang w:val="es-ES"/>
        </w:rPr>
        <w:t>pioniere</w:t>
      </w:r>
      <w:proofErr w:type="spellEnd"/>
      <w:r w:rsidRPr="003C5847">
        <w:rPr>
          <w:rFonts w:ascii="Arial" w:hAnsi="Arial" w:cs="Arial"/>
          <w:lang w:val="es-ES"/>
        </w:rPr>
        <w:t xml:space="preserve"> e </w:t>
      </w:r>
      <w:proofErr w:type="spellStart"/>
      <w:r w:rsidRPr="003C5847">
        <w:rPr>
          <w:rFonts w:ascii="Arial" w:hAnsi="Arial" w:cs="Arial"/>
          <w:lang w:val="es-ES"/>
        </w:rPr>
        <w:t>capofila</w:t>
      </w:r>
      <w:proofErr w:type="spellEnd"/>
      <w:r w:rsidRPr="003C5847">
        <w:rPr>
          <w:rFonts w:ascii="Arial" w:hAnsi="Arial" w:cs="Arial"/>
          <w:lang w:val="es-ES"/>
        </w:rPr>
        <w:t xml:space="preserve"> nel </w:t>
      </w:r>
      <w:proofErr w:type="spellStart"/>
      <w:r w:rsidRPr="003C5847">
        <w:rPr>
          <w:rFonts w:ascii="Arial" w:hAnsi="Arial" w:cs="Arial"/>
          <w:lang w:val="es-ES"/>
        </w:rPr>
        <w:t>settore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della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mobilità</w:t>
      </w:r>
      <w:proofErr w:type="spellEnd"/>
      <w:r w:rsidRPr="003C5847">
        <w:rPr>
          <w:rFonts w:ascii="Arial" w:hAnsi="Arial" w:cs="Arial"/>
          <w:lang w:val="es-ES"/>
        </w:rPr>
        <w:t xml:space="preserve"> a </w:t>
      </w:r>
      <w:proofErr w:type="spellStart"/>
      <w:r w:rsidRPr="003C5847">
        <w:rPr>
          <w:rFonts w:ascii="Arial" w:hAnsi="Arial" w:cs="Arial"/>
          <w:lang w:val="es-ES"/>
        </w:rPr>
        <w:t>idrogeno</w:t>
      </w:r>
      <w:proofErr w:type="spellEnd"/>
      <w:r w:rsidRPr="003C5847">
        <w:rPr>
          <w:rFonts w:ascii="Arial" w:hAnsi="Arial" w:cs="Arial"/>
          <w:lang w:val="es-ES"/>
        </w:rPr>
        <w:t xml:space="preserve">, </w:t>
      </w:r>
      <w:proofErr w:type="spellStart"/>
      <w:r w:rsidRPr="003C5847">
        <w:rPr>
          <w:rFonts w:ascii="Arial" w:hAnsi="Arial" w:cs="Arial"/>
          <w:lang w:val="es-ES"/>
        </w:rPr>
        <w:t>avendo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lanciato</w:t>
      </w:r>
      <w:proofErr w:type="spellEnd"/>
      <w:r w:rsidRPr="003C5847">
        <w:rPr>
          <w:rFonts w:ascii="Arial" w:hAnsi="Arial" w:cs="Arial"/>
          <w:lang w:val="es-ES"/>
        </w:rPr>
        <w:t xml:space="preserve"> i </w:t>
      </w:r>
      <w:proofErr w:type="spellStart"/>
      <w:r w:rsidRPr="003C5847">
        <w:rPr>
          <w:rFonts w:ascii="Arial" w:hAnsi="Arial" w:cs="Arial"/>
          <w:lang w:val="es-ES"/>
        </w:rPr>
        <w:t>propri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furgoni</w:t>
      </w:r>
      <w:proofErr w:type="spellEnd"/>
      <w:r w:rsidRPr="003C5847">
        <w:rPr>
          <w:rFonts w:ascii="Arial" w:hAnsi="Arial" w:cs="Arial"/>
          <w:lang w:val="es-ES"/>
        </w:rPr>
        <w:t xml:space="preserve"> di medie </w:t>
      </w:r>
      <w:proofErr w:type="spellStart"/>
      <w:r w:rsidRPr="003C5847">
        <w:rPr>
          <w:rFonts w:ascii="Arial" w:hAnsi="Arial" w:cs="Arial"/>
          <w:lang w:val="es-ES"/>
        </w:rPr>
        <w:t>dimensioni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negli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ultimi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mesi</w:t>
      </w:r>
      <w:proofErr w:type="spellEnd"/>
      <w:r w:rsidRPr="003C5847">
        <w:rPr>
          <w:rFonts w:ascii="Arial" w:hAnsi="Arial" w:cs="Arial"/>
          <w:lang w:val="es-ES"/>
        </w:rPr>
        <w:t xml:space="preserve"> del 2021. </w:t>
      </w:r>
      <w:proofErr w:type="spellStart"/>
      <w:r w:rsidRPr="003C5847">
        <w:rPr>
          <w:rFonts w:ascii="Arial" w:hAnsi="Arial" w:cs="Arial"/>
          <w:lang w:val="es-ES"/>
        </w:rPr>
        <w:t>L’Azienda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sta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procedendo</w:t>
      </w:r>
      <w:proofErr w:type="spellEnd"/>
      <w:r w:rsidRPr="003C5847">
        <w:rPr>
          <w:rFonts w:ascii="Arial" w:hAnsi="Arial" w:cs="Arial"/>
          <w:lang w:val="es-ES"/>
        </w:rPr>
        <w:t xml:space="preserve"> con grande </w:t>
      </w:r>
      <w:proofErr w:type="spellStart"/>
      <w:r w:rsidRPr="003C5847">
        <w:rPr>
          <w:rFonts w:ascii="Arial" w:hAnsi="Arial" w:cs="Arial"/>
          <w:lang w:val="es-ES"/>
        </w:rPr>
        <w:t>ambizione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nell’ambito</w:t>
      </w:r>
      <w:proofErr w:type="spellEnd"/>
      <w:r w:rsidRPr="003C5847">
        <w:rPr>
          <w:rFonts w:ascii="Arial" w:hAnsi="Arial" w:cs="Arial"/>
          <w:lang w:val="es-ES"/>
        </w:rPr>
        <w:t xml:space="preserve"> del piano </w:t>
      </w:r>
      <w:proofErr w:type="spellStart"/>
      <w:r w:rsidRPr="003C5847">
        <w:rPr>
          <w:rFonts w:ascii="Arial" w:hAnsi="Arial" w:cs="Arial"/>
          <w:lang w:val="es-ES"/>
        </w:rPr>
        <w:t>strategico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hyperlink r:id="rId6" w:history="1">
        <w:proofErr w:type="spellStart"/>
        <w:r w:rsidRPr="003C5847">
          <w:rPr>
            <w:rFonts w:ascii="Arial" w:hAnsi="Arial" w:cs="Arial"/>
            <w:u w:val="single" w:color="0563C1"/>
            <w:lang w:val="es-ES"/>
          </w:rPr>
          <w:t>Dare</w:t>
        </w:r>
        <w:proofErr w:type="spellEnd"/>
        <w:r w:rsidRPr="003C5847">
          <w:rPr>
            <w:rFonts w:ascii="Arial" w:hAnsi="Arial" w:cs="Arial"/>
            <w:u w:val="single" w:color="0563C1"/>
            <w:lang w:val="es-ES"/>
          </w:rPr>
          <w:t xml:space="preserve"> Forward 2030</w:t>
        </w:r>
      </w:hyperlink>
      <w:r w:rsidRPr="003C5847">
        <w:rPr>
          <w:rFonts w:ascii="Arial" w:hAnsi="Arial" w:cs="Arial"/>
          <w:lang w:val="es-ES"/>
        </w:rPr>
        <w:t xml:space="preserve">, che comprende </w:t>
      </w:r>
      <w:proofErr w:type="spellStart"/>
      <w:r w:rsidRPr="003C5847">
        <w:rPr>
          <w:rFonts w:ascii="Arial" w:hAnsi="Arial" w:cs="Arial"/>
          <w:lang w:val="es-ES"/>
        </w:rPr>
        <w:t>l’ampliamento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dell’offerta</w:t>
      </w:r>
      <w:proofErr w:type="spellEnd"/>
      <w:r w:rsidRPr="003C5847">
        <w:rPr>
          <w:rFonts w:ascii="Arial" w:hAnsi="Arial" w:cs="Arial"/>
          <w:lang w:val="es-ES"/>
        </w:rPr>
        <w:t xml:space="preserve"> di </w:t>
      </w:r>
      <w:proofErr w:type="spellStart"/>
      <w:r w:rsidRPr="003C5847">
        <w:rPr>
          <w:rFonts w:ascii="Arial" w:hAnsi="Arial" w:cs="Arial"/>
          <w:lang w:val="es-ES"/>
        </w:rPr>
        <w:t>veicoli</w:t>
      </w:r>
      <w:proofErr w:type="spellEnd"/>
      <w:r w:rsidRPr="003C5847">
        <w:rPr>
          <w:rFonts w:ascii="Arial" w:hAnsi="Arial" w:cs="Arial"/>
          <w:lang w:val="es-ES"/>
        </w:rPr>
        <w:t xml:space="preserve"> a </w:t>
      </w:r>
      <w:proofErr w:type="spellStart"/>
      <w:r w:rsidRPr="003C5847">
        <w:rPr>
          <w:rFonts w:ascii="Arial" w:hAnsi="Arial" w:cs="Arial"/>
          <w:lang w:val="es-ES"/>
        </w:rPr>
        <w:t>idrogeno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ai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furgoni</w:t>
      </w:r>
      <w:proofErr w:type="spellEnd"/>
      <w:r w:rsidRPr="003C5847">
        <w:rPr>
          <w:rFonts w:ascii="Arial" w:hAnsi="Arial" w:cs="Arial"/>
          <w:lang w:val="es-ES"/>
        </w:rPr>
        <w:t xml:space="preserve"> di </w:t>
      </w:r>
      <w:proofErr w:type="spellStart"/>
      <w:r w:rsidRPr="003C5847">
        <w:rPr>
          <w:rFonts w:ascii="Arial" w:hAnsi="Arial" w:cs="Arial"/>
          <w:lang w:val="es-ES"/>
        </w:rPr>
        <w:t>grandi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dimensioni</w:t>
      </w:r>
      <w:proofErr w:type="spellEnd"/>
      <w:r w:rsidRPr="003C5847">
        <w:rPr>
          <w:rFonts w:ascii="Arial" w:hAnsi="Arial" w:cs="Arial"/>
          <w:lang w:val="es-ES"/>
        </w:rPr>
        <w:t xml:space="preserve"> a </w:t>
      </w:r>
      <w:proofErr w:type="spellStart"/>
      <w:r w:rsidRPr="003C5847">
        <w:rPr>
          <w:rFonts w:ascii="Arial" w:hAnsi="Arial" w:cs="Arial"/>
          <w:lang w:val="es-ES"/>
        </w:rPr>
        <w:t>partire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dal</w:t>
      </w:r>
      <w:proofErr w:type="spellEnd"/>
      <w:r w:rsidRPr="003C5847">
        <w:rPr>
          <w:rFonts w:ascii="Arial" w:hAnsi="Arial" w:cs="Arial"/>
          <w:lang w:val="es-ES"/>
        </w:rPr>
        <w:t xml:space="preserve"> 2024 in Europa e </w:t>
      </w:r>
      <w:proofErr w:type="spellStart"/>
      <w:r w:rsidRPr="003C5847">
        <w:rPr>
          <w:rFonts w:ascii="Arial" w:hAnsi="Arial" w:cs="Arial"/>
          <w:lang w:val="es-ES"/>
        </w:rPr>
        <w:t>dal</w:t>
      </w:r>
      <w:proofErr w:type="spellEnd"/>
      <w:r w:rsidRPr="003C5847">
        <w:rPr>
          <w:rFonts w:ascii="Arial" w:hAnsi="Arial" w:cs="Arial"/>
          <w:lang w:val="es-ES"/>
        </w:rPr>
        <w:t xml:space="preserve"> 2025 </w:t>
      </w:r>
      <w:proofErr w:type="spellStart"/>
      <w:r w:rsidRPr="003C5847">
        <w:rPr>
          <w:rFonts w:ascii="Arial" w:hAnsi="Arial" w:cs="Arial"/>
          <w:lang w:val="es-ES"/>
        </w:rPr>
        <w:t>negli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Stati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Uniti</w:t>
      </w:r>
      <w:proofErr w:type="spellEnd"/>
      <w:r w:rsidRPr="003C5847">
        <w:rPr>
          <w:rFonts w:ascii="Arial" w:hAnsi="Arial" w:cs="Arial"/>
          <w:lang w:val="es-ES"/>
        </w:rPr>
        <w:t xml:space="preserve">, </w:t>
      </w:r>
      <w:proofErr w:type="spellStart"/>
      <w:r w:rsidRPr="003C5847">
        <w:rPr>
          <w:rFonts w:ascii="Arial" w:hAnsi="Arial" w:cs="Arial"/>
          <w:lang w:val="es-ES"/>
        </w:rPr>
        <w:t>oltre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allo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studio</w:t>
      </w:r>
      <w:proofErr w:type="spellEnd"/>
      <w:r w:rsidRPr="003C5847">
        <w:rPr>
          <w:rFonts w:ascii="Arial" w:hAnsi="Arial" w:cs="Arial"/>
          <w:lang w:val="es-ES"/>
        </w:rPr>
        <w:t xml:space="preserve"> di </w:t>
      </w:r>
      <w:proofErr w:type="spellStart"/>
      <w:r w:rsidRPr="003C5847">
        <w:rPr>
          <w:rFonts w:ascii="Arial" w:hAnsi="Arial" w:cs="Arial"/>
          <w:lang w:val="es-ES"/>
        </w:rPr>
        <w:t>ulteriori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opportunità</w:t>
      </w:r>
      <w:proofErr w:type="spellEnd"/>
      <w:r w:rsidRPr="003C5847">
        <w:rPr>
          <w:rFonts w:ascii="Arial" w:hAnsi="Arial" w:cs="Arial"/>
          <w:lang w:val="es-ES"/>
        </w:rPr>
        <w:t xml:space="preserve"> nel </w:t>
      </w:r>
      <w:proofErr w:type="spellStart"/>
      <w:r w:rsidRPr="003C5847">
        <w:rPr>
          <w:rFonts w:ascii="Arial" w:hAnsi="Arial" w:cs="Arial"/>
          <w:lang w:val="es-ES"/>
        </w:rPr>
        <w:t>settore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dei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veicoli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pesanti</w:t>
      </w:r>
      <w:proofErr w:type="spellEnd"/>
      <w:r w:rsidRPr="003C5847">
        <w:rPr>
          <w:rFonts w:ascii="Arial" w:hAnsi="Arial" w:cs="Arial"/>
          <w:lang w:val="es-ES"/>
        </w:rPr>
        <w:t>.</w:t>
      </w:r>
    </w:p>
    <w:p w14:paraId="68A5AF37" w14:textId="77777777" w:rsidR="00E53A26" w:rsidRPr="003C5847" w:rsidRDefault="00E53A26" w:rsidP="00E53A26">
      <w:pPr>
        <w:shd w:val="clear" w:color="auto" w:fill="FFFFFF"/>
        <w:spacing w:after="240" w:line="240" w:lineRule="auto"/>
        <w:jc w:val="both"/>
        <w:rPr>
          <w:rFonts w:ascii="Arial" w:hAnsi="Arial" w:cs="Arial"/>
          <w:lang w:val="es-ES"/>
        </w:rPr>
      </w:pPr>
      <w:r w:rsidRPr="003C5847">
        <w:rPr>
          <w:rFonts w:ascii="Arial" w:hAnsi="Arial" w:cs="Arial"/>
          <w:lang w:val="es-ES"/>
        </w:rPr>
        <w:t xml:space="preserve">“Con </w:t>
      </w:r>
      <w:proofErr w:type="spellStart"/>
      <w:r w:rsidRPr="003C5847">
        <w:rPr>
          <w:rFonts w:ascii="Arial" w:hAnsi="Arial" w:cs="Arial"/>
          <w:lang w:val="es-ES"/>
        </w:rPr>
        <w:t>l’intenzione</w:t>
      </w:r>
      <w:proofErr w:type="spellEnd"/>
      <w:r w:rsidRPr="003C5847">
        <w:rPr>
          <w:rFonts w:ascii="Arial" w:hAnsi="Arial" w:cs="Arial"/>
          <w:lang w:val="es-ES"/>
        </w:rPr>
        <w:t xml:space="preserve"> di </w:t>
      </w:r>
      <w:proofErr w:type="spellStart"/>
      <w:r w:rsidRPr="003C5847">
        <w:rPr>
          <w:rFonts w:ascii="Arial" w:hAnsi="Arial" w:cs="Arial"/>
          <w:lang w:val="es-ES"/>
        </w:rPr>
        <w:t>acquisire</w:t>
      </w:r>
      <w:proofErr w:type="spellEnd"/>
      <w:r w:rsidRPr="003C5847">
        <w:rPr>
          <w:rFonts w:ascii="Arial" w:hAnsi="Arial" w:cs="Arial"/>
          <w:lang w:val="es-ES"/>
        </w:rPr>
        <w:t xml:space="preserve"> una </w:t>
      </w:r>
      <w:proofErr w:type="spellStart"/>
      <w:r w:rsidRPr="003C5847">
        <w:rPr>
          <w:rFonts w:ascii="Arial" w:hAnsi="Arial" w:cs="Arial"/>
          <w:lang w:val="es-ES"/>
        </w:rPr>
        <w:t>quota</w:t>
      </w:r>
      <w:proofErr w:type="spellEnd"/>
      <w:r w:rsidRPr="003C5847">
        <w:rPr>
          <w:rFonts w:ascii="Arial" w:hAnsi="Arial" w:cs="Arial"/>
          <w:lang w:val="es-ES"/>
        </w:rPr>
        <w:t xml:space="preserve"> di </w:t>
      </w:r>
      <w:proofErr w:type="spellStart"/>
      <w:r w:rsidRPr="003C5847">
        <w:rPr>
          <w:rFonts w:ascii="Arial" w:hAnsi="Arial" w:cs="Arial"/>
          <w:lang w:val="es-ES"/>
        </w:rPr>
        <w:t>partecipazione</w:t>
      </w:r>
      <w:proofErr w:type="spellEnd"/>
      <w:r w:rsidRPr="003C5847">
        <w:rPr>
          <w:rFonts w:ascii="Arial" w:hAnsi="Arial" w:cs="Arial"/>
          <w:lang w:val="es-ES"/>
        </w:rPr>
        <w:t xml:space="preserve"> in </w:t>
      </w:r>
      <w:proofErr w:type="spellStart"/>
      <w:r w:rsidRPr="003C5847">
        <w:rPr>
          <w:rFonts w:ascii="Arial" w:hAnsi="Arial" w:cs="Arial"/>
          <w:lang w:val="es-ES"/>
        </w:rPr>
        <w:t>Symbio</w:t>
      </w:r>
      <w:proofErr w:type="spellEnd"/>
      <w:r w:rsidRPr="003C5847">
        <w:rPr>
          <w:rFonts w:ascii="Arial" w:hAnsi="Arial" w:cs="Arial"/>
          <w:lang w:val="es-ES"/>
        </w:rPr>
        <w:t xml:space="preserve">, Stellantis </w:t>
      </w:r>
      <w:proofErr w:type="spellStart"/>
      <w:r w:rsidRPr="003C5847">
        <w:rPr>
          <w:rFonts w:ascii="Arial" w:hAnsi="Arial" w:cs="Arial"/>
          <w:lang w:val="es-ES"/>
        </w:rPr>
        <w:t>conferma</w:t>
      </w:r>
      <w:proofErr w:type="spellEnd"/>
      <w:r w:rsidRPr="003C5847">
        <w:rPr>
          <w:rFonts w:ascii="Arial" w:hAnsi="Arial" w:cs="Arial"/>
          <w:lang w:val="es-ES"/>
        </w:rPr>
        <w:t xml:space="preserve"> la </w:t>
      </w:r>
      <w:proofErr w:type="spellStart"/>
      <w:r w:rsidRPr="003C5847">
        <w:rPr>
          <w:rFonts w:ascii="Arial" w:hAnsi="Arial" w:cs="Arial"/>
          <w:lang w:val="es-ES"/>
        </w:rPr>
        <w:t>validità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dell’approccio</w:t>
      </w:r>
      <w:proofErr w:type="spellEnd"/>
      <w:r w:rsidRPr="003C5847">
        <w:rPr>
          <w:rFonts w:ascii="Arial" w:hAnsi="Arial" w:cs="Arial"/>
          <w:lang w:val="es-ES"/>
        </w:rPr>
        <w:t xml:space="preserve"> di Michelin e Faurecia per la </w:t>
      </w:r>
      <w:proofErr w:type="spellStart"/>
      <w:r w:rsidRPr="003C5847">
        <w:rPr>
          <w:rFonts w:ascii="Arial" w:hAnsi="Arial" w:cs="Arial"/>
          <w:lang w:val="es-ES"/>
        </w:rPr>
        <w:t>creazione</w:t>
      </w:r>
      <w:proofErr w:type="spellEnd"/>
      <w:r w:rsidRPr="003C5847">
        <w:rPr>
          <w:rFonts w:ascii="Arial" w:hAnsi="Arial" w:cs="Arial"/>
          <w:lang w:val="es-ES"/>
        </w:rPr>
        <w:t xml:space="preserve"> di un leader </w:t>
      </w:r>
      <w:proofErr w:type="spellStart"/>
      <w:r w:rsidRPr="003C5847">
        <w:rPr>
          <w:rFonts w:ascii="Arial" w:hAnsi="Arial" w:cs="Arial"/>
          <w:lang w:val="es-ES"/>
        </w:rPr>
        <w:t>globale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nella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mobilità</w:t>
      </w:r>
      <w:proofErr w:type="spellEnd"/>
      <w:r w:rsidRPr="003C5847">
        <w:rPr>
          <w:rFonts w:ascii="Arial" w:hAnsi="Arial" w:cs="Arial"/>
          <w:lang w:val="es-ES"/>
        </w:rPr>
        <w:t xml:space="preserve"> a </w:t>
      </w:r>
      <w:proofErr w:type="spellStart"/>
      <w:r w:rsidRPr="003C5847">
        <w:rPr>
          <w:rFonts w:ascii="Arial" w:hAnsi="Arial" w:cs="Arial"/>
          <w:lang w:val="es-ES"/>
        </w:rPr>
        <w:t>zero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emissioni</w:t>
      </w:r>
      <w:proofErr w:type="spellEnd"/>
      <w:r w:rsidRPr="003C5847">
        <w:rPr>
          <w:rFonts w:ascii="Arial" w:hAnsi="Arial" w:cs="Arial"/>
          <w:lang w:val="es-ES"/>
        </w:rPr>
        <w:t xml:space="preserve">. La </w:t>
      </w:r>
      <w:proofErr w:type="spellStart"/>
      <w:r w:rsidRPr="003C5847">
        <w:rPr>
          <w:rFonts w:ascii="Arial" w:hAnsi="Arial" w:cs="Arial"/>
          <w:lang w:val="es-ES"/>
        </w:rPr>
        <w:t>nuova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struttura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porterà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all’accelerazione</w:t>
      </w:r>
      <w:proofErr w:type="spellEnd"/>
      <w:r w:rsidRPr="003C5847">
        <w:rPr>
          <w:rFonts w:ascii="Arial" w:hAnsi="Arial" w:cs="Arial"/>
          <w:lang w:val="es-ES"/>
        </w:rPr>
        <w:t xml:space="preserve"> e </w:t>
      </w:r>
      <w:proofErr w:type="spellStart"/>
      <w:r w:rsidRPr="003C5847">
        <w:rPr>
          <w:rFonts w:ascii="Arial" w:hAnsi="Arial" w:cs="Arial"/>
          <w:lang w:val="es-ES"/>
        </w:rPr>
        <w:t>alla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globalizzazione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della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crescita</w:t>
      </w:r>
      <w:proofErr w:type="spellEnd"/>
      <w:r w:rsidRPr="003C5847">
        <w:rPr>
          <w:rFonts w:ascii="Arial" w:hAnsi="Arial" w:cs="Arial"/>
          <w:lang w:val="es-ES"/>
        </w:rPr>
        <w:t xml:space="preserve"> di </w:t>
      </w:r>
      <w:proofErr w:type="spellStart"/>
      <w:r w:rsidRPr="003C5847">
        <w:rPr>
          <w:rFonts w:ascii="Arial" w:hAnsi="Arial" w:cs="Arial"/>
          <w:lang w:val="es-ES"/>
        </w:rPr>
        <w:t>Symbio</w:t>
      </w:r>
      <w:proofErr w:type="spellEnd"/>
      <w:r w:rsidRPr="003C5847">
        <w:rPr>
          <w:rFonts w:ascii="Arial" w:hAnsi="Arial" w:cs="Arial"/>
          <w:lang w:val="es-ES"/>
        </w:rPr>
        <w:t xml:space="preserve"> a </w:t>
      </w:r>
      <w:proofErr w:type="spellStart"/>
      <w:r w:rsidRPr="003C5847">
        <w:rPr>
          <w:rFonts w:ascii="Arial" w:hAnsi="Arial" w:cs="Arial"/>
          <w:lang w:val="es-ES"/>
        </w:rPr>
        <w:t>vantaggio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dei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clienti</w:t>
      </w:r>
      <w:proofErr w:type="spellEnd"/>
      <w:r w:rsidRPr="003C5847">
        <w:rPr>
          <w:rFonts w:ascii="Arial" w:hAnsi="Arial" w:cs="Arial"/>
          <w:lang w:val="es-ES"/>
        </w:rPr>
        <w:t xml:space="preserve">” ha </w:t>
      </w:r>
      <w:proofErr w:type="spellStart"/>
      <w:r w:rsidRPr="003C5847">
        <w:rPr>
          <w:rFonts w:ascii="Arial" w:hAnsi="Arial" w:cs="Arial"/>
          <w:lang w:val="es-ES"/>
        </w:rPr>
        <w:t>affermato</w:t>
      </w:r>
      <w:proofErr w:type="spellEnd"/>
      <w:r w:rsidRPr="003C5847">
        <w:rPr>
          <w:rFonts w:ascii="Arial" w:hAnsi="Arial" w:cs="Arial"/>
          <w:lang w:val="es-ES"/>
        </w:rPr>
        <w:t xml:space="preserve"> Patrick </w:t>
      </w:r>
      <w:proofErr w:type="spellStart"/>
      <w:r w:rsidRPr="003C5847">
        <w:rPr>
          <w:rFonts w:ascii="Arial" w:hAnsi="Arial" w:cs="Arial"/>
          <w:lang w:val="es-ES"/>
        </w:rPr>
        <w:t>Koller</w:t>
      </w:r>
      <w:proofErr w:type="spellEnd"/>
      <w:r w:rsidRPr="003C5847">
        <w:rPr>
          <w:rFonts w:ascii="Arial" w:hAnsi="Arial" w:cs="Arial"/>
          <w:lang w:val="es-ES"/>
        </w:rPr>
        <w:t>, CEO di Faurecia.</w:t>
      </w:r>
    </w:p>
    <w:p w14:paraId="373FCE43" w14:textId="77777777" w:rsidR="00E53A26" w:rsidRPr="003C5847" w:rsidRDefault="00E53A26" w:rsidP="00E53A26">
      <w:pPr>
        <w:spacing w:after="160"/>
        <w:jc w:val="both"/>
        <w:rPr>
          <w:rFonts w:ascii="Arial" w:hAnsi="Arial" w:cs="Arial"/>
          <w:lang w:val="es-ES"/>
        </w:rPr>
      </w:pPr>
      <w:proofErr w:type="spellStart"/>
      <w:r w:rsidRPr="003C5847">
        <w:rPr>
          <w:rFonts w:ascii="Arial" w:hAnsi="Arial" w:cs="Arial"/>
          <w:lang w:val="es-ES"/>
        </w:rPr>
        <w:t>Florent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Menegaux</w:t>
      </w:r>
      <w:proofErr w:type="spellEnd"/>
      <w:r w:rsidRPr="003C5847">
        <w:rPr>
          <w:rFonts w:ascii="Arial" w:hAnsi="Arial" w:cs="Arial"/>
          <w:lang w:val="es-ES"/>
        </w:rPr>
        <w:t xml:space="preserve">, CEO di Michelin ha </w:t>
      </w:r>
      <w:proofErr w:type="spellStart"/>
      <w:r w:rsidRPr="003C5847">
        <w:rPr>
          <w:rFonts w:ascii="Arial" w:hAnsi="Arial" w:cs="Arial"/>
          <w:lang w:val="es-ES"/>
        </w:rPr>
        <w:t>dichiarato</w:t>
      </w:r>
      <w:proofErr w:type="spellEnd"/>
      <w:r w:rsidRPr="003C5847">
        <w:rPr>
          <w:rFonts w:ascii="Arial" w:hAnsi="Arial" w:cs="Arial"/>
          <w:lang w:val="es-ES"/>
        </w:rPr>
        <w:t xml:space="preserve">: “Michelin è </w:t>
      </w:r>
      <w:proofErr w:type="spellStart"/>
      <w:r w:rsidRPr="003C5847">
        <w:rPr>
          <w:rFonts w:ascii="Arial" w:hAnsi="Arial" w:cs="Arial"/>
          <w:lang w:val="es-ES"/>
        </w:rPr>
        <w:t>convinta</w:t>
      </w:r>
      <w:proofErr w:type="spellEnd"/>
      <w:r w:rsidRPr="003C5847">
        <w:rPr>
          <w:rFonts w:ascii="Arial" w:hAnsi="Arial" w:cs="Arial"/>
          <w:lang w:val="es-ES"/>
        </w:rPr>
        <w:t xml:space="preserve"> che la </w:t>
      </w:r>
      <w:proofErr w:type="spellStart"/>
      <w:r w:rsidRPr="003C5847">
        <w:rPr>
          <w:rFonts w:ascii="Arial" w:hAnsi="Arial" w:cs="Arial"/>
          <w:lang w:val="es-ES"/>
        </w:rPr>
        <w:t>tecnologia</w:t>
      </w:r>
      <w:proofErr w:type="spellEnd"/>
      <w:r w:rsidRPr="003C5847">
        <w:rPr>
          <w:rFonts w:ascii="Arial" w:hAnsi="Arial" w:cs="Arial"/>
          <w:lang w:val="es-ES"/>
        </w:rPr>
        <w:t xml:space="preserve"> a </w:t>
      </w:r>
      <w:proofErr w:type="spellStart"/>
      <w:r w:rsidRPr="003C5847">
        <w:rPr>
          <w:rFonts w:ascii="Arial" w:hAnsi="Arial" w:cs="Arial"/>
          <w:lang w:val="es-ES"/>
        </w:rPr>
        <w:t>celle</w:t>
      </w:r>
      <w:proofErr w:type="spellEnd"/>
      <w:r w:rsidRPr="003C5847">
        <w:rPr>
          <w:rFonts w:ascii="Arial" w:hAnsi="Arial" w:cs="Arial"/>
          <w:lang w:val="es-ES"/>
        </w:rPr>
        <w:t xml:space="preserve"> a </w:t>
      </w:r>
      <w:proofErr w:type="spellStart"/>
      <w:r w:rsidRPr="003C5847">
        <w:rPr>
          <w:rFonts w:ascii="Arial" w:hAnsi="Arial" w:cs="Arial"/>
          <w:lang w:val="es-ES"/>
        </w:rPr>
        <w:t>combustibile</w:t>
      </w:r>
      <w:proofErr w:type="spellEnd"/>
      <w:r w:rsidRPr="003C5847">
        <w:rPr>
          <w:rFonts w:ascii="Arial" w:hAnsi="Arial" w:cs="Arial"/>
          <w:lang w:val="es-ES"/>
        </w:rPr>
        <w:t xml:space="preserve"> a </w:t>
      </w:r>
      <w:proofErr w:type="spellStart"/>
      <w:r w:rsidRPr="003C5847">
        <w:rPr>
          <w:rFonts w:ascii="Arial" w:hAnsi="Arial" w:cs="Arial"/>
          <w:lang w:val="es-ES"/>
        </w:rPr>
        <w:t>idrogeno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contribuirà</w:t>
      </w:r>
      <w:proofErr w:type="spellEnd"/>
      <w:r w:rsidRPr="003C5847">
        <w:rPr>
          <w:rFonts w:ascii="Arial" w:hAnsi="Arial" w:cs="Arial"/>
          <w:lang w:val="es-ES"/>
        </w:rPr>
        <w:t xml:space="preserve"> in modo </w:t>
      </w:r>
      <w:proofErr w:type="spellStart"/>
      <w:r w:rsidRPr="003C5847">
        <w:rPr>
          <w:rFonts w:ascii="Arial" w:hAnsi="Arial" w:cs="Arial"/>
          <w:lang w:val="es-ES"/>
        </w:rPr>
        <w:t>sostanziale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alla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decarbonizzazione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della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mobilità</w:t>
      </w:r>
      <w:proofErr w:type="spellEnd"/>
      <w:r w:rsidRPr="003C5847">
        <w:rPr>
          <w:rFonts w:ascii="Arial" w:hAnsi="Arial" w:cs="Arial"/>
          <w:lang w:val="es-ES"/>
        </w:rPr>
        <w:t xml:space="preserve"> e anche </w:t>
      </w:r>
      <w:proofErr w:type="spellStart"/>
      <w:r w:rsidRPr="003C5847">
        <w:rPr>
          <w:rFonts w:ascii="Arial" w:hAnsi="Arial" w:cs="Arial"/>
          <w:lang w:val="es-ES"/>
        </w:rPr>
        <w:t>oltre</w:t>
      </w:r>
      <w:proofErr w:type="spellEnd"/>
      <w:r w:rsidRPr="003C5847">
        <w:rPr>
          <w:rFonts w:ascii="Arial" w:hAnsi="Arial" w:cs="Arial"/>
          <w:lang w:val="es-ES"/>
        </w:rPr>
        <w:t xml:space="preserve">. </w:t>
      </w:r>
      <w:proofErr w:type="spellStart"/>
      <w:r w:rsidRPr="003C5847">
        <w:rPr>
          <w:rFonts w:ascii="Arial" w:hAnsi="Arial" w:cs="Arial"/>
          <w:lang w:val="es-ES"/>
        </w:rPr>
        <w:t>Questo</w:t>
      </w:r>
      <w:proofErr w:type="spellEnd"/>
      <w:r w:rsidRPr="003C5847">
        <w:rPr>
          <w:rFonts w:ascii="Arial" w:hAnsi="Arial" w:cs="Arial"/>
          <w:lang w:val="es-ES"/>
        </w:rPr>
        <w:t xml:space="preserve"> è </w:t>
      </w:r>
      <w:proofErr w:type="spellStart"/>
      <w:r w:rsidRPr="003C5847">
        <w:rPr>
          <w:rFonts w:ascii="Arial" w:hAnsi="Arial" w:cs="Arial"/>
          <w:lang w:val="es-ES"/>
        </w:rPr>
        <w:t>ciò</w:t>
      </w:r>
      <w:proofErr w:type="spellEnd"/>
      <w:r w:rsidRPr="003C5847">
        <w:rPr>
          <w:rFonts w:ascii="Arial" w:hAnsi="Arial" w:cs="Arial"/>
          <w:lang w:val="es-ES"/>
        </w:rPr>
        <w:t xml:space="preserve"> che </w:t>
      </w:r>
      <w:proofErr w:type="spellStart"/>
      <w:r w:rsidRPr="003C5847">
        <w:rPr>
          <w:rFonts w:ascii="Arial" w:hAnsi="Arial" w:cs="Arial"/>
          <w:lang w:val="es-ES"/>
        </w:rPr>
        <w:t>spinge</w:t>
      </w:r>
      <w:proofErr w:type="spellEnd"/>
      <w:r w:rsidRPr="003C5847">
        <w:rPr>
          <w:rFonts w:ascii="Arial" w:hAnsi="Arial" w:cs="Arial"/>
          <w:lang w:val="es-ES"/>
        </w:rPr>
        <w:t xml:space="preserve"> Michelin a operare in </w:t>
      </w:r>
      <w:proofErr w:type="spellStart"/>
      <w:r w:rsidRPr="003C5847">
        <w:rPr>
          <w:rFonts w:ascii="Arial" w:hAnsi="Arial" w:cs="Arial"/>
          <w:lang w:val="es-ES"/>
        </w:rPr>
        <w:t>questo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ambito</w:t>
      </w:r>
      <w:proofErr w:type="spellEnd"/>
      <w:r w:rsidRPr="003C5847">
        <w:rPr>
          <w:rFonts w:ascii="Arial" w:hAnsi="Arial" w:cs="Arial"/>
          <w:lang w:val="es-ES"/>
        </w:rPr>
        <w:t xml:space="preserve"> con </w:t>
      </w:r>
      <w:proofErr w:type="spellStart"/>
      <w:r w:rsidRPr="003C5847">
        <w:rPr>
          <w:rFonts w:ascii="Arial" w:hAnsi="Arial" w:cs="Arial"/>
          <w:lang w:val="es-ES"/>
        </w:rPr>
        <w:t>spirito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pionieristico</w:t>
      </w:r>
      <w:proofErr w:type="spellEnd"/>
      <w:r w:rsidRPr="003C5847">
        <w:rPr>
          <w:rFonts w:ascii="Arial" w:hAnsi="Arial" w:cs="Arial"/>
          <w:lang w:val="es-ES"/>
        </w:rPr>
        <w:t xml:space="preserve"> da </w:t>
      </w:r>
      <w:proofErr w:type="spellStart"/>
      <w:r w:rsidRPr="003C5847">
        <w:rPr>
          <w:rFonts w:ascii="Arial" w:hAnsi="Arial" w:cs="Arial"/>
          <w:lang w:val="es-ES"/>
        </w:rPr>
        <w:t>oltre</w:t>
      </w:r>
      <w:proofErr w:type="spellEnd"/>
      <w:r w:rsidRPr="003C5847">
        <w:rPr>
          <w:rFonts w:ascii="Arial" w:hAnsi="Arial" w:cs="Arial"/>
          <w:lang w:val="es-ES"/>
        </w:rPr>
        <w:t xml:space="preserve"> 20 </w:t>
      </w:r>
      <w:proofErr w:type="spellStart"/>
      <w:r w:rsidRPr="003C5847">
        <w:rPr>
          <w:rFonts w:ascii="Arial" w:hAnsi="Arial" w:cs="Arial"/>
          <w:lang w:val="es-ES"/>
        </w:rPr>
        <w:t>anni</w:t>
      </w:r>
      <w:proofErr w:type="spellEnd"/>
      <w:r w:rsidRPr="003C5847">
        <w:rPr>
          <w:rFonts w:ascii="Arial" w:hAnsi="Arial" w:cs="Arial"/>
          <w:lang w:val="es-ES"/>
        </w:rPr>
        <w:t xml:space="preserve">. </w:t>
      </w:r>
      <w:proofErr w:type="spellStart"/>
      <w:r w:rsidRPr="003C5847">
        <w:rPr>
          <w:rFonts w:ascii="Arial" w:hAnsi="Arial" w:cs="Arial"/>
          <w:lang w:val="es-ES"/>
        </w:rPr>
        <w:t>L’ingresso</w:t>
      </w:r>
      <w:proofErr w:type="spellEnd"/>
      <w:r w:rsidRPr="003C5847">
        <w:rPr>
          <w:rFonts w:ascii="Arial" w:hAnsi="Arial" w:cs="Arial"/>
          <w:lang w:val="es-ES"/>
        </w:rPr>
        <w:t xml:space="preserve"> di Stellantis nel </w:t>
      </w:r>
      <w:proofErr w:type="spellStart"/>
      <w:r w:rsidRPr="003C5847">
        <w:rPr>
          <w:rFonts w:ascii="Arial" w:hAnsi="Arial" w:cs="Arial"/>
          <w:lang w:val="es-ES"/>
        </w:rPr>
        <w:t>capitale</w:t>
      </w:r>
      <w:proofErr w:type="spellEnd"/>
      <w:r w:rsidRPr="003C5847">
        <w:rPr>
          <w:rFonts w:ascii="Arial" w:hAnsi="Arial" w:cs="Arial"/>
          <w:lang w:val="es-ES"/>
        </w:rPr>
        <w:t xml:space="preserve"> di </w:t>
      </w:r>
      <w:proofErr w:type="spellStart"/>
      <w:r w:rsidRPr="003C5847">
        <w:rPr>
          <w:rFonts w:ascii="Arial" w:hAnsi="Arial" w:cs="Arial"/>
          <w:lang w:val="es-ES"/>
        </w:rPr>
        <w:t>Symbio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rafforzerebbe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questa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convinzione</w:t>
      </w:r>
      <w:proofErr w:type="spellEnd"/>
      <w:r w:rsidRPr="003C5847">
        <w:rPr>
          <w:rFonts w:ascii="Arial" w:hAnsi="Arial" w:cs="Arial"/>
          <w:lang w:val="es-ES"/>
        </w:rPr>
        <w:t xml:space="preserve"> e </w:t>
      </w:r>
      <w:proofErr w:type="spellStart"/>
      <w:r w:rsidRPr="003C5847">
        <w:rPr>
          <w:rFonts w:ascii="Arial" w:hAnsi="Arial" w:cs="Arial"/>
          <w:lang w:val="es-ES"/>
        </w:rPr>
        <w:t>fungerebbe</w:t>
      </w:r>
      <w:proofErr w:type="spellEnd"/>
      <w:r w:rsidRPr="003C5847">
        <w:rPr>
          <w:rFonts w:ascii="Arial" w:hAnsi="Arial" w:cs="Arial"/>
          <w:lang w:val="es-ES"/>
        </w:rPr>
        <w:t xml:space="preserve"> da </w:t>
      </w:r>
      <w:proofErr w:type="spellStart"/>
      <w:r w:rsidRPr="003C5847">
        <w:rPr>
          <w:rFonts w:ascii="Arial" w:hAnsi="Arial" w:cs="Arial"/>
          <w:lang w:val="es-ES"/>
        </w:rPr>
        <w:t>catalizzatore</w:t>
      </w:r>
      <w:proofErr w:type="spellEnd"/>
      <w:r w:rsidRPr="003C5847">
        <w:rPr>
          <w:rFonts w:ascii="Arial" w:hAnsi="Arial" w:cs="Arial"/>
          <w:lang w:val="es-ES"/>
        </w:rPr>
        <w:t xml:space="preserve"> per </w:t>
      </w:r>
      <w:proofErr w:type="spellStart"/>
      <w:r w:rsidRPr="003C5847">
        <w:rPr>
          <w:rFonts w:ascii="Arial" w:hAnsi="Arial" w:cs="Arial"/>
          <w:lang w:val="es-ES"/>
        </w:rPr>
        <w:t>l’enorme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slancio</w:t>
      </w:r>
      <w:proofErr w:type="spellEnd"/>
      <w:r w:rsidRPr="003C5847">
        <w:rPr>
          <w:rFonts w:ascii="Arial" w:hAnsi="Arial" w:cs="Arial"/>
          <w:lang w:val="es-ES"/>
        </w:rPr>
        <w:t xml:space="preserve"> del </w:t>
      </w:r>
      <w:proofErr w:type="spellStart"/>
      <w:r w:rsidRPr="003C5847">
        <w:rPr>
          <w:rFonts w:ascii="Arial" w:hAnsi="Arial" w:cs="Arial"/>
          <w:lang w:val="es-ES"/>
        </w:rPr>
        <w:t>settore</w:t>
      </w:r>
      <w:proofErr w:type="spellEnd"/>
      <w:r w:rsidRPr="003C5847">
        <w:rPr>
          <w:rFonts w:ascii="Arial" w:hAnsi="Arial" w:cs="Arial"/>
          <w:lang w:val="es-ES"/>
        </w:rPr>
        <w:t xml:space="preserve"> che </w:t>
      </w:r>
      <w:proofErr w:type="spellStart"/>
      <w:r w:rsidRPr="003C5847">
        <w:rPr>
          <w:rFonts w:ascii="Arial" w:hAnsi="Arial" w:cs="Arial"/>
          <w:lang w:val="es-ES"/>
        </w:rPr>
        <w:t>abbiamo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creato</w:t>
      </w:r>
      <w:proofErr w:type="spellEnd"/>
      <w:r w:rsidRPr="003C5847">
        <w:rPr>
          <w:rFonts w:ascii="Arial" w:hAnsi="Arial" w:cs="Arial"/>
          <w:lang w:val="es-ES"/>
        </w:rPr>
        <w:t xml:space="preserve"> con Faurecia.”</w:t>
      </w:r>
    </w:p>
    <w:p w14:paraId="04B65C0B" w14:textId="4E36D62A" w:rsidR="00E53A26" w:rsidRPr="003C5847" w:rsidRDefault="00E53A26" w:rsidP="00E53A26">
      <w:pPr>
        <w:spacing w:after="160"/>
        <w:jc w:val="both"/>
        <w:rPr>
          <w:rFonts w:ascii="Arial" w:hAnsi="Arial" w:cs="Arial"/>
          <w:lang w:val="es-ES"/>
        </w:rPr>
      </w:pPr>
      <w:proofErr w:type="spellStart"/>
      <w:r w:rsidRPr="003C5847">
        <w:rPr>
          <w:rFonts w:ascii="Arial" w:hAnsi="Arial" w:cs="Arial"/>
          <w:lang w:val="es-ES"/>
        </w:rPr>
        <w:t>Nell’ottobre</w:t>
      </w:r>
      <w:proofErr w:type="spellEnd"/>
      <w:r w:rsidRPr="003C5847">
        <w:rPr>
          <w:rFonts w:ascii="Arial" w:hAnsi="Arial" w:cs="Arial"/>
          <w:lang w:val="es-ES"/>
        </w:rPr>
        <w:t xml:space="preserve"> 2022 </w:t>
      </w:r>
      <w:proofErr w:type="spellStart"/>
      <w:r w:rsidRPr="003C5847">
        <w:rPr>
          <w:rFonts w:ascii="Arial" w:hAnsi="Arial" w:cs="Arial"/>
          <w:lang w:val="es-ES"/>
        </w:rPr>
        <w:t>Symbio</w:t>
      </w:r>
      <w:proofErr w:type="spellEnd"/>
      <w:r w:rsidRPr="003C5847">
        <w:rPr>
          <w:rFonts w:ascii="Arial" w:hAnsi="Arial" w:cs="Arial"/>
          <w:lang w:val="es-ES"/>
        </w:rPr>
        <w:t xml:space="preserve"> ha </w:t>
      </w:r>
      <w:proofErr w:type="spellStart"/>
      <w:r w:rsidRPr="003C5847">
        <w:rPr>
          <w:rFonts w:ascii="Arial" w:hAnsi="Arial" w:cs="Arial"/>
          <w:lang w:val="es-ES"/>
        </w:rPr>
        <w:t>presentato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il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progetto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HyMotive</w:t>
      </w:r>
      <w:proofErr w:type="spellEnd"/>
      <w:r w:rsidRPr="003C5847">
        <w:rPr>
          <w:rFonts w:ascii="Arial" w:hAnsi="Arial" w:cs="Arial"/>
          <w:lang w:val="es-ES"/>
        </w:rPr>
        <w:t xml:space="preserve">, </w:t>
      </w:r>
      <w:proofErr w:type="spellStart"/>
      <w:r w:rsidRPr="003C5847">
        <w:rPr>
          <w:rFonts w:ascii="Arial" w:hAnsi="Arial" w:cs="Arial"/>
          <w:lang w:val="es-ES"/>
        </w:rPr>
        <w:t>volto</w:t>
      </w:r>
      <w:proofErr w:type="spellEnd"/>
      <w:r w:rsidRPr="003C5847">
        <w:rPr>
          <w:rFonts w:ascii="Arial" w:hAnsi="Arial" w:cs="Arial"/>
          <w:lang w:val="es-ES"/>
        </w:rPr>
        <w:t xml:space="preserve"> a </w:t>
      </w:r>
      <w:proofErr w:type="spellStart"/>
      <w:r w:rsidRPr="003C5847">
        <w:rPr>
          <w:rFonts w:ascii="Arial" w:hAnsi="Arial" w:cs="Arial"/>
          <w:lang w:val="es-ES"/>
        </w:rPr>
        <w:t>dare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slancio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alla</w:t>
      </w:r>
      <w:proofErr w:type="spellEnd"/>
      <w:r w:rsidRPr="003C5847">
        <w:rPr>
          <w:rFonts w:ascii="Arial" w:hAnsi="Arial" w:cs="Arial"/>
          <w:lang w:val="es-ES"/>
        </w:rPr>
        <w:t xml:space="preserve"> propria </w:t>
      </w:r>
      <w:proofErr w:type="spellStart"/>
      <w:r w:rsidRPr="003C5847">
        <w:rPr>
          <w:rFonts w:ascii="Arial" w:hAnsi="Arial" w:cs="Arial"/>
          <w:lang w:val="es-ES"/>
        </w:rPr>
        <w:t>industrializzazione</w:t>
      </w:r>
      <w:proofErr w:type="spellEnd"/>
      <w:r w:rsidRPr="003C5847">
        <w:rPr>
          <w:rFonts w:ascii="Arial" w:hAnsi="Arial" w:cs="Arial"/>
          <w:lang w:val="es-ES"/>
        </w:rPr>
        <w:t xml:space="preserve"> e </w:t>
      </w:r>
      <w:proofErr w:type="spellStart"/>
      <w:r w:rsidRPr="003C5847">
        <w:rPr>
          <w:rFonts w:ascii="Arial" w:hAnsi="Arial" w:cs="Arial"/>
          <w:lang w:val="es-ES"/>
        </w:rPr>
        <w:t>all’innovazione</w:t>
      </w:r>
      <w:proofErr w:type="spellEnd"/>
      <w:r w:rsidRPr="003C5847">
        <w:rPr>
          <w:rFonts w:ascii="Arial" w:hAnsi="Arial" w:cs="Arial"/>
          <w:lang w:val="es-ES"/>
        </w:rPr>
        <w:t xml:space="preserve"> in modo </w:t>
      </w:r>
      <w:proofErr w:type="spellStart"/>
      <w:r w:rsidRPr="003C5847">
        <w:rPr>
          <w:rFonts w:ascii="Arial" w:hAnsi="Arial" w:cs="Arial"/>
          <w:lang w:val="es-ES"/>
        </w:rPr>
        <w:t>dirompente</w:t>
      </w:r>
      <w:proofErr w:type="spellEnd"/>
      <w:r w:rsidRPr="003C5847">
        <w:rPr>
          <w:rFonts w:ascii="Arial" w:hAnsi="Arial" w:cs="Arial"/>
          <w:lang w:val="es-ES"/>
        </w:rPr>
        <w:t xml:space="preserve">, </w:t>
      </w:r>
      <w:proofErr w:type="spellStart"/>
      <w:r w:rsidRPr="003C5847">
        <w:rPr>
          <w:rFonts w:ascii="Arial" w:hAnsi="Arial" w:cs="Arial"/>
          <w:lang w:val="es-ES"/>
        </w:rPr>
        <w:t>consentendo</w:t>
      </w:r>
      <w:proofErr w:type="spellEnd"/>
      <w:r w:rsidRPr="003C5847">
        <w:rPr>
          <w:rFonts w:ascii="Arial" w:hAnsi="Arial" w:cs="Arial"/>
          <w:lang w:val="es-ES"/>
        </w:rPr>
        <w:t xml:space="preserve"> di aumentare la propria </w:t>
      </w:r>
      <w:proofErr w:type="spellStart"/>
      <w:r w:rsidRPr="003C5847">
        <w:rPr>
          <w:rFonts w:ascii="Arial" w:hAnsi="Arial" w:cs="Arial"/>
          <w:lang w:val="es-ES"/>
        </w:rPr>
        <w:t>capacità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produttiva</w:t>
      </w:r>
      <w:proofErr w:type="spellEnd"/>
      <w:r w:rsidRPr="003C5847">
        <w:rPr>
          <w:rFonts w:ascii="Arial" w:hAnsi="Arial" w:cs="Arial"/>
          <w:lang w:val="es-ES"/>
        </w:rPr>
        <w:t xml:space="preserve"> in Francia fino a 100.000 </w:t>
      </w:r>
      <w:proofErr w:type="spellStart"/>
      <w:r w:rsidRPr="003C5847">
        <w:rPr>
          <w:rFonts w:ascii="Arial" w:hAnsi="Arial" w:cs="Arial"/>
          <w:lang w:val="es-ES"/>
        </w:rPr>
        <w:t>sistemi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all’anno</w:t>
      </w:r>
      <w:proofErr w:type="spellEnd"/>
      <w:r w:rsidRPr="003C5847">
        <w:rPr>
          <w:rFonts w:ascii="Arial" w:hAnsi="Arial" w:cs="Arial"/>
          <w:lang w:val="es-ES"/>
        </w:rPr>
        <w:t xml:space="preserve"> entro </w:t>
      </w:r>
      <w:proofErr w:type="spellStart"/>
      <w:r w:rsidRPr="003C5847">
        <w:rPr>
          <w:rFonts w:ascii="Arial" w:hAnsi="Arial" w:cs="Arial"/>
          <w:lang w:val="es-ES"/>
        </w:rPr>
        <w:t>il</w:t>
      </w:r>
      <w:proofErr w:type="spellEnd"/>
      <w:r w:rsidRPr="003C5847">
        <w:rPr>
          <w:rFonts w:ascii="Arial" w:hAnsi="Arial" w:cs="Arial"/>
          <w:lang w:val="es-ES"/>
        </w:rPr>
        <w:t xml:space="preserve"> 2028, con la </w:t>
      </w:r>
      <w:proofErr w:type="spellStart"/>
      <w:r w:rsidRPr="003C5847">
        <w:rPr>
          <w:rFonts w:ascii="Arial" w:hAnsi="Arial" w:cs="Arial"/>
          <w:lang w:val="es-ES"/>
        </w:rPr>
        <w:t>conseguente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creazione</w:t>
      </w:r>
      <w:proofErr w:type="spellEnd"/>
      <w:r w:rsidRPr="003C5847">
        <w:rPr>
          <w:rFonts w:ascii="Arial" w:hAnsi="Arial" w:cs="Arial"/>
          <w:lang w:val="es-ES"/>
        </w:rPr>
        <w:t xml:space="preserve"> di 1000 i </w:t>
      </w:r>
      <w:proofErr w:type="spellStart"/>
      <w:r w:rsidRPr="003C5847">
        <w:rPr>
          <w:rFonts w:ascii="Arial" w:hAnsi="Arial" w:cs="Arial"/>
          <w:lang w:val="es-ES"/>
        </w:rPr>
        <w:t>posti</w:t>
      </w:r>
      <w:proofErr w:type="spellEnd"/>
      <w:r w:rsidRPr="003C5847">
        <w:rPr>
          <w:rFonts w:ascii="Arial" w:hAnsi="Arial" w:cs="Arial"/>
          <w:lang w:val="es-ES"/>
        </w:rPr>
        <w:t xml:space="preserve"> di </w:t>
      </w:r>
      <w:proofErr w:type="spellStart"/>
      <w:r w:rsidRPr="003C5847">
        <w:rPr>
          <w:rFonts w:ascii="Arial" w:hAnsi="Arial" w:cs="Arial"/>
          <w:lang w:val="es-ES"/>
        </w:rPr>
        <w:t>lavoro</w:t>
      </w:r>
      <w:proofErr w:type="spellEnd"/>
      <w:r w:rsidRPr="003C5847">
        <w:rPr>
          <w:rFonts w:ascii="Arial" w:hAnsi="Arial" w:cs="Arial"/>
          <w:lang w:val="es-ES"/>
        </w:rPr>
        <w:t xml:space="preserve"> in Francia.</w:t>
      </w:r>
      <w:r w:rsidR="00C6095E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Questa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transazione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consentirà</w:t>
      </w:r>
      <w:proofErr w:type="spellEnd"/>
      <w:r w:rsidRPr="003C5847">
        <w:rPr>
          <w:rFonts w:ascii="Arial" w:hAnsi="Arial" w:cs="Arial"/>
          <w:lang w:val="es-ES"/>
        </w:rPr>
        <w:t xml:space="preserve"> a </w:t>
      </w:r>
      <w:proofErr w:type="spellStart"/>
      <w:r w:rsidRPr="003C5847">
        <w:rPr>
          <w:rFonts w:ascii="Arial" w:hAnsi="Arial" w:cs="Arial"/>
          <w:lang w:val="es-ES"/>
        </w:rPr>
        <w:t>Symbio</w:t>
      </w:r>
      <w:proofErr w:type="spellEnd"/>
      <w:r w:rsidRPr="003C5847">
        <w:rPr>
          <w:rFonts w:ascii="Arial" w:hAnsi="Arial" w:cs="Arial"/>
          <w:lang w:val="es-ES"/>
        </w:rPr>
        <w:t xml:space="preserve"> di </w:t>
      </w:r>
      <w:proofErr w:type="spellStart"/>
      <w:r w:rsidRPr="003C5847">
        <w:rPr>
          <w:rFonts w:ascii="Arial" w:hAnsi="Arial" w:cs="Arial"/>
          <w:lang w:val="es-ES"/>
        </w:rPr>
        <w:t>svilupparsi</w:t>
      </w:r>
      <w:proofErr w:type="spellEnd"/>
      <w:r w:rsidRPr="003C5847">
        <w:rPr>
          <w:rFonts w:ascii="Arial" w:hAnsi="Arial" w:cs="Arial"/>
          <w:lang w:val="es-ES"/>
        </w:rPr>
        <w:t xml:space="preserve"> ulteriormente </w:t>
      </w:r>
      <w:proofErr w:type="spellStart"/>
      <w:r w:rsidRPr="003C5847">
        <w:rPr>
          <w:rFonts w:ascii="Arial" w:hAnsi="Arial" w:cs="Arial"/>
          <w:lang w:val="es-ES"/>
        </w:rPr>
        <w:t>facendo</w:t>
      </w:r>
      <w:proofErr w:type="spellEnd"/>
      <w:r w:rsidRPr="003C5847">
        <w:rPr>
          <w:rFonts w:ascii="Arial" w:hAnsi="Arial" w:cs="Arial"/>
          <w:lang w:val="es-ES"/>
        </w:rPr>
        <w:t xml:space="preserve"> leva </w:t>
      </w:r>
      <w:proofErr w:type="spellStart"/>
      <w:r w:rsidRPr="003C5847">
        <w:rPr>
          <w:rFonts w:ascii="Arial" w:hAnsi="Arial" w:cs="Arial"/>
          <w:lang w:val="es-ES"/>
        </w:rPr>
        <w:t>sulla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posizione</w:t>
      </w:r>
      <w:proofErr w:type="spellEnd"/>
      <w:r w:rsidRPr="003C5847">
        <w:rPr>
          <w:rFonts w:ascii="Arial" w:hAnsi="Arial" w:cs="Arial"/>
          <w:lang w:val="es-ES"/>
        </w:rPr>
        <w:t xml:space="preserve"> di </w:t>
      </w:r>
      <w:proofErr w:type="spellStart"/>
      <w:r w:rsidRPr="003C5847">
        <w:rPr>
          <w:rFonts w:ascii="Arial" w:hAnsi="Arial" w:cs="Arial"/>
          <w:lang w:val="es-ES"/>
        </w:rPr>
        <w:t>leadership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detenuta</w:t>
      </w:r>
      <w:proofErr w:type="spellEnd"/>
      <w:r w:rsidRPr="003C5847">
        <w:rPr>
          <w:rFonts w:ascii="Arial" w:hAnsi="Arial" w:cs="Arial"/>
          <w:lang w:val="es-ES"/>
        </w:rPr>
        <w:t xml:space="preserve"> da Stellantis </w:t>
      </w:r>
      <w:proofErr w:type="spellStart"/>
      <w:r w:rsidRPr="003C5847">
        <w:rPr>
          <w:rFonts w:ascii="Arial" w:hAnsi="Arial" w:cs="Arial"/>
          <w:lang w:val="es-ES"/>
        </w:rPr>
        <w:t>nei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mercati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gramStart"/>
      <w:r w:rsidRPr="003C5847">
        <w:rPr>
          <w:rFonts w:ascii="Arial" w:hAnsi="Arial" w:cs="Arial"/>
          <w:lang w:val="es-ES"/>
        </w:rPr>
        <w:t>automotive</w:t>
      </w:r>
      <w:proofErr w:type="gram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europei</w:t>
      </w:r>
      <w:proofErr w:type="spellEnd"/>
      <w:r w:rsidRPr="003C5847">
        <w:rPr>
          <w:rFonts w:ascii="Arial" w:hAnsi="Arial" w:cs="Arial"/>
          <w:lang w:val="es-ES"/>
        </w:rPr>
        <w:t xml:space="preserve"> e </w:t>
      </w:r>
      <w:proofErr w:type="spellStart"/>
      <w:r w:rsidRPr="003C5847">
        <w:rPr>
          <w:rFonts w:ascii="Arial" w:hAnsi="Arial" w:cs="Arial"/>
          <w:lang w:val="es-ES"/>
        </w:rPr>
        <w:t>statunitensi</w:t>
      </w:r>
      <w:proofErr w:type="spellEnd"/>
      <w:r w:rsidRPr="003C5847">
        <w:rPr>
          <w:rFonts w:ascii="Arial" w:hAnsi="Arial" w:cs="Arial"/>
          <w:lang w:val="es-ES"/>
        </w:rPr>
        <w:t xml:space="preserve">. </w:t>
      </w:r>
    </w:p>
    <w:p w14:paraId="0B772FAE" w14:textId="511966F4" w:rsidR="00E53A26" w:rsidRPr="003C5847" w:rsidRDefault="00E53A26" w:rsidP="00E53A26">
      <w:pPr>
        <w:spacing w:after="160"/>
        <w:jc w:val="both"/>
        <w:rPr>
          <w:rFonts w:ascii="Arial" w:hAnsi="Arial" w:cs="Arial"/>
          <w:lang w:val="es-ES"/>
        </w:rPr>
      </w:pPr>
      <w:r w:rsidRPr="003C5847">
        <w:rPr>
          <w:rFonts w:ascii="Arial" w:hAnsi="Arial" w:cs="Arial"/>
          <w:lang w:val="es-ES"/>
        </w:rPr>
        <w:t xml:space="preserve">La </w:t>
      </w:r>
      <w:proofErr w:type="spellStart"/>
      <w:r w:rsidRPr="003C5847">
        <w:rPr>
          <w:rFonts w:ascii="Arial" w:hAnsi="Arial" w:cs="Arial"/>
          <w:lang w:val="es-ES"/>
        </w:rPr>
        <w:t>chiusura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della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transazione</w:t>
      </w:r>
      <w:proofErr w:type="spellEnd"/>
      <w:r w:rsidRPr="003C5847">
        <w:rPr>
          <w:rFonts w:ascii="Arial" w:hAnsi="Arial" w:cs="Arial"/>
          <w:lang w:val="es-ES"/>
        </w:rPr>
        <w:t xml:space="preserve"> è prevista </w:t>
      </w:r>
      <w:proofErr w:type="spellStart"/>
      <w:r w:rsidRPr="003C5847">
        <w:rPr>
          <w:rFonts w:ascii="Arial" w:hAnsi="Arial" w:cs="Arial"/>
          <w:lang w:val="es-ES"/>
        </w:rPr>
        <w:t>nei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primi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mesi</w:t>
      </w:r>
      <w:proofErr w:type="spellEnd"/>
      <w:r w:rsidRPr="003C5847">
        <w:rPr>
          <w:rFonts w:ascii="Arial" w:hAnsi="Arial" w:cs="Arial"/>
          <w:lang w:val="es-ES"/>
        </w:rPr>
        <w:t xml:space="preserve"> del 2023 </w:t>
      </w:r>
      <w:proofErr w:type="spellStart"/>
      <w:r w:rsidRPr="003C5847">
        <w:rPr>
          <w:rFonts w:ascii="Arial" w:hAnsi="Arial" w:cs="Arial"/>
          <w:lang w:val="es-ES"/>
        </w:rPr>
        <w:t>ed</w:t>
      </w:r>
      <w:proofErr w:type="spellEnd"/>
      <w:r w:rsidRPr="003C5847">
        <w:rPr>
          <w:rFonts w:ascii="Arial" w:hAnsi="Arial" w:cs="Arial"/>
          <w:lang w:val="es-ES"/>
        </w:rPr>
        <w:t xml:space="preserve"> è </w:t>
      </w:r>
      <w:proofErr w:type="spellStart"/>
      <w:r w:rsidRPr="003C5847">
        <w:rPr>
          <w:rFonts w:ascii="Arial" w:hAnsi="Arial" w:cs="Arial"/>
          <w:lang w:val="es-ES"/>
        </w:rPr>
        <w:t>soggetta</w:t>
      </w:r>
      <w:proofErr w:type="spellEnd"/>
      <w:r w:rsidRPr="003C5847">
        <w:rPr>
          <w:rFonts w:ascii="Arial" w:hAnsi="Arial" w:cs="Arial"/>
          <w:lang w:val="es-ES"/>
        </w:rPr>
        <w:t xml:space="preserve"> </w:t>
      </w:r>
      <w:proofErr w:type="spellStart"/>
      <w:r w:rsidRPr="003C5847">
        <w:rPr>
          <w:rFonts w:ascii="Arial" w:hAnsi="Arial" w:cs="Arial"/>
          <w:lang w:val="es-ES"/>
        </w:rPr>
        <w:t>alle</w:t>
      </w:r>
      <w:proofErr w:type="spellEnd"/>
      <w:r w:rsidRPr="003C5847">
        <w:rPr>
          <w:rFonts w:ascii="Arial" w:hAnsi="Arial" w:cs="Arial"/>
          <w:lang w:val="es-ES"/>
        </w:rPr>
        <w:t xml:space="preserve"> consuete </w:t>
      </w:r>
      <w:proofErr w:type="spellStart"/>
      <w:r w:rsidRPr="003C5847">
        <w:rPr>
          <w:rFonts w:ascii="Arial" w:hAnsi="Arial" w:cs="Arial"/>
          <w:lang w:val="es-ES"/>
        </w:rPr>
        <w:t>condizioni</w:t>
      </w:r>
      <w:proofErr w:type="spellEnd"/>
      <w:r w:rsidRPr="003C5847">
        <w:rPr>
          <w:rFonts w:ascii="Arial" w:hAnsi="Arial" w:cs="Arial"/>
          <w:lang w:val="es-ES"/>
        </w:rPr>
        <w:t xml:space="preserve"> di </w:t>
      </w:r>
      <w:proofErr w:type="spellStart"/>
      <w:r w:rsidRPr="003C5847">
        <w:rPr>
          <w:rFonts w:ascii="Arial" w:hAnsi="Arial" w:cs="Arial"/>
          <w:lang w:val="es-ES"/>
        </w:rPr>
        <w:t>chiusura</w:t>
      </w:r>
      <w:proofErr w:type="spellEnd"/>
      <w:r w:rsidRPr="003C5847">
        <w:rPr>
          <w:rFonts w:ascii="Arial" w:hAnsi="Arial" w:cs="Arial"/>
          <w:lang w:val="es-ES"/>
        </w:rPr>
        <w:t xml:space="preserve">, incluse le </w:t>
      </w:r>
      <w:proofErr w:type="spellStart"/>
      <w:r w:rsidRPr="003C5847">
        <w:rPr>
          <w:rFonts w:ascii="Arial" w:hAnsi="Arial" w:cs="Arial"/>
          <w:lang w:val="es-ES"/>
        </w:rPr>
        <w:t>approvazioni</w:t>
      </w:r>
      <w:proofErr w:type="spellEnd"/>
      <w:r w:rsidRPr="003C5847">
        <w:rPr>
          <w:rFonts w:ascii="Arial" w:hAnsi="Arial" w:cs="Arial"/>
          <w:lang w:val="es-ES"/>
        </w:rPr>
        <w:t xml:space="preserve"> normative.</w:t>
      </w:r>
    </w:p>
    <w:p w14:paraId="766CF02A" w14:textId="77777777" w:rsidR="00E53A26" w:rsidRPr="003C5847" w:rsidRDefault="00E53A26" w:rsidP="003C5847">
      <w:pPr>
        <w:spacing w:after="160"/>
        <w:jc w:val="center"/>
        <w:rPr>
          <w:rFonts w:ascii="Arial" w:hAnsi="Arial" w:cs="Arial"/>
          <w:lang w:val="es-ES"/>
        </w:rPr>
      </w:pPr>
      <w:r w:rsidRPr="003C5847">
        <w:rPr>
          <w:rFonts w:ascii="Arial" w:hAnsi="Arial" w:cs="Arial"/>
          <w:lang w:val="es-ES"/>
        </w:rPr>
        <w:t># # #</w:t>
      </w:r>
    </w:p>
    <w:p w14:paraId="4C465FD0" w14:textId="77777777" w:rsidR="00E53A26" w:rsidRPr="003C5847" w:rsidRDefault="00E53A26" w:rsidP="003C5847">
      <w:pPr>
        <w:spacing w:line="240" w:lineRule="auto"/>
        <w:jc w:val="both"/>
        <w:rPr>
          <w:rFonts w:ascii="Arial" w:eastAsia="Encode Sans" w:hAnsi="Arial" w:cs="Arial"/>
          <w:b/>
          <w:bCs/>
          <w:sz w:val="20"/>
          <w:szCs w:val="20"/>
          <w:lang w:val="es-ES"/>
        </w:rPr>
      </w:pPr>
      <w:r w:rsidRPr="003C5847">
        <w:rPr>
          <w:rFonts w:ascii="Arial" w:hAnsi="Arial" w:cs="Arial"/>
          <w:b/>
          <w:bCs/>
          <w:sz w:val="20"/>
          <w:szCs w:val="20"/>
          <w:lang w:val="es-ES"/>
        </w:rPr>
        <w:lastRenderedPageBreak/>
        <w:t>SYMBIO  </w:t>
      </w:r>
    </w:p>
    <w:p w14:paraId="42D67F69" w14:textId="77777777" w:rsidR="00E53A26" w:rsidRPr="003C5847" w:rsidRDefault="00E53A26" w:rsidP="003C5847">
      <w:pPr>
        <w:spacing w:line="240" w:lineRule="auto"/>
        <w:jc w:val="both"/>
        <w:rPr>
          <w:rFonts w:ascii="Arial" w:eastAsia="Encode Sans" w:hAnsi="Arial" w:cs="Arial"/>
          <w:i/>
          <w:iCs/>
          <w:sz w:val="18"/>
          <w:szCs w:val="18"/>
          <w:lang w:val="es-ES"/>
        </w:rPr>
      </w:pP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Symbio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, una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joint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venture Faurecia e Michelin, è un importante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partner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innovativo </w:t>
      </w:r>
      <w:proofErr w:type="gram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per i</w:t>
      </w:r>
      <w:proofErr w:type="gram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pionieri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della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mobilità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, con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oltre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30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anni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di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esperienza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e 6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milioni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di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chilometri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percorsi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.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Riferimento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livello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mondiale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nel campo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dei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sistemi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celle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combustibile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idrogeno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,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Symbio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unisce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leadership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nel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settore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ed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eccellenza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innovativa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all’agilità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imprenditoriale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per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offrire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una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mobilità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zero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emissioni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. La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sua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ampia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gamma di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sistemi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celle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combustibile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StackPack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soddisfa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qualsiasi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esigenza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in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termini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di potenza,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durata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e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autonomia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nelle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prestazioni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su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strada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e off-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road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di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autocarri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,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furgoni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e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autobus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,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attrezzature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per la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logistica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e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autovetture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.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Symbio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è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partner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di Stellantis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nello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sviluppo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del primo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programma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mondiale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di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veicoli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commerciali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leggeri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alimentati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idrogeno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. 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quasi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600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dipendenti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di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Symbio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operano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per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costruire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un futuro positivo,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aiutando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clienti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ad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accelerare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l’attuazione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di una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mobilità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pulita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che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rispetti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l’ambiente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,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l’aria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e </w:t>
      </w:r>
      <w:proofErr w:type="gram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la salute</w:t>
      </w:r>
      <w:proofErr w:type="gram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senza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compromessi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sulle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prestazioni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. La gamma H2Motive di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Symbio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soddisfa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qualsiasi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necessità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in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termini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di potenza </w:t>
      </w:r>
      <w:proofErr w:type="gram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e</w:t>
      </w:r>
      <w:proofErr w:type="gram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di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durata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grazie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sistemi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single-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stack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e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multi-stack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con 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relativi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sistemi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di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distribuzione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della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potenza,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unità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di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controllo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elettronico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e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circuiti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di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raffreddamento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,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dell’aria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e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dell’idrogeno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che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generano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e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controllano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l’alimentazione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elettrica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. </w:t>
      </w:r>
      <w:r w:rsidRPr="003C5847">
        <w:rPr>
          <w:rFonts w:ascii="Arial" w:eastAsia="Arial" w:hAnsi="Arial" w:cs="Arial"/>
          <w:sz w:val="18"/>
          <w:szCs w:val="18"/>
        </w:rPr>
        <w:fldChar w:fldCharType="begin"/>
      </w:r>
      <w:r w:rsidRPr="003C5847">
        <w:rPr>
          <w:rFonts w:ascii="Arial" w:eastAsia="Arial" w:hAnsi="Arial" w:cs="Arial"/>
          <w:sz w:val="18"/>
          <w:szCs w:val="18"/>
          <w:lang w:val="es-ES"/>
        </w:rPr>
        <w:instrText>www.symbio.one</w:instrText>
      </w:r>
      <w:r w:rsidRPr="003C5847">
        <w:rPr>
          <w:rFonts w:ascii="Arial" w:eastAsia="Arial" w:hAnsi="Arial" w:cs="Arial"/>
          <w:sz w:val="18"/>
          <w:szCs w:val="18"/>
        </w:rPr>
        <w:fldChar w:fldCharType="separate"/>
      </w:r>
      <w:r w:rsidRPr="003C5847">
        <w:rPr>
          <w:rStyle w:val="Hyperlink"/>
          <w:rFonts w:ascii="Arial" w:eastAsia="Arial" w:hAnsi="Arial" w:cs="Arial"/>
          <w:sz w:val="18"/>
          <w:szCs w:val="18"/>
          <w:lang w:val="es-ES"/>
        </w:rPr>
        <w:t>www.symbio.one</w:t>
      </w:r>
      <w:r w:rsidRPr="003C5847">
        <w:rPr>
          <w:rFonts w:ascii="Arial" w:eastAsia="Arial" w:hAnsi="Arial" w:cs="Arial"/>
          <w:sz w:val="18"/>
          <w:szCs w:val="18"/>
        </w:rPr>
        <w:fldChar w:fldCharType="end"/>
      </w:r>
    </w:p>
    <w:p w14:paraId="39E2B89C" w14:textId="77777777" w:rsidR="00E53A26" w:rsidRPr="003C5847" w:rsidRDefault="00E53A26" w:rsidP="003C5847">
      <w:pPr>
        <w:spacing w:line="240" w:lineRule="auto"/>
        <w:jc w:val="both"/>
        <w:rPr>
          <w:rFonts w:ascii="Arial" w:eastAsia="Encode Sans" w:hAnsi="Arial" w:cs="Arial"/>
          <w:b/>
          <w:bCs/>
          <w:sz w:val="18"/>
          <w:szCs w:val="18"/>
          <w:lang w:val="es-ES"/>
        </w:rPr>
      </w:pPr>
    </w:p>
    <w:p w14:paraId="49D10DDD" w14:textId="77777777" w:rsidR="00E53A26" w:rsidRPr="003C5847" w:rsidRDefault="00E53A26" w:rsidP="003C584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C5847">
        <w:rPr>
          <w:rFonts w:ascii="Arial" w:hAnsi="Arial" w:cs="Arial"/>
          <w:b/>
          <w:bCs/>
          <w:sz w:val="18"/>
          <w:szCs w:val="18"/>
        </w:rPr>
        <w:t>Stellantis</w:t>
      </w:r>
    </w:p>
    <w:p w14:paraId="740DC547" w14:textId="77777777" w:rsidR="00E53A26" w:rsidRPr="003C5847" w:rsidRDefault="00E53A26" w:rsidP="003C584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bookmarkStart w:id="0" w:name="_Hlk104023212"/>
      <w:r w:rsidRPr="003C5847">
        <w:rPr>
          <w:rFonts w:ascii="Arial" w:hAnsi="Arial" w:cs="Arial"/>
          <w:i/>
          <w:iCs/>
          <w:sz w:val="18"/>
          <w:szCs w:val="18"/>
        </w:rPr>
        <w:t xml:space="preserve">Stellantis N.V. (NYSE / MTA / Euronext </w:t>
      </w:r>
      <w:proofErr w:type="gramStart"/>
      <w:r w:rsidRPr="003C5847">
        <w:rPr>
          <w:rFonts w:ascii="Arial" w:hAnsi="Arial" w:cs="Arial"/>
          <w:i/>
          <w:iCs/>
          <w:sz w:val="18"/>
          <w:szCs w:val="18"/>
        </w:rPr>
        <w:t>Paris:</w:t>
      </w:r>
      <w:proofErr w:type="gramEnd"/>
      <w:r w:rsidRPr="003C5847">
        <w:rPr>
          <w:rFonts w:ascii="Arial" w:hAnsi="Arial" w:cs="Arial"/>
          <w:i/>
          <w:iCs/>
          <w:sz w:val="18"/>
          <w:szCs w:val="18"/>
        </w:rPr>
        <w:t xml:space="preserve"> STLA) è leader 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livello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mondiale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nella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produzione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di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veicoli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e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fornitore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di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mobilità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. 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suoi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marchi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iconici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e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ricchi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di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storia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–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Abarth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, Alfa Romeo, Chrysler, Citroën, Dodge, DS Automobiles, Fiat, Jeep®, Lancia, Maserati, Opel, Peugeot, Ram, Vauxhall, Free2move e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Leasys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–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danno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forma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concreta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alla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passione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dei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loro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fondatori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e dei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nostri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clienti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offrendo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prodotti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e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servizi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innovativi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. Grazie alla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diversità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che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ci alimenta,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guidiamo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il modo in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cui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il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mondo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si muove,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aspirando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diventare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la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migliore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mobility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tech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company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sostenibile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, non la più grande,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creando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al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contempo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valore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aggiunto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per tutti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gli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stakeholder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nonché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per le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community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in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cui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opera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. Per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maggiori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informazioni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visitare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hyperlink r:id="rId7" w:history="1">
        <w:r w:rsidRPr="003C5847">
          <w:rPr>
            <w:rFonts w:ascii="Arial" w:hAnsi="Arial" w:cs="Arial"/>
            <w:i/>
            <w:iCs/>
            <w:color w:val="0000FF"/>
            <w:sz w:val="18"/>
            <w:szCs w:val="18"/>
            <w:u w:val="single" w:color="0000FF"/>
          </w:rPr>
          <w:t>www.stellantis.com</w:t>
        </w:r>
      </w:hyperlink>
      <w:r w:rsidRPr="003C5847">
        <w:rPr>
          <w:rFonts w:ascii="Arial" w:hAnsi="Arial" w:cs="Arial"/>
          <w:i/>
          <w:iCs/>
          <w:sz w:val="18"/>
          <w:szCs w:val="18"/>
        </w:rPr>
        <w:t>.</w:t>
      </w:r>
      <w:bookmarkEnd w:id="0"/>
    </w:p>
    <w:p w14:paraId="4F562782" w14:textId="77777777" w:rsidR="00E53A26" w:rsidRPr="003C5847" w:rsidRDefault="00E53A26" w:rsidP="003C5847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373683AA" w14:textId="77777777" w:rsidR="00E53A26" w:rsidRPr="003C5847" w:rsidRDefault="00E53A26" w:rsidP="003C5847">
      <w:pPr>
        <w:spacing w:line="240" w:lineRule="auto"/>
        <w:jc w:val="both"/>
        <w:rPr>
          <w:rFonts w:ascii="Arial" w:eastAsia="Encode Sans" w:hAnsi="Arial" w:cs="Arial"/>
          <w:b/>
          <w:bCs/>
          <w:i/>
          <w:iCs/>
          <w:sz w:val="18"/>
          <w:szCs w:val="18"/>
        </w:rPr>
      </w:pPr>
      <w:r w:rsidRPr="003C5847">
        <w:rPr>
          <w:rFonts w:ascii="Arial" w:hAnsi="Arial" w:cs="Arial"/>
          <w:b/>
          <w:bCs/>
          <w:i/>
          <w:iCs/>
          <w:sz w:val="18"/>
          <w:szCs w:val="18"/>
        </w:rPr>
        <w:t>FORVIA</w:t>
      </w:r>
    </w:p>
    <w:p w14:paraId="4165D7A4" w14:textId="77777777" w:rsidR="00E53A26" w:rsidRPr="003C5847" w:rsidRDefault="00E53A26" w:rsidP="003C5847">
      <w:pPr>
        <w:spacing w:line="240" w:lineRule="auto"/>
        <w:jc w:val="both"/>
        <w:rPr>
          <w:rFonts w:ascii="Arial" w:eastAsia="Encode Sans" w:hAnsi="Arial" w:cs="Arial"/>
          <w:i/>
          <w:iCs/>
          <w:sz w:val="18"/>
          <w:szCs w:val="18"/>
        </w:rPr>
      </w:pPr>
      <w:r w:rsidRPr="003C5847">
        <w:rPr>
          <w:rFonts w:ascii="Arial" w:hAnsi="Arial" w:cs="Arial"/>
          <w:i/>
          <w:iCs/>
          <w:sz w:val="18"/>
          <w:szCs w:val="18"/>
        </w:rPr>
        <w:t xml:space="preserve">FORVIA, il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settimo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colosso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mondiale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della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componentistica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automotive,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riunisce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le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tecnologie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complementari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e la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forza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industriale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di Faurecia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ed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HELLA. Con quasi 300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siti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industriali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, 75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centri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di R&amp;S e 150.000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dipendenti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, tra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cui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oltre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35.000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ingegneri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operanti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in più di 40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paesi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, FORVIA offre un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approccio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unico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e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completo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alle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sfide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del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settore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automotive di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oggi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e di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domani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.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Costituita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da 6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gruppi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imprenditoriali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, FORVIA mira 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diventare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il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partner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per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l’innovazione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e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l’integrazione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preferito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dagli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OEM di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tutto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il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mondo.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Il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Gruppo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offre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soluzioni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per una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mobilità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sicura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,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sostenibile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,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avanzata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e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personalizzata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. FORVIA punta 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diventare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un promotore del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cambiamento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in grado di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prevedere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le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trasformazioni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della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mobilità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e di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farle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diventare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  <w:lang w:val="es-ES"/>
        </w:rPr>
        <w:t>realtà</w:t>
      </w:r>
      <w:proofErr w:type="spellEnd"/>
      <w:r w:rsidRPr="003C5847">
        <w:rPr>
          <w:rFonts w:ascii="Arial" w:hAnsi="Arial" w:cs="Arial"/>
          <w:i/>
          <w:iCs/>
          <w:sz w:val="18"/>
          <w:szCs w:val="18"/>
          <w:lang w:val="es-ES"/>
        </w:rPr>
        <w:t xml:space="preserve">. </w:t>
      </w:r>
      <w:hyperlink r:id="rId8" w:history="1">
        <w:r w:rsidRPr="003C5847">
          <w:rPr>
            <w:rStyle w:val="Hyperlink"/>
            <w:rFonts w:ascii="Arial" w:hAnsi="Arial" w:cs="Arial"/>
            <w:b/>
            <w:bCs/>
            <w:sz w:val="18"/>
            <w:szCs w:val="18"/>
          </w:rPr>
          <w:t>www.forvia.com</w:t>
        </w:r>
      </w:hyperlink>
    </w:p>
    <w:p w14:paraId="7B0E81F8" w14:textId="77777777" w:rsidR="00E53A26" w:rsidRPr="003C5847" w:rsidRDefault="00E53A26" w:rsidP="003C5847">
      <w:pPr>
        <w:spacing w:line="240" w:lineRule="auto"/>
        <w:jc w:val="both"/>
        <w:rPr>
          <w:rFonts w:ascii="Arial" w:eastAsia="Encode Sans" w:hAnsi="Arial" w:cs="Arial"/>
          <w:b/>
          <w:bCs/>
          <w:i/>
          <w:iCs/>
          <w:sz w:val="18"/>
          <w:szCs w:val="18"/>
        </w:rPr>
      </w:pPr>
    </w:p>
    <w:p w14:paraId="769D0DA9" w14:textId="77777777" w:rsidR="00E53A26" w:rsidRPr="003C5847" w:rsidRDefault="00E53A26" w:rsidP="003C584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C5847">
        <w:rPr>
          <w:rFonts w:ascii="Arial" w:hAnsi="Arial" w:cs="Arial"/>
          <w:b/>
          <w:bCs/>
          <w:i/>
          <w:iCs/>
          <w:sz w:val="18"/>
          <w:szCs w:val="18"/>
        </w:rPr>
        <w:t>Michelin</w:t>
      </w:r>
    </w:p>
    <w:p w14:paraId="00EF4132" w14:textId="2667A5C1" w:rsidR="00E53A26" w:rsidRPr="003C5847" w:rsidRDefault="00E53A26" w:rsidP="003C584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C5847">
        <w:rPr>
          <w:rFonts w:ascii="Arial" w:hAnsi="Arial" w:cs="Arial"/>
          <w:i/>
          <w:iCs/>
          <w:sz w:val="18"/>
          <w:szCs w:val="18"/>
        </w:rPr>
        <w:t xml:space="preserve">Leader mondiale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nel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settore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della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mobilità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, Michelin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opera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per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migliorare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il modo di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muoversi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dei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propri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clienti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in maniera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sostenibile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progettando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e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distribuendo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pneumatici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servizi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e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soluzioni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in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grado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di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soddisfare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qualsiasi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esigenza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offrendo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servizi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digitali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, mappe e guide per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arricchire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gite e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viaggi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rendendoli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esperienze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uniche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e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sviluppando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materiali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altamente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tecnologici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per vari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settori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. Michelin, la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cui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sede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centrale è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a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Clermont-Ferrand, Francia, è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presente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in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177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paesi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, vanta 124.760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dipendenti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e 68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stabilimenti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produttivi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che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in totale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nel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2021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hanno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prodotto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173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milioni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 xml:space="preserve"> di </w:t>
      </w:r>
      <w:proofErr w:type="spellStart"/>
      <w:r w:rsidRPr="003C5847">
        <w:rPr>
          <w:rFonts w:ascii="Arial" w:hAnsi="Arial" w:cs="Arial"/>
          <w:i/>
          <w:iCs/>
          <w:sz w:val="18"/>
          <w:szCs w:val="18"/>
        </w:rPr>
        <w:t>pneumatici</w:t>
      </w:r>
      <w:proofErr w:type="spellEnd"/>
      <w:r w:rsidRPr="003C5847">
        <w:rPr>
          <w:rFonts w:ascii="Arial" w:hAnsi="Arial" w:cs="Arial"/>
          <w:i/>
          <w:iCs/>
          <w:sz w:val="18"/>
          <w:szCs w:val="18"/>
        </w:rPr>
        <w:t>. (</w:t>
      </w:r>
      <w:hyperlink r:id="rId9" w:history="1">
        <w:r w:rsidRPr="003C5847">
          <w:rPr>
            <w:rFonts w:ascii="Arial" w:hAnsi="Arial" w:cs="Arial"/>
            <w:i/>
            <w:iCs/>
            <w:color w:val="0000FF"/>
            <w:sz w:val="18"/>
            <w:szCs w:val="18"/>
            <w:u w:val="single" w:color="0000FF"/>
          </w:rPr>
          <w:t>www.michelin.com</w:t>
        </w:r>
      </w:hyperlink>
      <w:r w:rsidRPr="003C5847">
        <w:rPr>
          <w:rFonts w:ascii="Arial" w:hAnsi="Arial" w:cs="Arial"/>
          <w:i/>
          <w:iCs/>
          <w:color w:val="B5082E"/>
          <w:sz w:val="18"/>
          <w:szCs w:val="18"/>
          <w:u w:val="single" w:color="B5082E"/>
        </w:rPr>
        <w:t>)</w:t>
      </w:r>
    </w:p>
    <w:p w14:paraId="75A4DB13" w14:textId="77777777" w:rsidR="00E53A26" w:rsidRPr="003C5847" w:rsidRDefault="00E53A26" w:rsidP="00E53A26">
      <w:pPr>
        <w:spacing w:after="160"/>
        <w:jc w:val="both"/>
        <w:rPr>
          <w:rFonts w:ascii="Arial" w:eastAsia="Encode Sans" w:hAnsi="Arial" w:cs="Arial"/>
          <w:b/>
          <w:bCs/>
          <w:i/>
          <w:iCs/>
          <w:sz w:val="18"/>
          <w:szCs w:val="18"/>
        </w:rPr>
      </w:pPr>
    </w:p>
    <w:p w14:paraId="507565C8" w14:textId="77777777" w:rsidR="00E53A26" w:rsidRPr="00BB4661" w:rsidRDefault="00E53A26" w:rsidP="00E53A26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BB4661">
        <w:rPr>
          <w:rFonts w:ascii="Arial" w:hAnsi="Arial" w:cs="Arial"/>
          <w:b/>
          <w:bCs/>
          <w:sz w:val="18"/>
          <w:szCs w:val="18"/>
        </w:rPr>
        <w:t>Contatti</w:t>
      </w:r>
      <w:proofErr w:type="spellEnd"/>
      <w:r w:rsidRPr="00BB4661">
        <w:rPr>
          <w:rFonts w:ascii="Arial" w:hAnsi="Arial" w:cs="Arial"/>
          <w:b/>
          <w:bCs/>
          <w:sz w:val="18"/>
          <w:szCs w:val="18"/>
        </w:rPr>
        <w:t>:</w:t>
      </w:r>
      <w:proofErr w:type="gramEnd"/>
    </w:p>
    <w:p w14:paraId="42CE9507" w14:textId="77777777" w:rsidR="00E53A26" w:rsidRPr="00BB4661" w:rsidRDefault="00E53A26" w:rsidP="00E53A2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036"/>
        <w:gridCol w:w="3219"/>
      </w:tblGrid>
      <w:tr w:rsidR="003C5847" w:rsidRPr="00BB4661" w14:paraId="76FB3724" w14:textId="77777777" w:rsidTr="003E0725">
        <w:tc>
          <w:tcPr>
            <w:tcW w:w="3121" w:type="dxa"/>
            <w:tcBorders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38128D" w14:textId="77777777" w:rsidR="00E53A26" w:rsidRPr="00BB4661" w:rsidRDefault="00E53A26" w:rsidP="003E0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661">
              <w:rPr>
                <w:rFonts w:ascii="Arial" w:hAnsi="Arial" w:cs="Arial"/>
                <w:b/>
                <w:bCs/>
                <w:sz w:val="18"/>
                <w:szCs w:val="18"/>
              </w:rPr>
              <w:t>Stellantis</w:t>
            </w:r>
          </w:p>
          <w:p w14:paraId="242C5902" w14:textId="77777777" w:rsidR="00E53A26" w:rsidRPr="00BB4661" w:rsidRDefault="00E53A26" w:rsidP="003E07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5F5487" w14:textId="77777777" w:rsidR="00E53A26" w:rsidRPr="00BB4661" w:rsidRDefault="00E53A26" w:rsidP="003E072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4661">
              <w:rPr>
                <w:rFonts w:ascii="Arial" w:hAnsi="Arial" w:cs="Arial"/>
                <w:b/>
                <w:bCs/>
                <w:sz w:val="18"/>
                <w:szCs w:val="18"/>
              </w:rPr>
              <w:t>Fernão</w:t>
            </w:r>
            <w:proofErr w:type="spellEnd"/>
            <w:r w:rsidRPr="00BB46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Silveira</w:t>
            </w:r>
          </w:p>
          <w:p w14:paraId="683A9EB9" w14:textId="77777777" w:rsidR="00E53A26" w:rsidRPr="00BB4661" w:rsidRDefault="00E53A26" w:rsidP="003E072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4661">
              <w:rPr>
                <w:rFonts w:ascii="Arial" w:hAnsi="Arial" w:cs="Arial"/>
                <w:sz w:val="18"/>
                <w:szCs w:val="18"/>
              </w:rPr>
              <w:t>Comunicazioni</w:t>
            </w:r>
            <w:proofErr w:type="spellEnd"/>
            <w:r w:rsidRPr="00BB46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B4661">
              <w:rPr>
                <w:rFonts w:ascii="Arial" w:hAnsi="Arial" w:cs="Arial"/>
                <w:sz w:val="18"/>
                <w:szCs w:val="18"/>
              </w:rPr>
              <w:t>globali</w:t>
            </w:r>
            <w:proofErr w:type="spellEnd"/>
            <w:r w:rsidRPr="00BB4661">
              <w:rPr>
                <w:rFonts w:ascii="Arial" w:hAnsi="Arial" w:cs="Arial"/>
                <w:sz w:val="18"/>
                <w:szCs w:val="18"/>
              </w:rPr>
              <w:t xml:space="preserve"> / Stellantis</w:t>
            </w:r>
          </w:p>
          <w:p w14:paraId="2BE81DB0" w14:textId="77777777" w:rsidR="00E53A26" w:rsidRPr="00BB4661" w:rsidRDefault="00E53A26" w:rsidP="003E0725">
            <w:pPr>
              <w:rPr>
                <w:rFonts w:ascii="Arial" w:hAnsi="Arial" w:cs="Arial"/>
                <w:sz w:val="18"/>
                <w:szCs w:val="18"/>
              </w:rPr>
            </w:pPr>
            <w:r w:rsidRPr="00BB4661">
              <w:rPr>
                <w:rFonts w:ascii="Arial" w:hAnsi="Arial" w:cs="Arial"/>
                <w:sz w:val="18"/>
                <w:szCs w:val="18"/>
              </w:rPr>
              <w:t>+31 6 43 25 43 41</w:t>
            </w:r>
          </w:p>
          <w:p w14:paraId="02C7B3CC" w14:textId="77777777" w:rsidR="00E53A26" w:rsidRPr="00BB4661" w:rsidRDefault="00E53A26" w:rsidP="003E0725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BB4661">
                <w:rPr>
                  <w:rFonts w:ascii="Arial" w:hAnsi="Arial" w:cs="Arial"/>
                  <w:sz w:val="18"/>
                  <w:szCs w:val="18"/>
                  <w:u w:val="single" w:color="0000FF"/>
                </w:rPr>
                <w:t>fernao.silveira@stellantis.com</w:t>
              </w:r>
            </w:hyperlink>
          </w:p>
          <w:p w14:paraId="424937D5" w14:textId="77777777" w:rsidR="00E53A26" w:rsidRPr="00BB4661" w:rsidRDefault="00E53A26" w:rsidP="003E07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EFABFE" w14:textId="77777777" w:rsidR="00E53A26" w:rsidRPr="00BB4661" w:rsidRDefault="00E53A26" w:rsidP="003E0725">
            <w:pPr>
              <w:rPr>
                <w:rFonts w:ascii="Arial" w:hAnsi="Arial" w:cs="Arial"/>
                <w:sz w:val="18"/>
                <w:szCs w:val="18"/>
              </w:rPr>
            </w:pPr>
            <w:r w:rsidRPr="00BB4661">
              <w:rPr>
                <w:rFonts w:ascii="Arial" w:hAnsi="Arial" w:cs="Arial"/>
                <w:b/>
                <w:bCs/>
                <w:sz w:val="18"/>
                <w:szCs w:val="18"/>
              </w:rPr>
              <w:t>Valérie GILLOT</w:t>
            </w:r>
          </w:p>
          <w:p w14:paraId="3EA5EFF0" w14:textId="77777777" w:rsidR="00E53A26" w:rsidRPr="00BB4661" w:rsidRDefault="00E53A26" w:rsidP="003E0725">
            <w:pPr>
              <w:rPr>
                <w:rFonts w:ascii="Arial" w:hAnsi="Arial" w:cs="Arial"/>
                <w:sz w:val="18"/>
                <w:szCs w:val="18"/>
              </w:rPr>
            </w:pPr>
            <w:r w:rsidRPr="00BB4661">
              <w:rPr>
                <w:rFonts w:ascii="Arial" w:hAnsi="Arial" w:cs="Arial"/>
                <w:sz w:val="18"/>
                <w:szCs w:val="18"/>
              </w:rPr>
              <w:t>+33 6 83 92 92 96</w:t>
            </w:r>
          </w:p>
          <w:p w14:paraId="7EF29AA8" w14:textId="77777777" w:rsidR="00E53A26" w:rsidRPr="00BB4661" w:rsidRDefault="00E53A26" w:rsidP="003E0725">
            <w:pPr>
              <w:rPr>
                <w:rFonts w:ascii="Arial" w:hAnsi="Arial" w:cs="Arial"/>
                <w:sz w:val="18"/>
                <w:szCs w:val="18"/>
              </w:rPr>
            </w:pPr>
            <w:r w:rsidRPr="00BB4661">
              <w:rPr>
                <w:rFonts w:ascii="Arial" w:hAnsi="Arial" w:cs="Arial"/>
                <w:sz w:val="18"/>
                <w:szCs w:val="18"/>
              </w:rPr>
              <w:t>valerie.gillot@stellantis.com</w:t>
            </w:r>
          </w:p>
          <w:p w14:paraId="3C242262" w14:textId="77777777" w:rsidR="00E53A26" w:rsidRPr="00BB4661" w:rsidRDefault="00E53A26" w:rsidP="003E0725">
            <w:pPr>
              <w:rPr>
                <w:rFonts w:ascii="Arial" w:eastAsia="Encode Sans" w:hAnsi="Arial" w:cs="Arial"/>
                <w:b/>
                <w:bCs/>
                <w:sz w:val="18"/>
                <w:szCs w:val="18"/>
              </w:rPr>
            </w:pPr>
          </w:p>
          <w:p w14:paraId="5147CD1C" w14:textId="77777777" w:rsidR="00E53A26" w:rsidRPr="00BB4661" w:rsidRDefault="00E53A26" w:rsidP="003E0725">
            <w:pPr>
              <w:rPr>
                <w:rFonts w:ascii="Arial" w:hAnsi="Arial" w:cs="Arial"/>
                <w:sz w:val="18"/>
                <w:szCs w:val="18"/>
              </w:rPr>
            </w:pPr>
            <w:r w:rsidRPr="00BB4661">
              <w:rPr>
                <w:rFonts w:ascii="Arial" w:hAnsi="Arial" w:cs="Arial"/>
                <w:sz w:val="18"/>
                <w:szCs w:val="18"/>
              </w:rPr>
              <w:t>communications@stellantis.com</w:t>
            </w:r>
          </w:p>
          <w:p w14:paraId="4A949E43" w14:textId="77777777" w:rsidR="00E53A26" w:rsidRPr="00BB4661" w:rsidRDefault="00E53A26" w:rsidP="003E0725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BB4661">
                <w:rPr>
                  <w:rFonts w:ascii="Arial" w:hAnsi="Arial" w:cs="Arial"/>
                  <w:sz w:val="18"/>
                  <w:szCs w:val="18"/>
                  <w:u w:val="single" w:color="0563C1"/>
                </w:rPr>
                <w:t>www.stellantis.com</w:t>
              </w:r>
            </w:hyperlink>
          </w:p>
          <w:p w14:paraId="42884A2E" w14:textId="77777777" w:rsidR="00E53A26" w:rsidRPr="00BB4661" w:rsidRDefault="00E53A26" w:rsidP="003E0725">
            <w:pPr>
              <w:spacing w:after="160"/>
              <w:rPr>
                <w:rFonts w:ascii="Arial" w:eastAsia="Encode Sans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29863" w14:textId="77777777" w:rsidR="00E53A26" w:rsidRPr="00BB4661" w:rsidRDefault="00E53A26" w:rsidP="003E0725">
            <w:pPr>
              <w:spacing w:after="16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B466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MICHELIN</w:t>
            </w:r>
          </w:p>
          <w:p w14:paraId="3A5E4A77" w14:textId="77777777" w:rsidR="003C5847" w:rsidRPr="00BB4661" w:rsidRDefault="00E53A26" w:rsidP="003E0725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BB466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Ufficio</w:t>
            </w:r>
            <w:proofErr w:type="spellEnd"/>
            <w:r w:rsidRPr="00BB466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B466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stampa</w:t>
            </w:r>
            <w:proofErr w:type="spellEnd"/>
            <w:r w:rsidRPr="00BB466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14:paraId="6FECC0FD" w14:textId="239C3307" w:rsidR="00E53A26" w:rsidRPr="00BB4661" w:rsidRDefault="00E53A26" w:rsidP="003E0725">
            <w:pPr>
              <w:spacing w:after="160"/>
              <w:rPr>
                <w:rFonts w:ascii="Arial" w:eastAsia="Encode Sans" w:hAnsi="Arial" w:cs="Arial"/>
                <w:sz w:val="18"/>
                <w:szCs w:val="18"/>
                <w:lang w:val="es-ES"/>
              </w:rPr>
            </w:pPr>
            <w:proofErr w:type="spellStart"/>
            <w:r w:rsidRPr="00BB4661">
              <w:rPr>
                <w:rFonts w:ascii="Arial" w:hAnsi="Arial" w:cs="Arial"/>
                <w:sz w:val="18"/>
                <w:szCs w:val="18"/>
                <w:lang w:val="es-ES"/>
              </w:rPr>
              <w:t>attivo</w:t>
            </w:r>
            <w:proofErr w:type="spellEnd"/>
            <w:r w:rsidRPr="00BB4661">
              <w:rPr>
                <w:rFonts w:ascii="Arial" w:hAnsi="Arial" w:cs="Arial"/>
                <w:sz w:val="18"/>
                <w:szCs w:val="18"/>
                <w:lang w:val="es-ES"/>
              </w:rPr>
              <w:t xml:space="preserve"> 7 </w:t>
            </w:r>
            <w:proofErr w:type="spellStart"/>
            <w:r w:rsidRPr="00BB4661">
              <w:rPr>
                <w:rFonts w:ascii="Arial" w:hAnsi="Arial" w:cs="Arial"/>
                <w:sz w:val="18"/>
                <w:szCs w:val="18"/>
                <w:lang w:val="es-ES"/>
              </w:rPr>
              <w:t>giorni</w:t>
            </w:r>
            <w:proofErr w:type="spellEnd"/>
            <w:r w:rsidRPr="00BB4661">
              <w:rPr>
                <w:rFonts w:ascii="Arial" w:hAnsi="Arial" w:cs="Arial"/>
                <w:sz w:val="18"/>
                <w:szCs w:val="18"/>
                <w:lang w:val="es-ES"/>
              </w:rPr>
              <w:t xml:space="preserve"> su 7, 24 ore su 24</w:t>
            </w:r>
          </w:p>
          <w:p w14:paraId="68B49E7F" w14:textId="77777777" w:rsidR="00E53A26" w:rsidRPr="00BB4661" w:rsidRDefault="00E53A26" w:rsidP="003E0725">
            <w:pPr>
              <w:spacing w:after="160"/>
              <w:rPr>
                <w:rFonts w:ascii="Arial" w:eastAsia="Encode Sans" w:hAnsi="Arial" w:cs="Arial"/>
                <w:sz w:val="18"/>
                <w:szCs w:val="18"/>
              </w:rPr>
            </w:pPr>
            <w:r w:rsidRPr="00BB4661">
              <w:rPr>
                <w:rFonts w:ascii="Arial" w:hAnsi="Arial" w:cs="Arial"/>
                <w:sz w:val="18"/>
                <w:szCs w:val="18"/>
              </w:rPr>
              <w:t>+ 33 145662222</w:t>
            </w:r>
          </w:p>
          <w:p w14:paraId="74316BCA" w14:textId="77777777" w:rsidR="00E53A26" w:rsidRPr="00BB4661" w:rsidRDefault="00E53A26" w:rsidP="003E0725">
            <w:pPr>
              <w:spacing w:after="160"/>
              <w:rPr>
                <w:rFonts w:ascii="Arial" w:eastAsia="Encode Sans" w:hAnsi="Arial" w:cs="Arial"/>
                <w:sz w:val="18"/>
                <w:szCs w:val="18"/>
              </w:rPr>
            </w:pPr>
            <w:proofErr w:type="gramStart"/>
            <w:r w:rsidRPr="00BB4661">
              <w:rPr>
                <w:rFonts w:ascii="Arial" w:hAnsi="Arial" w:cs="Arial"/>
                <w:sz w:val="18"/>
                <w:szCs w:val="18"/>
              </w:rPr>
              <w:t>Twitter:</w:t>
            </w:r>
            <w:proofErr w:type="gramEnd"/>
            <w:r w:rsidRPr="00BB4661">
              <w:rPr>
                <w:rFonts w:ascii="Arial" w:hAnsi="Arial" w:cs="Arial"/>
                <w:sz w:val="18"/>
                <w:szCs w:val="18"/>
              </w:rPr>
              <w:t xml:space="preserve"> @MichelinNews</w:t>
            </w:r>
          </w:p>
          <w:p w14:paraId="270115AD" w14:textId="77777777" w:rsidR="00E53A26" w:rsidRPr="00BB4661" w:rsidRDefault="00E53A26" w:rsidP="003E0725">
            <w:pPr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"/>
            </w:tblGrid>
            <w:tr w:rsidR="003C5847" w:rsidRPr="00BB4661" w14:paraId="4EEAB468" w14:textId="77777777" w:rsidTr="003E0725">
              <w:trPr>
                <w:trHeight w:val="307"/>
              </w:trPr>
              <w:tc>
                <w:tcPr>
                  <w:tcW w:w="0" w:type="auto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hideMark/>
                </w:tcPr>
                <w:p w14:paraId="6FA959E6" w14:textId="77777777" w:rsidR="00E53A26" w:rsidRPr="00BB4661" w:rsidRDefault="00E53A26" w:rsidP="003E0725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46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1D17CA55" w14:textId="77777777" w:rsidR="00E53A26" w:rsidRPr="00BB4661" w:rsidRDefault="00E53A26" w:rsidP="003E0725">
            <w:pPr>
              <w:spacing w:after="160"/>
              <w:rPr>
                <w:rFonts w:ascii="Arial" w:eastAsia="Encode Sans" w:hAnsi="Arial" w:cs="Arial"/>
                <w:sz w:val="18"/>
                <w:szCs w:val="18"/>
              </w:rPr>
            </w:pPr>
          </w:p>
          <w:p w14:paraId="34B9DC79" w14:textId="77777777" w:rsidR="00E53A26" w:rsidRPr="00BB4661" w:rsidRDefault="00E53A26" w:rsidP="003E0725">
            <w:pPr>
              <w:spacing w:after="160"/>
              <w:rPr>
                <w:rFonts w:ascii="Arial" w:eastAsia="Encode Sans" w:hAnsi="Arial" w:cs="Arial"/>
                <w:sz w:val="18"/>
                <w:szCs w:val="18"/>
              </w:rPr>
            </w:pPr>
          </w:p>
          <w:p w14:paraId="594BCD45" w14:textId="77777777" w:rsidR="00E53A26" w:rsidRPr="00BB4661" w:rsidRDefault="00E53A26" w:rsidP="003E0725">
            <w:pPr>
              <w:spacing w:after="160"/>
              <w:rPr>
                <w:rFonts w:ascii="Arial" w:eastAsia="Encode Sans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22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13" w:type="dxa"/>
            </w:tcMar>
            <w:hideMark/>
          </w:tcPr>
          <w:p w14:paraId="4C0EBC90" w14:textId="77777777" w:rsidR="00E53A26" w:rsidRPr="00BB4661" w:rsidRDefault="00E53A26" w:rsidP="003E0725">
            <w:pPr>
              <w:spacing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66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FORVIA</w:t>
            </w:r>
          </w:p>
          <w:p w14:paraId="6C64BAC0" w14:textId="77777777" w:rsidR="00E53A26" w:rsidRPr="00BB4661" w:rsidRDefault="00E53A26" w:rsidP="003E0725">
            <w:pPr>
              <w:spacing w:line="204" w:lineRule="auto"/>
              <w:ind w:left="140" w:right="198"/>
              <w:rPr>
                <w:rFonts w:ascii="Arial" w:hAnsi="Arial" w:cs="Arial"/>
                <w:sz w:val="18"/>
                <w:szCs w:val="18"/>
              </w:rPr>
            </w:pPr>
            <w:r w:rsidRPr="00BB4661">
              <w:rPr>
                <w:rFonts w:ascii="Arial" w:hAnsi="Arial" w:cs="Arial"/>
                <w:b/>
                <w:bCs/>
                <w:sz w:val="18"/>
                <w:szCs w:val="18"/>
              </w:rPr>
              <w:t>Faurecia</w:t>
            </w:r>
          </w:p>
          <w:p w14:paraId="6F5D3ACD" w14:textId="77777777" w:rsidR="00E53A26" w:rsidRPr="00BB4661" w:rsidRDefault="00E53A26" w:rsidP="003E0725">
            <w:pPr>
              <w:spacing w:line="204" w:lineRule="auto"/>
              <w:ind w:left="140" w:right="198"/>
              <w:rPr>
                <w:rFonts w:ascii="Arial" w:hAnsi="Arial" w:cs="Arial"/>
                <w:sz w:val="18"/>
                <w:szCs w:val="18"/>
              </w:rPr>
            </w:pPr>
            <w:r w:rsidRPr="00BB4661">
              <w:rPr>
                <w:rFonts w:ascii="Arial" w:hAnsi="Arial" w:cs="Arial"/>
                <w:b/>
                <w:bCs/>
                <w:sz w:val="18"/>
                <w:szCs w:val="18"/>
              </w:rPr>
              <w:t>Christophe MALBRANQUE</w:t>
            </w:r>
          </w:p>
          <w:p w14:paraId="66A5CFC5" w14:textId="77777777" w:rsidR="00E53A26" w:rsidRPr="00BB4661" w:rsidRDefault="00E53A26" w:rsidP="003E0725">
            <w:pPr>
              <w:spacing w:line="204" w:lineRule="auto"/>
              <w:ind w:left="140" w:right="198"/>
              <w:rPr>
                <w:rFonts w:ascii="Arial" w:hAnsi="Arial" w:cs="Arial"/>
                <w:sz w:val="18"/>
                <w:szCs w:val="18"/>
              </w:rPr>
            </w:pPr>
            <w:r w:rsidRPr="00BB4661">
              <w:rPr>
                <w:rFonts w:ascii="Arial" w:hAnsi="Arial" w:cs="Arial"/>
                <w:sz w:val="18"/>
                <w:szCs w:val="18"/>
              </w:rPr>
              <w:t>Responsable Relations Presse</w:t>
            </w:r>
          </w:p>
          <w:p w14:paraId="022097CE" w14:textId="77777777" w:rsidR="00E53A26" w:rsidRPr="00BB4661" w:rsidRDefault="00E53A26" w:rsidP="003E0725">
            <w:pPr>
              <w:spacing w:line="204" w:lineRule="auto"/>
              <w:ind w:left="140" w:right="198"/>
              <w:rPr>
                <w:rFonts w:ascii="Arial" w:hAnsi="Arial" w:cs="Arial"/>
                <w:sz w:val="18"/>
                <w:szCs w:val="18"/>
              </w:rPr>
            </w:pPr>
            <w:r w:rsidRPr="00BB4661">
              <w:rPr>
                <w:rFonts w:ascii="Arial" w:hAnsi="Arial" w:cs="Arial"/>
                <w:sz w:val="18"/>
                <w:szCs w:val="18"/>
              </w:rPr>
              <w:t>+33 (0) 6 21 96 23 53</w:t>
            </w:r>
          </w:p>
          <w:p w14:paraId="376C6824" w14:textId="77777777" w:rsidR="00E53A26" w:rsidRPr="00BB4661" w:rsidRDefault="00E53A26" w:rsidP="003E0725">
            <w:pPr>
              <w:ind w:left="153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BB4661">
                <w:rPr>
                  <w:rFonts w:ascii="Arial" w:hAnsi="Arial" w:cs="Arial"/>
                  <w:sz w:val="18"/>
                  <w:szCs w:val="18"/>
                  <w:u w:val="single" w:color="633277"/>
                </w:rPr>
                <w:t>christophe.malbranque@forvia.com</w:t>
              </w:r>
            </w:hyperlink>
          </w:p>
          <w:p w14:paraId="54E410A9" w14:textId="77777777" w:rsidR="00E53A26" w:rsidRPr="00BB4661" w:rsidRDefault="00E53A26" w:rsidP="003E0725">
            <w:pPr>
              <w:rPr>
                <w:rFonts w:ascii="Arial" w:hAnsi="Arial" w:cs="Arial"/>
                <w:sz w:val="18"/>
                <w:szCs w:val="18"/>
              </w:rPr>
            </w:pPr>
            <w:r w:rsidRPr="00BB4661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4C5FFD3C" w14:textId="77777777" w:rsidR="00E53A26" w:rsidRPr="00BB4661" w:rsidRDefault="00E53A26" w:rsidP="003E0725">
            <w:pPr>
              <w:spacing w:line="204" w:lineRule="auto"/>
              <w:ind w:left="140" w:right="198"/>
              <w:rPr>
                <w:rFonts w:ascii="Arial" w:hAnsi="Arial" w:cs="Arial"/>
                <w:sz w:val="18"/>
                <w:szCs w:val="18"/>
              </w:rPr>
            </w:pPr>
            <w:r w:rsidRPr="00BB4661">
              <w:rPr>
                <w:rFonts w:ascii="Arial" w:hAnsi="Arial" w:cs="Arial"/>
                <w:b/>
                <w:bCs/>
                <w:sz w:val="18"/>
                <w:szCs w:val="18"/>
              </w:rPr>
              <w:t>Faurecia</w:t>
            </w:r>
          </w:p>
          <w:p w14:paraId="1982B879" w14:textId="77777777" w:rsidR="00E53A26" w:rsidRPr="00BB4661" w:rsidRDefault="00E53A26" w:rsidP="003E0725">
            <w:pPr>
              <w:spacing w:line="204" w:lineRule="auto"/>
              <w:ind w:left="140" w:right="198"/>
              <w:rPr>
                <w:rFonts w:ascii="Arial" w:hAnsi="Arial" w:cs="Arial"/>
                <w:sz w:val="18"/>
                <w:szCs w:val="18"/>
              </w:rPr>
            </w:pPr>
            <w:r w:rsidRPr="00BB4661">
              <w:rPr>
                <w:rFonts w:ascii="Arial" w:hAnsi="Arial" w:cs="Arial"/>
                <w:b/>
                <w:bCs/>
                <w:sz w:val="18"/>
                <w:szCs w:val="18"/>
              </w:rPr>
              <w:t>Marc MAILLET</w:t>
            </w:r>
          </w:p>
          <w:p w14:paraId="46EBACFC" w14:textId="77777777" w:rsidR="00E53A26" w:rsidRPr="00BB4661" w:rsidRDefault="00E53A26" w:rsidP="003E0725">
            <w:pPr>
              <w:spacing w:line="204" w:lineRule="auto"/>
              <w:ind w:left="140" w:right="198"/>
              <w:rPr>
                <w:rFonts w:ascii="Arial" w:hAnsi="Arial" w:cs="Arial"/>
                <w:sz w:val="18"/>
                <w:szCs w:val="18"/>
              </w:rPr>
            </w:pPr>
            <w:r w:rsidRPr="00BB4661">
              <w:rPr>
                <w:rFonts w:ascii="Arial" w:hAnsi="Arial" w:cs="Arial"/>
                <w:sz w:val="18"/>
                <w:szCs w:val="18"/>
              </w:rPr>
              <w:t>Directeur des Relations Investisseurs</w:t>
            </w:r>
          </w:p>
          <w:p w14:paraId="5A580DC5" w14:textId="77777777" w:rsidR="00E53A26" w:rsidRPr="00BB4661" w:rsidRDefault="00E53A26" w:rsidP="003E0725">
            <w:pPr>
              <w:spacing w:line="204" w:lineRule="auto"/>
              <w:ind w:left="140" w:right="198"/>
              <w:rPr>
                <w:rFonts w:ascii="Arial" w:hAnsi="Arial" w:cs="Arial"/>
                <w:sz w:val="18"/>
                <w:szCs w:val="18"/>
              </w:rPr>
            </w:pPr>
            <w:r w:rsidRPr="00BB4661">
              <w:rPr>
                <w:rFonts w:ascii="Arial" w:hAnsi="Arial" w:cs="Arial"/>
                <w:sz w:val="18"/>
                <w:szCs w:val="18"/>
              </w:rPr>
              <w:t>+33 (0) 1 72 36 75 70</w:t>
            </w:r>
          </w:p>
          <w:p w14:paraId="7F1530AE" w14:textId="77777777" w:rsidR="00E53A26" w:rsidRPr="00BB4661" w:rsidRDefault="00E53A26" w:rsidP="003E0725">
            <w:pPr>
              <w:spacing w:line="173" w:lineRule="atLeast"/>
              <w:ind w:left="14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BB4661">
                <w:rPr>
                  <w:rFonts w:ascii="Arial" w:hAnsi="Arial" w:cs="Arial"/>
                  <w:sz w:val="18"/>
                  <w:szCs w:val="18"/>
                  <w:u w:val="single" w:color="633277"/>
                </w:rPr>
                <w:t>marc.maillet@forvia.com</w:t>
              </w:r>
            </w:hyperlink>
          </w:p>
          <w:p w14:paraId="6AF9758D" w14:textId="77777777" w:rsidR="00E53A26" w:rsidRPr="00BB4661" w:rsidRDefault="00E53A26" w:rsidP="003E0725">
            <w:pPr>
              <w:rPr>
                <w:rFonts w:ascii="Arial" w:hAnsi="Arial" w:cs="Arial"/>
                <w:sz w:val="18"/>
                <w:szCs w:val="18"/>
              </w:rPr>
            </w:pPr>
            <w:r w:rsidRPr="00BB4661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F1F8340" w14:textId="77777777" w:rsidR="00E53A26" w:rsidRPr="00BB4661" w:rsidRDefault="00E53A26" w:rsidP="003E0725">
            <w:pPr>
              <w:spacing w:after="160"/>
              <w:rPr>
                <w:rFonts w:ascii="Arial" w:eastAsia="Encode Sans" w:hAnsi="Arial" w:cs="Arial"/>
                <w:b/>
                <w:bCs/>
                <w:sz w:val="18"/>
                <w:szCs w:val="18"/>
              </w:rPr>
            </w:pPr>
          </w:p>
        </w:tc>
      </w:tr>
    </w:tbl>
    <w:p w14:paraId="0BD96527" w14:textId="4E3D2946" w:rsidR="00E53A26" w:rsidRPr="00E53A26" w:rsidRDefault="0040064A" w:rsidP="00E53A26">
      <w:pPr>
        <w:spacing w:line="240" w:lineRule="auto"/>
        <w:jc w:val="both"/>
        <w:rPr>
          <w:sz w:val="18"/>
          <w:szCs w:val="18"/>
          <w:lang w:val="es-ES"/>
        </w:rPr>
      </w:pPr>
      <w:r>
        <w:rPr>
          <w:rFonts w:ascii="Arial" w:hAnsi="Arial"/>
          <w:b/>
          <w:bCs/>
          <w:sz w:val="18"/>
          <w:szCs w:val="18"/>
          <w:lang w:val="es-ES"/>
        </w:rPr>
        <w:lastRenderedPageBreak/>
        <w:t xml:space="preserve">STELLANTIS </w:t>
      </w:r>
      <w:r w:rsidR="00E53A26" w:rsidRPr="00E53A26">
        <w:rPr>
          <w:rFonts w:ascii="Arial" w:hAnsi="Arial"/>
          <w:b/>
          <w:bCs/>
          <w:sz w:val="18"/>
          <w:szCs w:val="18"/>
          <w:lang w:val="es-ES"/>
        </w:rPr>
        <w:t>DICHIARAZIONI PREVISIONALI</w:t>
      </w:r>
      <w:r w:rsidR="00E53A26" w:rsidRPr="00E53A26">
        <w:rPr>
          <w:rFonts w:ascii="Arial" w:hAnsi="Arial"/>
          <w:sz w:val="18"/>
          <w:szCs w:val="18"/>
          <w:lang w:val="es-ES"/>
        </w:rPr>
        <w:t> </w:t>
      </w:r>
    </w:p>
    <w:p w14:paraId="2E0A384D" w14:textId="77777777" w:rsidR="00E53A26" w:rsidRPr="00E53A26" w:rsidRDefault="00E53A26" w:rsidP="00E53A26">
      <w:pPr>
        <w:spacing w:line="240" w:lineRule="auto"/>
        <w:jc w:val="both"/>
        <w:rPr>
          <w:sz w:val="18"/>
          <w:szCs w:val="18"/>
          <w:lang w:val="es-ES"/>
        </w:rPr>
      </w:pPr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La presente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comunicazione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contiene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dichiarazioni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previsionali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. In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particolare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, le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dichiarazioni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riguardanti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gli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eventi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futuri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e i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risultati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previsti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delle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operazioni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, le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strategie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aziendali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, la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previsione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dei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benefici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ottenuti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dalla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transazione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proposta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, i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risultati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finanziari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e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operativi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futuri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, la data di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chiusura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prevista per la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transazione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proposta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e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gli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altri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aspetti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previsti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relativamente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alle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nostre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operazioni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o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ai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nostri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risultati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operativi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sono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dichiarazioni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previsionali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.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Tali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dichiarazioni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possono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includere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i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termini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come “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possono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>”, “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saranno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>”, "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prevedono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>", "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potrebbero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>", "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dovrebbero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>", "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intendono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>", "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stimano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>", "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anticipano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>", "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credono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>", "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rimangono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>", "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sulla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buona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strada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>", "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progettano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>", "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obiettivo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>", "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previsione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>", "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proiezione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>", "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prospettiva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>", "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prospettive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", "piano" o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termini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simili. Le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dichiarazioni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previsionali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non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sono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garanzie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di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prestazioni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future.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Piuttosto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, si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basano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sullo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stato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attuale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delle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conoscenze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di Stellantis,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sulle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aspettative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future e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sulle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proiezioni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di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eventi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futuri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e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sono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, </w:t>
      </w:r>
      <w:proofErr w:type="gramStart"/>
      <w:r w:rsidRPr="00E53A26">
        <w:rPr>
          <w:rFonts w:ascii="Arial" w:hAnsi="Arial"/>
          <w:i/>
          <w:iCs/>
          <w:sz w:val="18"/>
          <w:szCs w:val="18"/>
          <w:lang w:val="es-ES"/>
        </w:rPr>
        <w:t>per loro</w:t>
      </w:r>
      <w:proofErr w:type="gram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natura,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soggette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a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rischi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e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incertezze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intrinseche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. Si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riferiscono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a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eventi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e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dipendono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da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circostanze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che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possono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o non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possono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verificarsi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o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esistere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in futuro e,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pertanto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, che non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dovrebbero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essere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oggetto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di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eccessivo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affidamento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>.</w:t>
      </w:r>
      <w:r w:rsidRPr="00E53A26">
        <w:rPr>
          <w:rFonts w:ascii="Arial" w:hAnsi="Arial"/>
          <w:sz w:val="18"/>
          <w:szCs w:val="18"/>
          <w:lang w:val="es-ES"/>
        </w:rPr>
        <w:t> </w:t>
      </w:r>
    </w:p>
    <w:p w14:paraId="591E9F1D" w14:textId="77777777" w:rsidR="00E53A26" w:rsidRPr="00E53A26" w:rsidRDefault="00E53A26" w:rsidP="00E53A26">
      <w:pPr>
        <w:spacing w:line="240" w:lineRule="auto"/>
        <w:jc w:val="both"/>
        <w:rPr>
          <w:rFonts w:ascii="Segoe UI" w:eastAsia="Segoe UI" w:hAnsi="Segoe UI" w:cs="Segoe UI"/>
          <w:sz w:val="18"/>
          <w:szCs w:val="18"/>
          <w:lang w:val="es-ES"/>
        </w:rPr>
      </w:pPr>
    </w:p>
    <w:p w14:paraId="06CAFDC5" w14:textId="77777777" w:rsidR="00E53A26" w:rsidRPr="00E53A26" w:rsidRDefault="00E53A26" w:rsidP="00E53A26">
      <w:pPr>
        <w:spacing w:line="240" w:lineRule="auto"/>
        <w:jc w:val="both"/>
        <w:rPr>
          <w:sz w:val="18"/>
          <w:szCs w:val="18"/>
        </w:rPr>
      </w:pPr>
      <w:r w:rsidRPr="00E53A26">
        <w:rPr>
          <w:rFonts w:ascii="Arial" w:hAnsi="Arial"/>
          <w:i/>
          <w:iCs/>
          <w:sz w:val="18"/>
          <w:szCs w:val="18"/>
        </w:rPr>
        <w:t xml:space="preserve">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risultati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effettivi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potrebbero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differire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materialmente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da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quelli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espressi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nelle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dichiarazioni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previsionali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quale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risultato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una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molteplicità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fattori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,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inclusi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>: l’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impatto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della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pandemia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da COVID-19, la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capacità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Stellantis di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lanciare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nuovi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prodotti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con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successo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e di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mantenere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volumi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consegna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dei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veicoli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; 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cambiamenti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nei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mercati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finanziari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globali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,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nel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contesto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economico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generale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e 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cambiamenti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nella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domanda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prodotti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automobilistici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,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soggetta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a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ciclicità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; 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cambiamenti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delle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condizioni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economiche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e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politiche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locali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, 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cambiamenti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delle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politiche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commerciali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e l’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imposizione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dazi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a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livello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globale e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regionale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o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dazi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mirati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all’industria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automobilistica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>, l’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attuazione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riforme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fiscali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o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altre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variazioni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nelle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normative e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regolamentazioni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fiscali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; la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capacità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Stellantis di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espandere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a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livello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globale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alcuni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dei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suoi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marchi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; la sua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capacità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offrire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prodotti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innovativi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e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attraenti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; la sua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capacità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sviluppare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,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produrre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e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vendere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veicoli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con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caratteristiche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avanzate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tra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cui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elettrificazione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potenziata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,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connettività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e guida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autonoma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;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diversi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tipi di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reclami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,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azioni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legali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,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indagini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governative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e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altre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controversie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legali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,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inclusi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responsabilità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del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prodotto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e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reclami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garanzia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del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prodotto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e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reclami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,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indagini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e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azioni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legali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in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materia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ambientale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;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costi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operativi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in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relazione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alla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conformità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con le normative di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tutela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dell’ambiente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,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della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salute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e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della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sicurezza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>; l’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elevato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livello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concorrenza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nel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settore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automobilistico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,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che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potrebbe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aumentare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a causa di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consolidamenti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; la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potenziale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carenza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nel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finanziamento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dei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piani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pensionistici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Stellantis; la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capacità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fornire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o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organizzare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accesso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a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finanziamenti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adeguati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per 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concessionari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e 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clienti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finali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e 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rischi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associati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alla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costituzione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e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alle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operazioni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società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servizi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finanziari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; la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capacità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accedere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a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finanziamenti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per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realizzare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piani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industriali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Stellantis e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migliorare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le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attività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, la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situazione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finanziaria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e 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risultati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operativi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; un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significativo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malfunzionamento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,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interruzione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o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violazione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della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sicurezza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che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possa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compromettere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sistemi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information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technology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o 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sistemi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controllo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elettronico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contenuti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nei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veicoli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Stellantis; la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capacità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Stellantis di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realizzare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benefici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previsti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dagli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accordi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joint venture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;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interruzioni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dovute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a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instabilità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politica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, sociale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ed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economica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; 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rischi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associati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alle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relazioni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con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dipendenti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,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concessionari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e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fornitori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;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aumenti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dei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costi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,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interruzioni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forniture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o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carenza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materie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prime, parti,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componenti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e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sistemi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utilizzati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nei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veicoli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Stellantis;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sviluppi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in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relazioni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sindacali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,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industriali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e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nella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normativa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del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lavoro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;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fluttuazioni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dei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tassi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cambio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,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variazioni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dai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tassi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interesse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,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rischio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credito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e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altri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rischi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di mercato;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tensioni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politiche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e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sociali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;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terremoti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o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altri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disastri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;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altri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rischi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 xml:space="preserve"> e </w:t>
      </w:r>
      <w:proofErr w:type="spellStart"/>
      <w:r w:rsidRPr="00E53A26">
        <w:rPr>
          <w:rFonts w:ascii="Arial" w:hAnsi="Arial"/>
          <w:i/>
          <w:iCs/>
          <w:sz w:val="18"/>
          <w:szCs w:val="18"/>
        </w:rPr>
        <w:t>incertezze</w:t>
      </w:r>
      <w:proofErr w:type="spellEnd"/>
      <w:r w:rsidRPr="00E53A26">
        <w:rPr>
          <w:rFonts w:ascii="Arial" w:hAnsi="Arial"/>
          <w:i/>
          <w:iCs/>
          <w:sz w:val="18"/>
          <w:szCs w:val="18"/>
        </w:rPr>
        <w:t>.</w:t>
      </w:r>
      <w:r w:rsidRPr="00E53A26">
        <w:rPr>
          <w:rFonts w:ascii="Arial" w:hAnsi="Arial"/>
          <w:sz w:val="18"/>
          <w:szCs w:val="18"/>
        </w:rPr>
        <w:t> </w:t>
      </w:r>
    </w:p>
    <w:p w14:paraId="34762710" w14:textId="77777777" w:rsidR="00E53A26" w:rsidRPr="00E53A26" w:rsidRDefault="00E53A26" w:rsidP="00E53A26">
      <w:pPr>
        <w:spacing w:line="240" w:lineRule="auto"/>
        <w:jc w:val="both"/>
        <w:rPr>
          <w:rFonts w:ascii="Segoe UI" w:eastAsia="Segoe UI" w:hAnsi="Segoe UI" w:cs="Segoe UI"/>
          <w:sz w:val="18"/>
          <w:szCs w:val="18"/>
        </w:rPr>
      </w:pPr>
    </w:p>
    <w:p w14:paraId="33C56901" w14:textId="77777777" w:rsidR="00E53A26" w:rsidRPr="00E53A26" w:rsidRDefault="00E53A26" w:rsidP="00E53A26">
      <w:pPr>
        <w:spacing w:after="160"/>
        <w:rPr>
          <w:lang w:val="es-ES"/>
        </w:rPr>
      </w:pP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Tutte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le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dichiarazioni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previsionali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riportate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nella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presente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comunicazione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si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riferiscono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solo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alla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data di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questo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documento e Stellantis declina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qualsiasi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obbligo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di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aggiornarle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o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rivederle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pubblicamente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.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Ulteriori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informazioni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su Stellantis e le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sue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attività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,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inclusi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i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fattori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che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potrebbero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materialmente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influenzare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i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risultati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finanziari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di Stellantis,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sono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contenute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nelle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relazioni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e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nei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documenti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di Stellantis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depositati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presso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la U.S.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Securities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and Exchange </w:t>
      </w:r>
      <w:proofErr w:type="spellStart"/>
      <w:r w:rsidRPr="00E53A26">
        <w:rPr>
          <w:rFonts w:ascii="Arial" w:hAnsi="Arial"/>
          <w:i/>
          <w:iCs/>
          <w:sz w:val="18"/>
          <w:szCs w:val="18"/>
          <w:lang w:val="es-ES"/>
        </w:rPr>
        <w:t>Commission</w:t>
      </w:r>
      <w:proofErr w:type="spellEnd"/>
      <w:r w:rsidRPr="00E53A26">
        <w:rPr>
          <w:rFonts w:ascii="Arial" w:hAnsi="Arial"/>
          <w:i/>
          <w:iCs/>
          <w:sz w:val="18"/>
          <w:szCs w:val="18"/>
          <w:lang w:val="es-ES"/>
        </w:rPr>
        <w:t xml:space="preserve"> e AFM.</w:t>
      </w:r>
      <w:r w:rsidRPr="00E53A26">
        <w:rPr>
          <w:rFonts w:ascii="Arial" w:hAnsi="Arial"/>
          <w:sz w:val="18"/>
          <w:szCs w:val="18"/>
          <w:lang w:val="es-ES"/>
        </w:rPr>
        <w:t> </w:t>
      </w:r>
    </w:p>
    <w:p w14:paraId="05A6F721" w14:textId="77777777" w:rsidR="00B84126" w:rsidRPr="00E53A26" w:rsidRDefault="00BA1ACE" w:rsidP="00E704E3">
      <w:pPr>
        <w:spacing w:after="160"/>
        <w:jc w:val="center"/>
        <w:rPr>
          <w:lang w:val="es-ES"/>
        </w:rPr>
      </w:pPr>
    </w:p>
    <w:sectPr w:rsidR="00B84126" w:rsidRPr="00E53A26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D504" w14:textId="77777777" w:rsidR="00BA1ACE" w:rsidRDefault="00BA1ACE" w:rsidP="00BC58B1">
      <w:pPr>
        <w:spacing w:line="240" w:lineRule="auto"/>
      </w:pPr>
      <w:r>
        <w:separator/>
      </w:r>
    </w:p>
  </w:endnote>
  <w:endnote w:type="continuationSeparator" w:id="0">
    <w:p w14:paraId="63C65780" w14:textId="77777777" w:rsidR="00BA1ACE" w:rsidRDefault="00BA1ACE" w:rsidP="00BC5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044A" w14:textId="77777777" w:rsidR="00BA1ACE" w:rsidRDefault="00BA1ACE" w:rsidP="00BC58B1">
      <w:pPr>
        <w:spacing w:line="240" w:lineRule="auto"/>
      </w:pPr>
      <w:r>
        <w:separator/>
      </w:r>
    </w:p>
  </w:footnote>
  <w:footnote w:type="continuationSeparator" w:id="0">
    <w:p w14:paraId="5637200F" w14:textId="77777777" w:rsidR="00BA1ACE" w:rsidRDefault="00BA1ACE" w:rsidP="00BC5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B292" w14:textId="77777777" w:rsidR="0040064A" w:rsidRDefault="0040064A" w:rsidP="0040064A">
    <w:pPr>
      <w:spacing w:line="240" w:lineRule="auto"/>
      <w:jc w:val="center"/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73F172F6" wp14:editId="10D4451A">
          <wp:extent cx="1695450" cy="656262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247" cy="66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3A6BA221" wp14:editId="4E37A1DB">
          <wp:extent cx="1422400" cy="74843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74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color w:val="1B365E"/>
        <w:sz w:val="20"/>
        <w:szCs w:val="20"/>
      </w:rPr>
      <w:t xml:space="preserve">         </w:t>
    </w:r>
    <w:r>
      <w:rPr>
        <w:rFonts w:ascii="Arial" w:hAnsi="Arial" w:cs="Arial"/>
        <w:b/>
        <w:bCs/>
        <w:noProof/>
        <w:color w:val="1B365E"/>
        <w:sz w:val="20"/>
        <w:szCs w:val="20"/>
      </w:rPr>
      <w:drawing>
        <wp:inline distT="0" distB="0" distL="0" distR="0" wp14:anchorId="47492E8B" wp14:editId="5D8B581F">
          <wp:extent cx="1871631" cy="546100"/>
          <wp:effectExtent l="0" t="0" r="0" b="0"/>
          <wp:docPr id="9" name="Image 9" descr="Logo_Stellantis_Signature_RGB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Stellantis_Signature_RGB-02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588" cy="55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F6CA9" w14:textId="78397D59" w:rsidR="00BC58B1" w:rsidRPr="00BC58B1" w:rsidRDefault="00BC58B1" w:rsidP="00BC58B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B1"/>
    <w:rsid w:val="001515EA"/>
    <w:rsid w:val="001A6246"/>
    <w:rsid w:val="0020587D"/>
    <w:rsid w:val="003C5847"/>
    <w:rsid w:val="0040064A"/>
    <w:rsid w:val="004A7AE1"/>
    <w:rsid w:val="005F5540"/>
    <w:rsid w:val="00B5408A"/>
    <w:rsid w:val="00BA1ACE"/>
    <w:rsid w:val="00BB4661"/>
    <w:rsid w:val="00BC58B1"/>
    <w:rsid w:val="00C6095E"/>
    <w:rsid w:val="00E02799"/>
    <w:rsid w:val="00E53A26"/>
    <w:rsid w:val="00E704E3"/>
    <w:rsid w:val="00F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A62DD1"/>
  <w15:chartTrackingRefBased/>
  <w15:docId w15:val="{6E75C91D-8B5C-44FF-BA2A-102E2BAE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B1"/>
    <w:pPr>
      <w:spacing w:after="0"/>
    </w:pPr>
    <w:rPr>
      <w:rFonts w:ascii="Calibri" w:eastAsia="Calibri" w:hAnsi="Calibri" w:cs="Calibr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8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58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8B1"/>
    <w:rPr>
      <w:rFonts w:ascii="Calibri" w:eastAsia="Calibri" w:hAnsi="Calibri" w:cs="Calibri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C58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8B1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via.com" TargetMode="External"/><Relationship Id="rId13" Type="http://schemas.openxmlformats.org/officeDocument/2006/relationships/hyperlink" Target="mailto:marc.maillet@forv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ellantis.com" TargetMode="External"/><Relationship Id="rId12" Type="http://schemas.openxmlformats.org/officeDocument/2006/relationships/hyperlink" Target="mailto:christophe.malbranque@forvia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tellantis.com/it/investors/eventi/strategic-plan" TargetMode="External"/><Relationship Id="rId11" Type="http://schemas.openxmlformats.org/officeDocument/2006/relationships/hyperlink" Target="http://www.stellantis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fernao.silveira@stellanti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png@01D915F3.B19C0A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Stellantis</Company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KAILEEN CONNELLY</dc:creator>
  <cp:keywords/>
  <dc:description/>
  <cp:lastModifiedBy>KAILEEN CONNELLY</cp:lastModifiedBy>
  <cp:revision>5</cp:revision>
  <dcterms:created xsi:type="dcterms:W3CDTF">2022-12-22T19:47:00Z</dcterms:created>
  <dcterms:modified xsi:type="dcterms:W3CDTF">2022-12-22T19:52:00Z</dcterms:modified>
</cp:coreProperties>
</file>