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42FE" w14:textId="2D4CC9AA" w:rsidR="00D5456A" w:rsidRPr="0053613C" w:rsidRDefault="0086416D" w:rsidP="004C1AAD">
      <w:pPr>
        <w:pStyle w:val="SSubjectBlock"/>
      </w:pPr>
      <w:r w:rsidRPr="0053613C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788C9B1A" wp14:editId="4527255D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2B1232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Pr="0053613C">
        <w:t xml:space="preserve">Stellantis </w:t>
      </w:r>
      <w:r w:rsidR="00CF5473">
        <w:t>annonce le remboursement anticip</w:t>
      </w:r>
      <w:r w:rsidR="00CF5473" w:rsidRPr="00833225">
        <w:t>é</w:t>
      </w:r>
      <w:r w:rsidR="00CF5473">
        <w:t xml:space="preserve"> d</w:t>
      </w:r>
      <w:r w:rsidR="008E7105">
        <w:rPr>
          <w:rFonts w:ascii="___WRD_EMBED_SUB_44" w:hAnsi="___WRD_EMBED_SUB_44" w:cs="___WRD_EMBED_SUB_44"/>
        </w:rPr>
        <w:t>’</w:t>
      </w:r>
      <w:r w:rsidR="00CF5473">
        <w:t>une ligne de cr</w:t>
      </w:r>
      <w:r w:rsidR="00CF5473" w:rsidRPr="00833225">
        <w:t>é</w:t>
      </w:r>
      <w:r w:rsidR="00CF5473">
        <w:t>dit de 6,3 milliards d</w:t>
      </w:r>
      <w:r w:rsidR="008E7105">
        <w:t>’</w:t>
      </w:r>
      <w:r w:rsidR="00CF5473">
        <w:t>euros aupr</w:t>
      </w:r>
      <w:r w:rsidR="00CF5473" w:rsidRPr="00833225">
        <w:t>è</w:t>
      </w:r>
      <w:r w:rsidR="00CF5473">
        <w:t>s d</w:t>
      </w:r>
      <w:r w:rsidR="008E7105">
        <w:rPr>
          <w:rFonts w:ascii="___WRD_EMBED_SUB_44" w:hAnsi="___WRD_EMBED_SUB_44" w:cs="___WRD_EMBED_SUB_44"/>
        </w:rPr>
        <w:t>’</w:t>
      </w:r>
      <w:r w:rsidR="00CF5473">
        <w:t>Intesa Sanpaolo</w:t>
      </w:r>
    </w:p>
    <w:p w14:paraId="580A655D" w14:textId="3BF5D3EF" w:rsidR="00CF5473" w:rsidRDefault="009D70F2" w:rsidP="00CF5473">
      <w:pPr>
        <w:pStyle w:val="SDatePlace"/>
        <w:spacing w:after="0"/>
        <w:jc w:val="both"/>
      </w:pPr>
      <w:r>
        <w:t>AMSTERDAM, 2</w:t>
      </w:r>
      <w:r w:rsidR="00CF5CED">
        <w:t>8</w:t>
      </w:r>
      <w:r w:rsidR="000F2FE8" w:rsidRPr="0053613C">
        <w:t xml:space="preserve"> janvier 2022 - </w:t>
      </w:r>
      <w:hyperlink r:id="rId7" w:history="1">
        <w:r w:rsidR="000F2FE8" w:rsidRPr="003F5AA0">
          <w:rPr>
            <w:rStyle w:val="Hyperlink"/>
          </w:rPr>
          <w:t xml:space="preserve">Stellantis </w:t>
        </w:r>
        <w:r w:rsidR="00CE4C51" w:rsidRPr="003F5AA0">
          <w:rPr>
            <w:rStyle w:val="Hyperlink"/>
          </w:rPr>
          <w:t>N.V.</w:t>
        </w:r>
      </w:hyperlink>
      <w:r w:rsidR="00CE4C51">
        <w:t xml:space="preserve"> </w:t>
      </w:r>
      <w:r w:rsidR="00CF5473">
        <w:t>a annoncé aujourd</w:t>
      </w:r>
      <w:r w:rsidR="008E7105">
        <w:t>’</w:t>
      </w:r>
      <w:r w:rsidR="00CF5473">
        <w:t>hui le remboursement par FCA Italy S.p.A., sa filiale à 100 %, ainsi que par ses autres filiales italiennes, de la ligne de crédit de 6,3 milliards d</w:t>
      </w:r>
      <w:r w:rsidR="008E7105">
        <w:t>’</w:t>
      </w:r>
      <w:r w:rsidR="00CF5473">
        <w:t xml:space="preserve">euros obtenue auprès de la banque Intesa Sanpaolo. </w:t>
      </w:r>
    </w:p>
    <w:p w14:paraId="1B6D1201" w14:textId="77777777" w:rsidR="00CF5473" w:rsidRDefault="00CF5473" w:rsidP="00CF5473">
      <w:pPr>
        <w:pStyle w:val="SDatePlace"/>
        <w:spacing w:after="0"/>
        <w:jc w:val="both"/>
      </w:pPr>
    </w:p>
    <w:p w14:paraId="220112D8" w14:textId="2CB28C95" w:rsidR="00DB3C6C" w:rsidRDefault="00DB3C6C" w:rsidP="00DB3C6C">
      <w:pPr>
        <w:rPr>
          <w:sz w:val="22"/>
        </w:rPr>
      </w:pPr>
      <w:r>
        <w:t>La ligne de crédit, conclue en juin 2020, a été structurée de manière à soutenir le redémarrage et la transformation du secteur automobile italien après l</w:t>
      </w:r>
      <w:r w:rsidR="008E7105">
        <w:t>’</w:t>
      </w:r>
      <w:r>
        <w:t>épidémie de COVID-19 en fournissant des liquidités aux activités du groupe en Italie et à ses fournisseurs italiens. Elle a joué un rôle déterminant dans le redémarrage de la production industrielle et a assuré la continuité des projets d</w:t>
      </w:r>
      <w:r w:rsidR="008E7105">
        <w:t>’</w:t>
      </w:r>
      <w:r>
        <w:t xml:space="preserve">investissement clés visant à assurer un </w:t>
      </w:r>
      <w:bookmarkStart w:id="0" w:name="_GoBack"/>
      <w:bookmarkEnd w:id="0"/>
      <w:r>
        <w:t>avenir durable au secteur automobile en Italie.</w:t>
      </w:r>
      <w:r w:rsidR="00F67E17" w:rsidRPr="00F67E17">
        <w:t xml:space="preserve"> Stellantis est désormais en </w:t>
      </w:r>
      <w:r w:rsidR="00F67E17">
        <w:t>mesure de rembourser la ligne de crédit</w:t>
      </w:r>
      <w:r w:rsidR="00F67E17" w:rsidRPr="00F67E17">
        <w:t xml:space="preserve"> avant sa date d</w:t>
      </w:r>
      <w:r w:rsidR="008E7105">
        <w:t>’</w:t>
      </w:r>
      <w:r w:rsidR="00F67E17" w:rsidRPr="00F67E17">
        <w:t>échéance initiale de mars 2023 tout en poursuivant ses projets d</w:t>
      </w:r>
      <w:r w:rsidR="008E7105">
        <w:t>’</w:t>
      </w:r>
      <w:r w:rsidR="00F67E17" w:rsidRPr="00F67E17">
        <w:t>investissement.</w:t>
      </w:r>
    </w:p>
    <w:p w14:paraId="1A217587" w14:textId="0E8A6FD9" w:rsidR="00253AD7" w:rsidRPr="0053613C" w:rsidRDefault="00CF5473" w:rsidP="00CF5473">
      <w:pPr>
        <w:pStyle w:val="SDatePlace"/>
        <w:spacing w:after="0"/>
        <w:jc w:val="both"/>
      </w:pPr>
      <w:r>
        <w:t>Cette ligne de crédit était garantie à 80 % par la SACE, l</w:t>
      </w:r>
      <w:r w:rsidR="008E7105">
        <w:t>’</w:t>
      </w:r>
      <w:r>
        <w:t>agence italienne de crédit à l</w:t>
      </w:r>
      <w:r w:rsidR="008E7105">
        <w:t>’</w:t>
      </w:r>
      <w:r>
        <w:t>exportation, dans le cadre du décret liquidité du gouvernement italien (« Decreto Liquidità »), sous la supervision du ministère de l</w:t>
      </w:r>
      <w:r w:rsidR="008E7105">
        <w:t>’</w:t>
      </w:r>
      <w:r>
        <w:t>Économie et des Finances (MEF) et du ministère du Développement économique (MISE).</w:t>
      </w:r>
    </w:p>
    <w:p w14:paraId="10A67B10" w14:textId="5A8C95E0" w:rsidR="00BE51F2" w:rsidRDefault="00BE51F2">
      <w:pPr>
        <w:spacing w:after="0"/>
        <w:jc w:val="left"/>
      </w:pPr>
    </w:p>
    <w:p w14:paraId="5E5E8A57" w14:textId="5AEEC3D7" w:rsidR="00057EF5" w:rsidRDefault="00057EF5">
      <w:pPr>
        <w:spacing w:after="0"/>
        <w:jc w:val="left"/>
      </w:pPr>
    </w:p>
    <w:p w14:paraId="14DBEA12" w14:textId="77777777" w:rsidR="00057EF5" w:rsidRDefault="00057EF5">
      <w:pPr>
        <w:spacing w:after="0"/>
        <w:jc w:val="left"/>
      </w:pPr>
    </w:p>
    <w:p w14:paraId="5DCBBF12" w14:textId="77777777" w:rsidR="00B96799" w:rsidRPr="0053613C" w:rsidRDefault="00EB0132" w:rsidP="005954F3">
      <w:pPr>
        <w:pStyle w:val="SDatePlace"/>
        <w:jc w:val="both"/>
        <w:rPr>
          <w:b/>
          <w:color w:val="243782" w:themeColor="accent1"/>
          <w:sz w:val="22"/>
        </w:rPr>
      </w:pPr>
      <w:r w:rsidRPr="00EB0132">
        <w:rPr>
          <w:b/>
          <w:color w:val="243782" w:themeColor="accent1"/>
          <w:sz w:val="22"/>
        </w:rPr>
        <w:t>À propos de Stellantis</w:t>
      </w:r>
    </w:p>
    <w:p w14:paraId="6C6E0076" w14:textId="0FD3F859" w:rsidR="007819D6" w:rsidRDefault="00EB0132" w:rsidP="00240434">
      <w:pPr>
        <w:rPr>
          <w:rStyle w:val="Hyperlink"/>
          <w:i/>
          <w:sz w:val="22"/>
          <w:szCs w:val="24"/>
        </w:rPr>
      </w:pPr>
      <w:r w:rsidRPr="00EB0132">
        <w:rPr>
          <w:i/>
          <w:color w:val="222222"/>
          <w:sz w:val="22"/>
          <w:szCs w:val="24"/>
        </w:rPr>
        <w:t>Stellantis N.V. (NYSE / MTA / Euronext Paris : STLA) fait partie des principaux constructeurs automobiles et fournisseurs de services de mobilité internationaux. Abarth, Alfa Romeo, Chrysler, Citroën, Dodge, DS Automobiles, Fiat, Jeep®, Lancia, Maserati, Opel, Peugeot, Ram, Vauxhall, Free2move et Leasys : emblématiques et chargées d</w:t>
      </w:r>
      <w:r w:rsidR="008E7105">
        <w:rPr>
          <w:i/>
          <w:color w:val="222222"/>
          <w:sz w:val="22"/>
          <w:szCs w:val="24"/>
        </w:rPr>
        <w:t>’</w:t>
      </w:r>
      <w:r w:rsidRPr="00EB0132">
        <w:rPr>
          <w:i/>
          <w:color w:val="222222"/>
          <w:sz w:val="22"/>
          <w:szCs w:val="24"/>
        </w:rPr>
        <w:t xml:space="preserve">histoire, nos marques insufflent la passion des visionnaires qui les ont fondées et celle de nos clients actuels au cœur de leurs produits et services avant-gardistes. Forts de notre diversité, </w:t>
      </w:r>
      <w:r w:rsidRPr="00EB0132">
        <w:rPr>
          <w:i/>
          <w:color w:val="222222"/>
          <w:sz w:val="22"/>
          <w:szCs w:val="24"/>
        </w:rPr>
        <w:lastRenderedPageBreak/>
        <w:t>nous façonnons la mobilité de demain. Notre objectif : devenir la plus grande tech company de mobilité durable, en termes de qualité et non de taille, tout en créant encore plus de valeur pour l</w:t>
      </w:r>
      <w:r w:rsidR="008E7105">
        <w:rPr>
          <w:i/>
          <w:color w:val="222222"/>
          <w:sz w:val="22"/>
          <w:szCs w:val="24"/>
        </w:rPr>
        <w:t>’</w:t>
      </w:r>
      <w:r w:rsidRPr="00EB0132">
        <w:rPr>
          <w:i/>
          <w:color w:val="222222"/>
          <w:sz w:val="22"/>
          <w:szCs w:val="24"/>
        </w:rPr>
        <w:t xml:space="preserve">ensemble de nos partenaires et des communautés au sein desquelles nous opérons. Pour en savoir plus, rendez-vous sur </w:t>
      </w:r>
      <w:hyperlink r:id="rId8" w:history="1">
        <w:r w:rsidRPr="00240434">
          <w:rPr>
            <w:rStyle w:val="Hyperlink"/>
            <w:i/>
            <w:sz w:val="22"/>
            <w:szCs w:val="24"/>
          </w:rPr>
          <w:t>www.stellantis.com/fr</w:t>
        </w:r>
      </w:hyperlink>
    </w:p>
    <w:p w14:paraId="0D48D4C4" w14:textId="77777777" w:rsidR="00BE51F2" w:rsidRPr="0053613C" w:rsidRDefault="00BE51F2" w:rsidP="00240434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53613C" w14:paraId="56BA4547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5314906C" w14:textId="77777777" w:rsidR="001E6C1E" w:rsidRPr="0053613C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3613C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9D13070" wp14:editId="393BEF63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56F56C41" w14:textId="77777777" w:rsidR="001E6C1E" w:rsidRPr="0053613C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3613C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2046DE78" w14:textId="77777777" w:rsidR="001E6C1E" w:rsidRPr="0053613C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3613C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B5B735E" wp14:editId="0E65C527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59D167CD" w14:textId="77777777" w:rsidR="001E6C1E" w:rsidRPr="0053613C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3613C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518804E1" w14:textId="77777777" w:rsidR="001E6C1E" w:rsidRPr="0053613C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3613C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1492123" wp14:editId="1D892FDB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6A300AAC" w14:textId="77777777" w:rsidR="001E6C1E" w:rsidRPr="0053613C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3613C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501647A5" w14:textId="77777777" w:rsidR="001E6C1E" w:rsidRPr="0053613C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3613C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32FDAD04" wp14:editId="48E33EBB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01C752A5" w14:textId="77777777" w:rsidR="001E6C1E" w:rsidRPr="0053613C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3613C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E16041" w14:paraId="6481848D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43009D9F" w14:textId="77777777" w:rsidR="001E6C1E" w:rsidRPr="0053613C" w:rsidRDefault="001E6C1E" w:rsidP="00F903F7">
            <w:r w:rsidRPr="0053613C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0EA6253" wp14:editId="4ACAF48D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09ABABAA" w14:textId="4814AA7D" w:rsidR="001E6C1E" w:rsidRPr="0053613C" w:rsidRDefault="001E6C1E" w:rsidP="007819D6">
            <w:pPr>
              <w:pStyle w:val="SContact-Title"/>
            </w:pPr>
            <w:bookmarkStart w:id="1" w:name="_Hlk61784883"/>
            <w:r w:rsidRPr="0053613C">
              <w:t>Pour plus d</w:t>
            </w:r>
            <w:r w:rsidR="008E7105">
              <w:t>’</w:t>
            </w:r>
            <w:r w:rsidRPr="0053613C">
              <w:t>informations, merci de contacter :</w:t>
            </w:r>
          </w:p>
          <w:p w14:paraId="0C1B0890" w14:textId="01B41A70" w:rsidR="004C1AAD" w:rsidRDefault="004C1AAD" w:rsidP="004C1AAD">
            <w:pPr>
              <w:pStyle w:val="SContact-Title"/>
            </w:pPr>
            <w:r>
              <w:t xml:space="preserve">Andrea PALLARD </w:t>
            </w:r>
            <w:r w:rsidRPr="00C464D7">
              <w:rPr>
                <w:rFonts w:asciiTheme="minorHAnsi" w:hAnsiTheme="minorHAnsi"/>
              </w:rPr>
              <w:t>+39 335 873 7298 –</w:t>
            </w:r>
            <w:r>
              <w:rPr>
                <w:rFonts w:asciiTheme="minorHAnsi" w:hAnsiTheme="minorHAnsi"/>
              </w:rPr>
              <w:t xml:space="preserve"> </w:t>
            </w:r>
            <w:r w:rsidRPr="00C464D7">
              <w:rPr>
                <w:rFonts w:asciiTheme="minorHAnsi" w:hAnsiTheme="minorHAnsi"/>
              </w:rPr>
              <w:t>andrea.pallard@stellantis.com</w:t>
            </w:r>
          </w:p>
          <w:p w14:paraId="04243E41" w14:textId="532FDD87" w:rsidR="004C1AAD" w:rsidRDefault="004C1AAD" w:rsidP="004C1AAD">
            <w:pPr>
              <w:pStyle w:val="SFooter-Emailwebsite"/>
            </w:pPr>
            <w:r w:rsidRPr="00CF5CED">
              <w:rPr>
                <w:rFonts w:asciiTheme="majorHAnsi" w:hAnsiTheme="majorHAnsi"/>
              </w:rPr>
              <w:t>Claudio D</w:t>
            </w:r>
            <w:r w:rsidR="008E7105">
              <w:rPr>
                <w:rFonts w:asciiTheme="majorHAnsi" w:hAnsiTheme="majorHAnsi"/>
              </w:rPr>
              <w:t>’</w:t>
            </w:r>
            <w:r w:rsidRPr="00CF5CED">
              <w:rPr>
                <w:rFonts w:asciiTheme="majorHAnsi" w:hAnsiTheme="majorHAnsi"/>
              </w:rPr>
              <w:t>AMICO</w:t>
            </w:r>
            <w:r>
              <w:t xml:space="preserve"> </w:t>
            </w:r>
            <w:r w:rsidRPr="00C464D7">
              <w:t>+39 334 710 7828</w:t>
            </w:r>
            <w:r w:rsidRPr="004048F6">
              <w:t xml:space="preserve"> – </w:t>
            </w:r>
            <w:r>
              <w:t>claudio.damico</w:t>
            </w:r>
            <w:r w:rsidRPr="004048F6">
              <w:t>@stellantis.com</w:t>
            </w:r>
            <w:r>
              <w:t xml:space="preserve"> </w:t>
            </w:r>
          </w:p>
          <w:p w14:paraId="2CB56295" w14:textId="77777777" w:rsidR="00CF5CED" w:rsidRDefault="00CF5CED" w:rsidP="00CF5CED">
            <w:pPr>
              <w:pStyle w:val="SFooter-Emailwebsite"/>
            </w:pPr>
          </w:p>
          <w:p w14:paraId="04985F02" w14:textId="36D3BB74" w:rsidR="001E6C1E" w:rsidRPr="00CF5473" w:rsidRDefault="00A828A2" w:rsidP="00F67E17">
            <w:pPr>
              <w:pStyle w:val="SFooter-Emailwebsite"/>
            </w:pPr>
            <w:hyperlink r:id="rId13" w:history="1">
              <w:r w:rsidR="00FF2167" w:rsidRPr="00CF5473">
                <w:rPr>
                  <w:rStyle w:val="Hyperlink"/>
                </w:rPr>
                <w:t>communications@stellantis.com</w:t>
              </w:r>
            </w:hyperlink>
            <w:r w:rsidR="00FF2167" w:rsidRPr="00CF5473">
              <w:br/>
            </w:r>
            <w:hyperlink r:id="rId14" w:history="1">
              <w:r w:rsidR="00F67E17" w:rsidRPr="00F67E17">
                <w:rPr>
                  <w:rStyle w:val="Hyperlink"/>
                </w:rPr>
                <w:t>www.stellantis.com/fr</w:t>
              </w:r>
            </w:hyperlink>
            <w:bookmarkEnd w:id="1"/>
          </w:p>
        </w:tc>
      </w:tr>
    </w:tbl>
    <w:p w14:paraId="57C6F13C" w14:textId="113E0D8B" w:rsidR="00D814DF" w:rsidRDefault="00D814DF">
      <w:pPr>
        <w:spacing w:after="0"/>
        <w:jc w:val="left"/>
      </w:pPr>
      <w:r w:rsidRPr="00CF5473">
        <w:br w:type="page"/>
      </w:r>
    </w:p>
    <w:p w14:paraId="195E56F8" w14:textId="77777777" w:rsidR="004C1AAD" w:rsidRPr="0053613C" w:rsidRDefault="004C1AAD" w:rsidP="004C1AAD">
      <w:pPr>
        <w:pStyle w:val="STITLE"/>
      </w:pPr>
      <w:r w:rsidRPr="0053613C">
        <w:lastRenderedPageBreak/>
        <w:t>Déclarations prospectiveS</w:t>
      </w:r>
    </w:p>
    <w:p w14:paraId="533B3425" w14:textId="084C1FCD" w:rsidR="004C1AAD" w:rsidRPr="0053613C" w:rsidRDefault="004C1AAD" w:rsidP="004C1AAD">
      <w:pPr>
        <w:spacing w:before="240"/>
        <w:rPr>
          <w:i/>
          <w:sz w:val="18"/>
          <w:szCs w:val="18"/>
        </w:rPr>
      </w:pPr>
      <w:r w:rsidRPr="0053613C">
        <w:rPr>
          <w:i/>
          <w:sz w:val="18"/>
          <w:szCs w:val="18"/>
        </w:rPr>
        <w:t>Cette communication contient des déclarations prospectives. En particulier, les déclarations concernant les événements futurs et les résultats opérationnels anticipés, les stratégies commerciales et produits, les bénéfices escomptés suite à la collaboration proposée, les futurs résultats opérationnels et financiers, les dates prévues pour les lancements produits et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autres aspects attendus de nos opérations ou de nos résultats opérationnels sont des déclarations prospectives. Ces déclarations prospectives peuvent souvent être identifiées par les mots « peut », « pourra », « s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attendre à », « pourrait », « devrait », « prévoir », « estimer », « anticiper », « croire », « rester », « en mesure de », « concevoir », « cibler », « objectif », « prévisions », « projections », « perspectives », « prospects », « planifier », ainsi que par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autres termes similaires. Ces déclarations prospectives ne constituent pas des garanties de performances futures. Elles reposent au contraire sur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état actuel des connaissances des parties ainsi que sur ses projections et attentes futures vis-à-vis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événements à venir, et de par leur nature sont soumises à des incertitudes et risques inhérents. Elles concernent des événements et dépendent de circonstances susceptibles ou non de survenir ou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exister à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avenir, et en tant que telles, il est recommandé de ne pas leur accorder de confiance excessive.</w:t>
      </w:r>
    </w:p>
    <w:p w14:paraId="214C574B" w14:textId="6A80508D" w:rsidR="004C1AAD" w:rsidRPr="0053613C" w:rsidRDefault="004C1AAD" w:rsidP="004C1AAD">
      <w:pPr>
        <w:spacing w:before="240"/>
        <w:rPr>
          <w:i/>
          <w:sz w:val="18"/>
          <w:szCs w:val="18"/>
        </w:rPr>
      </w:pPr>
      <w:r w:rsidRPr="0053613C">
        <w:rPr>
          <w:i/>
          <w:sz w:val="18"/>
          <w:szCs w:val="18"/>
        </w:rPr>
        <w:t>Plusieurs facteurs pourraient entraîner un gros écart entre les résultats réels et ceux anticipés dans la présente, et notamment : les incertitudes relatives à la réalisation des bénéfices de la collaboration proposée évoquée dans le présent document ainsi que les délais s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y rapportant ; le respect des conditions préalables à la finalisation des transactions proposées dans les délais impartis; le risque que les activités des parties soient impactées défavorablement pendant la durée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exécution de la collaboration proposée ; la capacité de Stellantis à intégrer avec succès les offres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Amazon et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AWS ; la perturbation des activités; la capacité à retenir et embaucher des collaborateurs essentiels et à maintenir les relations avec les clients, fournisseurs et autres prestataires en affaires avec les Sociétés ;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impact de la pandémie de COVID-19, la capacité de Stellantis à réussir le lancement de nouveaux produits et à maintenir le volume de véhicules expédiés ; des changements au niveau des marchés financiers internationaux, de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environnement économique global et de la demande en produits automobiles qui varie en fonction de la conjoncture ; des changements dans les conditions économiques et politiques locales, des changements dans la politique commerciale et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imposition de tarifs mondiaux ou régionaux ou ciblant spécifiquement le secteur automobile,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entrée en vigueur de réformes fiscales ou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autres changements impactant les lois et réglementations fiscales ; la capacité de Stellantis à développer certaines de ses marques à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échelle mondiale ; sa capacité à offrir des produits attractifs et innovants ; sa capacité à développer, fabriquer et vendre des véhicules équipés de technologies de pointe comme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électrification avancée, la connectivité ou la conduite autonome ; différents types de réclamations, poursuites, enquêtes gouvernementales et autres événements imprévus, y compris des plaintes concernant la fiabilité du produit et sa garantie, et des plaintes, enquêtes et poursuites liées à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environnement ; des dépenses opérationnelles importantes en lien avec le respect des règlementations environnementales, sanitaires et de sécurité ; la vive concurrence marquant le secteur automobile, susceptible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augmenter en raison de la fusion ;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exposition à des insuffisances dans le financement des régimes de prévoyance définis par Stellantis ; la capacité de fournir ou faciliter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accès à des financements adéquats pour les concessionnaires et les clients particuliers, et les risques associés à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implantation et aux opérations des établissements financiers ; la capacité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obtention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un financement pour mettre en œuvre les plans de développement de Stellantis et améliorer ses activités, situation financière et résultats opérationnels ; un dysfonctionnement, une perturbation ou une violation de sécurité significative compromettant les systèmes informatiques ou les systèmes de contrôle électronique équipant les véhicules de Stellantis ; la capacité de Stellantis à atteindre les bénéfices escomptés suite aux accords de joint-venture ; les perturbations découlant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une instabilité politique, sociale et économique ; les risques associés aux relations de Stellantis avec ses employés, concessionnaires et fournisseurs ; une augmentation des coûts, une rupture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approvisionnement ou une pénurie de matières premières, pièces, composants et systèmes utilisés dans les véhicules de Stellantis ; le développement de relations avec la main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œuvre et les partenaires sociaux, et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évolution des lois applicables en matière de travail ; la fluctuation des taux de change, la modification des taux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intérêt, les risques de crédit et autres risques liés au marché ; une instabilité politique ou sociale ; un séisme ou une autre catastrophe naturelle, et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 xml:space="preserve">autres risques et incertitudes. </w:t>
      </w:r>
    </w:p>
    <w:p w14:paraId="08BDA8A6" w14:textId="3FBFF296" w:rsidR="004C1AAD" w:rsidRPr="0053613C" w:rsidRDefault="004C1AAD" w:rsidP="004C1AAD">
      <w:pPr>
        <w:spacing w:before="240"/>
        <w:rPr>
          <w:rFonts w:eastAsia="Encode Sans"/>
          <w:i/>
          <w:sz w:val="18"/>
          <w:szCs w:val="18"/>
        </w:rPr>
      </w:pPr>
      <w:r w:rsidRPr="0053613C">
        <w:rPr>
          <w:i/>
          <w:sz w:val="18"/>
          <w:szCs w:val="18"/>
        </w:rPr>
        <w:lastRenderedPageBreak/>
        <w:t>Toutes les déclarations prospectives contenues dans cette communication sont valables à la date des présentes, et Stellantis et Amazon ne prennent aucun engagement de mettre à jour ou de réviser publiquement lesdites déclarations prospectives. De plus amples informations concernant les sociétés et leurs activités, y compris les facteurs susceptibles d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impacter de manière significative leurs résultats financiers, sont incluses dans leurs rapports et dossiers respectifs déposés auprès de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U.S. Securities and Exchange Commission et, concernant Stellantis, auprès de l</w:t>
      </w:r>
      <w:r w:rsidR="008E7105">
        <w:rPr>
          <w:i/>
          <w:sz w:val="18"/>
          <w:szCs w:val="18"/>
        </w:rPr>
        <w:t>’</w:t>
      </w:r>
      <w:r w:rsidRPr="0053613C">
        <w:rPr>
          <w:i/>
          <w:sz w:val="18"/>
          <w:szCs w:val="18"/>
        </w:rPr>
        <w:t>AFM.</w:t>
      </w:r>
    </w:p>
    <w:p w14:paraId="32901724" w14:textId="00B3790E" w:rsidR="004C1AAD" w:rsidRPr="00CF5473" w:rsidRDefault="004C1AAD">
      <w:pPr>
        <w:spacing w:after="0"/>
        <w:jc w:val="left"/>
      </w:pPr>
    </w:p>
    <w:p w14:paraId="7E255075" w14:textId="7259E8B5" w:rsidR="000F2FE8" w:rsidRPr="0053613C" w:rsidRDefault="000F2FE8" w:rsidP="00F67E17">
      <w:pPr>
        <w:spacing w:before="240"/>
        <w:rPr>
          <w:rFonts w:eastAsia="Encode Sans"/>
          <w:i/>
          <w:sz w:val="18"/>
          <w:szCs w:val="18"/>
        </w:rPr>
      </w:pPr>
    </w:p>
    <w:sectPr w:rsidR="000F2FE8" w:rsidRPr="0053613C" w:rsidSect="005D2EA9">
      <w:footerReference w:type="default" r:id="rId15"/>
      <w:headerReference w:type="first" r:id="rId16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7964" w14:textId="77777777" w:rsidR="00C84264" w:rsidRDefault="00C84264" w:rsidP="008D3E4C">
      <w:r>
        <w:separator/>
      </w:r>
    </w:p>
  </w:endnote>
  <w:endnote w:type="continuationSeparator" w:id="0">
    <w:p w14:paraId="28381B12" w14:textId="77777777" w:rsidR="00C84264" w:rsidRDefault="00C84264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180D9838-F58C-4E2A-A60F-EDCE27D29723}"/>
    <w:embedBold r:id="rId2" w:fontKey="{EF081DFF-3C86-460C-9E2F-CF5D4649268A}"/>
    <w:embedItalic r:id="rId3" w:fontKey="{41C7F822-3664-46F4-9D89-7595C4C092FB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AD742565-42DC-4773-AA43-85D6C65CCA9E}"/>
    <w:embedItalic r:id="rId5" w:fontKey="{6F81EBC2-0897-4273-A80B-9398F2BE404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44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DCA2" w14:textId="741229C3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A828A2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6879A" w14:textId="77777777" w:rsidR="00C84264" w:rsidRDefault="00C84264" w:rsidP="008D3E4C">
      <w:r>
        <w:separator/>
      </w:r>
    </w:p>
  </w:footnote>
  <w:footnote w:type="continuationSeparator" w:id="0">
    <w:p w14:paraId="0BE18B3A" w14:textId="77777777" w:rsidR="00C84264" w:rsidRDefault="00C84264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8475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47ACA31" wp14:editId="06973BCF">
              <wp:simplePos x="0" y="0"/>
              <wp:positionH relativeFrom="page">
                <wp:posOffset>448945</wp:posOffset>
              </wp:positionH>
              <wp:positionV relativeFrom="page">
                <wp:posOffset>-20955</wp:posOffset>
              </wp:positionV>
              <wp:extent cx="269875" cy="2912110"/>
              <wp:effectExtent l="0" t="0" r="0" b="254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912110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A1A44" w14:textId="77777777" w:rsidR="00A33E8D" w:rsidRPr="00150AD4" w:rsidRDefault="00CE4C51" w:rsidP="008D3E4C">
                            <w:pPr>
                              <w:pStyle w:val="SPRESSRELEASESTRIP"/>
                            </w:pPr>
                            <w:r>
                              <w:t xml:space="preserve">COMMUNIQUÉ </w:t>
                            </w:r>
                            <w:r w:rsidR="00A33E8D">
                              <w:t>DE PRESSE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7ACA31" id="Groupe 29" o:spid="_x0000_s1026" style="position:absolute;margin-left:35.35pt;margin-top:-1.65pt;width:21.25pt;height:229.3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4DFA1A44" w14:textId="77777777" w:rsidR="00A33E8D" w:rsidRPr="00150AD4" w:rsidRDefault="00CE4C51" w:rsidP="008D3E4C">
                      <w:pPr>
                        <w:pStyle w:val="SPRESSRELEASESTRIP"/>
                      </w:pPr>
                      <w:r>
                        <w:t xml:space="preserve">COMMUNIQUÉ </w:t>
                      </w:r>
                      <w:r w:rsidR="00A33E8D">
                        <w:t>DE PRESSE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376A9147" wp14:editId="0E542AC9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57EF5"/>
    <w:rsid w:val="00087566"/>
    <w:rsid w:val="000A31E8"/>
    <w:rsid w:val="000D0EAF"/>
    <w:rsid w:val="000E46D1"/>
    <w:rsid w:val="000F2FE8"/>
    <w:rsid w:val="00123841"/>
    <w:rsid w:val="00126E5A"/>
    <w:rsid w:val="00140A24"/>
    <w:rsid w:val="00150AD4"/>
    <w:rsid w:val="0015732F"/>
    <w:rsid w:val="00180A27"/>
    <w:rsid w:val="00195CBD"/>
    <w:rsid w:val="001B0085"/>
    <w:rsid w:val="001B591C"/>
    <w:rsid w:val="001C0FF2"/>
    <w:rsid w:val="001D168B"/>
    <w:rsid w:val="001E5F48"/>
    <w:rsid w:val="001E6C1E"/>
    <w:rsid w:val="001F4703"/>
    <w:rsid w:val="002005E5"/>
    <w:rsid w:val="00210AB3"/>
    <w:rsid w:val="00214443"/>
    <w:rsid w:val="0022588D"/>
    <w:rsid w:val="0023542B"/>
    <w:rsid w:val="00240434"/>
    <w:rsid w:val="00242220"/>
    <w:rsid w:val="00253AD7"/>
    <w:rsid w:val="00257500"/>
    <w:rsid w:val="00262921"/>
    <w:rsid w:val="00271869"/>
    <w:rsid w:val="002836DD"/>
    <w:rsid w:val="00293E0C"/>
    <w:rsid w:val="002C508D"/>
    <w:rsid w:val="002F705B"/>
    <w:rsid w:val="00322BCE"/>
    <w:rsid w:val="003244DD"/>
    <w:rsid w:val="00330EE1"/>
    <w:rsid w:val="00352C28"/>
    <w:rsid w:val="00361849"/>
    <w:rsid w:val="0036683D"/>
    <w:rsid w:val="003864AD"/>
    <w:rsid w:val="003E68CC"/>
    <w:rsid w:val="003E727D"/>
    <w:rsid w:val="003F5AA0"/>
    <w:rsid w:val="004022B4"/>
    <w:rsid w:val="00425677"/>
    <w:rsid w:val="00427ABE"/>
    <w:rsid w:val="00433EDD"/>
    <w:rsid w:val="00435A04"/>
    <w:rsid w:val="0044219E"/>
    <w:rsid w:val="004502CD"/>
    <w:rsid w:val="0045216F"/>
    <w:rsid w:val="004532D9"/>
    <w:rsid w:val="00464B4C"/>
    <w:rsid w:val="00467291"/>
    <w:rsid w:val="004771D8"/>
    <w:rsid w:val="00484232"/>
    <w:rsid w:val="004A024B"/>
    <w:rsid w:val="004C1AAD"/>
    <w:rsid w:val="004D5B96"/>
    <w:rsid w:val="004D61EA"/>
    <w:rsid w:val="004F16CC"/>
    <w:rsid w:val="004F7D4E"/>
    <w:rsid w:val="00501A19"/>
    <w:rsid w:val="00515169"/>
    <w:rsid w:val="0053613C"/>
    <w:rsid w:val="00544345"/>
    <w:rsid w:val="00552D08"/>
    <w:rsid w:val="0055479C"/>
    <w:rsid w:val="00562D3D"/>
    <w:rsid w:val="0059213B"/>
    <w:rsid w:val="005954F3"/>
    <w:rsid w:val="005B024F"/>
    <w:rsid w:val="005C775F"/>
    <w:rsid w:val="005D1D6D"/>
    <w:rsid w:val="005D2EA9"/>
    <w:rsid w:val="005F2120"/>
    <w:rsid w:val="0061682B"/>
    <w:rsid w:val="00646166"/>
    <w:rsid w:val="00655A10"/>
    <w:rsid w:val="00666278"/>
    <w:rsid w:val="00666A99"/>
    <w:rsid w:val="00682310"/>
    <w:rsid w:val="006A050A"/>
    <w:rsid w:val="006B5C7E"/>
    <w:rsid w:val="006C4135"/>
    <w:rsid w:val="006D0187"/>
    <w:rsid w:val="006E27BF"/>
    <w:rsid w:val="006F4F54"/>
    <w:rsid w:val="00700983"/>
    <w:rsid w:val="00725131"/>
    <w:rsid w:val="00753A05"/>
    <w:rsid w:val="0075449B"/>
    <w:rsid w:val="00775FE7"/>
    <w:rsid w:val="007819D6"/>
    <w:rsid w:val="007A46E2"/>
    <w:rsid w:val="007B6150"/>
    <w:rsid w:val="007E317D"/>
    <w:rsid w:val="0080313B"/>
    <w:rsid w:val="00805FAA"/>
    <w:rsid w:val="008124BD"/>
    <w:rsid w:val="00815B14"/>
    <w:rsid w:val="00833225"/>
    <w:rsid w:val="00844956"/>
    <w:rsid w:val="008545CD"/>
    <w:rsid w:val="0086416D"/>
    <w:rsid w:val="00877117"/>
    <w:rsid w:val="008B4CD5"/>
    <w:rsid w:val="008B718E"/>
    <w:rsid w:val="008C6A96"/>
    <w:rsid w:val="008D3E4C"/>
    <w:rsid w:val="008E7105"/>
    <w:rsid w:val="008F0F07"/>
    <w:rsid w:val="008F2A13"/>
    <w:rsid w:val="00925C7D"/>
    <w:rsid w:val="00956F85"/>
    <w:rsid w:val="00992BE1"/>
    <w:rsid w:val="009968C5"/>
    <w:rsid w:val="009A12F3"/>
    <w:rsid w:val="009A23AB"/>
    <w:rsid w:val="009A4350"/>
    <w:rsid w:val="009C33F1"/>
    <w:rsid w:val="009D180E"/>
    <w:rsid w:val="009D5F52"/>
    <w:rsid w:val="009D70F2"/>
    <w:rsid w:val="009D79F4"/>
    <w:rsid w:val="00A0245A"/>
    <w:rsid w:val="00A33E8D"/>
    <w:rsid w:val="00A42BA7"/>
    <w:rsid w:val="00A748DE"/>
    <w:rsid w:val="00A828A2"/>
    <w:rsid w:val="00A860DB"/>
    <w:rsid w:val="00A87390"/>
    <w:rsid w:val="00AE4D5E"/>
    <w:rsid w:val="00AF79B8"/>
    <w:rsid w:val="00B177DF"/>
    <w:rsid w:val="00B32F4C"/>
    <w:rsid w:val="00B64F18"/>
    <w:rsid w:val="00B92FB1"/>
    <w:rsid w:val="00B95F9B"/>
    <w:rsid w:val="00B96131"/>
    <w:rsid w:val="00B96799"/>
    <w:rsid w:val="00BA6D77"/>
    <w:rsid w:val="00BB20CF"/>
    <w:rsid w:val="00BC360A"/>
    <w:rsid w:val="00BE51F2"/>
    <w:rsid w:val="00C0321D"/>
    <w:rsid w:val="00C10E75"/>
    <w:rsid w:val="00C21B90"/>
    <w:rsid w:val="00C31F14"/>
    <w:rsid w:val="00C363C0"/>
    <w:rsid w:val="00C51B37"/>
    <w:rsid w:val="00C60A64"/>
    <w:rsid w:val="00C814CD"/>
    <w:rsid w:val="00C84264"/>
    <w:rsid w:val="00C97693"/>
    <w:rsid w:val="00CC235A"/>
    <w:rsid w:val="00CE4C51"/>
    <w:rsid w:val="00CF5473"/>
    <w:rsid w:val="00CF5CED"/>
    <w:rsid w:val="00D00F9C"/>
    <w:rsid w:val="00D0485C"/>
    <w:rsid w:val="00D239E7"/>
    <w:rsid w:val="00D265D9"/>
    <w:rsid w:val="00D43A60"/>
    <w:rsid w:val="00D5456A"/>
    <w:rsid w:val="00D54C2A"/>
    <w:rsid w:val="00D76779"/>
    <w:rsid w:val="00D814DF"/>
    <w:rsid w:val="00D82E59"/>
    <w:rsid w:val="00DA27E1"/>
    <w:rsid w:val="00DB3C6C"/>
    <w:rsid w:val="00DC18C2"/>
    <w:rsid w:val="00DE72B9"/>
    <w:rsid w:val="00DF5711"/>
    <w:rsid w:val="00E014CA"/>
    <w:rsid w:val="00E06510"/>
    <w:rsid w:val="00E0683E"/>
    <w:rsid w:val="00E16041"/>
    <w:rsid w:val="00E216B5"/>
    <w:rsid w:val="00E35DF9"/>
    <w:rsid w:val="00E45FDD"/>
    <w:rsid w:val="00E53F39"/>
    <w:rsid w:val="00E60450"/>
    <w:rsid w:val="00E73507"/>
    <w:rsid w:val="00E8163B"/>
    <w:rsid w:val="00E82EAD"/>
    <w:rsid w:val="00E90B5F"/>
    <w:rsid w:val="00E90D93"/>
    <w:rsid w:val="00E93724"/>
    <w:rsid w:val="00E953BE"/>
    <w:rsid w:val="00EB0132"/>
    <w:rsid w:val="00EB01EA"/>
    <w:rsid w:val="00EB5DF9"/>
    <w:rsid w:val="00EF166F"/>
    <w:rsid w:val="00EF16D8"/>
    <w:rsid w:val="00F21593"/>
    <w:rsid w:val="00F5284E"/>
    <w:rsid w:val="00F66CF5"/>
    <w:rsid w:val="00F67E17"/>
    <w:rsid w:val="00F7137E"/>
    <w:rsid w:val="00F7559B"/>
    <w:rsid w:val="00F90273"/>
    <w:rsid w:val="00F90CCA"/>
    <w:rsid w:val="00F92EBF"/>
    <w:rsid w:val="00FB0FC2"/>
    <w:rsid w:val="00FD6C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7EEACC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fr-FR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fr-FR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035310\AppData\Local\Microsoft\Windows\INetCache\Content.Outlook\J2VLJNE9\www.stellantis.com\fr" TargetMode="External"/><Relationship Id="rId13" Type="http://schemas.openxmlformats.org/officeDocument/2006/relationships/hyperlink" Target="mailto:communications@stellanti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ellantis.com/fr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s://www.stellantis.com/fr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3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5</cp:revision>
  <cp:lastPrinted>2021-12-06T22:23:00Z</cp:lastPrinted>
  <dcterms:created xsi:type="dcterms:W3CDTF">2022-01-28T09:17:00Z</dcterms:created>
  <dcterms:modified xsi:type="dcterms:W3CDTF">2022-01-28T09:53:00Z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2022-01-24T08:54:52Z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1a1964bc-9127-4474-8519-bd48dff1b8b4</vt:lpwstr>
  </property>
  <property fmtid="{D5CDD505-2E9C-101B-9397-08002B2CF9AE}" pid="8" name="MSIP_Label_2fd53d93-3f4c-4b90-b511-bd6bdbb4fba9_ContentBits">
    <vt:lpwstr>0</vt:lpwstr>
  </property>
</Properties>
</file>