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6A" w:rsidRPr="007C2999" w:rsidRDefault="0086416D" w:rsidP="001E6C1E">
      <w:pPr>
        <w:pStyle w:val="SSubjectBlock"/>
      </w:pPr>
      <w:r w:rsidRPr="007C2999"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3214DED0" wp14:editId="70E8C326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2B1232" id="Freeform 27" o:spid="_x0000_s1026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 w:rsidR="00334F8F">
        <w:t xml:space="preserve">Stellantis </w:t>
      </w:r>
      <w:r w:rsidR="005D6964" w:rsidRPr="005D6964">
        <w:t>annunci</w:t>
      </w:r>
      <w:bookmarkStart w:id="0" w:name="_GoBack"/>
      <w:bookmarkEnd w:id="0"/>
      <w:r w:rsidR="005D6964" w:rsidRPr="005D6964">
        <w:t>a il rimborso anticipato della linea di credito da 6,3 miliardi di euro con Intesa Sanpaolo</w:t>
      </w:r>
    </w:p>
    <w:p w:rsidR="005D6964" w:rsidRDefault="000F2FE8" w:rsidP="005D6964">
      <w:pPr>
        <w:pStyle w:val="SDatePlace"/>
        <w:spacing w:after="0"/>
        <w:jc w:val="both"/>
      </w:pPr>
      <w:r w:rsidRPr="007C2999">
        <w:t>AMSTERDAM</w:t>
      </w:r>
      <w:r w:rsidRPr="00466CCC">
        <w:t xml:space="preserve">, </w:t>
      </w:r>
      <w:r w:rsidR="00EE0F14">
        <w:rPr>
          <w:szCs w:val="24"/>
        </w:rPr>
        <w:t>28</w:t>
      </w:r>
      <w:r w:rsidRPr="00466CCC">
        <w:t xml:space="preserve"> gennaio</w:t>
      </w:r>
      <w:r w:rsidRPr="007C2999">
        <w:t xml:space="preserve"> 2022 - Oggi </w:t>
      </w:r>
      <w:hyperlink r:id="rId7" w:history="1">
        <w:r w:rsidRPr="005262D3">
          <w:rPr>
            <w:rStyle w:val="Hyperlink"/>
          </w:rPr>
          <w:t>Stellantis</w:t>
        </w:r>
        <w:r w:rsidR="005262D3" w:rsidRPr="005262D3">
          <w:rPr>
            <w:rStyle w:val="Hyperlink"/>
          </w:rPr>
          <w:t xml:space="preserve"> N.V.</w:t>
        </w:r>
      </w:hyperlink>
      <w:r w:rsidRPr="007C2999">
        <w:t xml:space="preserve"> ha</w:t>
      </w:r>
      <w:r w:rsidR="00334F8F">
        <w:t xml:space="preserve"> </w:t>
      </w:r>
      <w:r w:rsidR="005D6964">
        <w:t>annunciato che la controllata FCA Italy S.p.A. e altre società italiane del Gruppo hanno rimborsato la linea di credito da 6,3 miliardi aperta con Intesa Sanpaol</w:t>
      </w:r>
      <w:r w:rsidR="001B30A3">
        <w:t>o.</w:t>
      </w:r>
    </w:p>
    <w:p w:rsidR="005D6964" w:rsidRDefault="005D6964" w:rsidP="001B30A3">
      <w:pPr>
        <w:pStyle w:val="SDatePlace"/>
        <w:spacing w:after="0"/>
        <w:jc w:val="both"/>
      </w:pPr>
    </w:p>
    <w:p w:rsidR="004C5160" w:rsidRDefault="004C5160" w:rsidP="001B30A3">
      <w:pPr>
        <w:pStyle w:val="SDatePlace"/>
        <w:spacing w:after="0"/>
        <w:jc w:val="both"/>
      </w:pPr>
      <w:r w:rsidRPr="004C5160">
        <w:t>La linea di credito, stipulata a giugno 2020, è stata strutturata per supportare la ripartenza e la trasformazione del settore automobilistico italiano dopo l</w:t>
      </w:r>
      <w:r w:rsidR="00C8304C">
        <w:t>’</w:t>
      </w:r>
      <w:r w:rsidRPr="004C5160">
        <w:t xml:space="preserve">epidemia di COVID-19 fornendo liquidità alle attività della Società in Italia e ai suoi </w:t>
      </w:r>
      <w:r w:rsidR="00955569">
        <w:t>fornitori italiani. La linea</w:t>
      </w:r>
      <w:r w:rsidRPr="004C5160">
        <w:t xml:space="preserve"> è stata determinante per il riavvio della produzione industriale e ha fornito continuità a progetti di investimento chiave per fornire un futuro sostenibile al settore automobilistico in Italia.</w:t>
      </w:r>
      <w:r w:rsidR="001B30A3">
        <w:t xml:space="preserve"> Stellantis è ora in grado di rimborsare la linea in anticipo rispetto alla data di scadenza originaria di marzo 2023 continuando i suoi progetti di investimento.</w:t>
      </w:r>
    </w:p>
    <w:p w:rsidR="005D6964" w:rsidRDefault="005D6964" w:rsidP="005D6964">
      <w:pPr>
        <w:pStyle w:val="SDatePlace"/>
        <w:spacing w:after="0"/>
        <w:jc w:val="both"/>
      </w:pPr>
    </w:p>
    <w:p w:rsidR="00253AD7" w:rsidRPr="007C2999" w:rsidRDefault="005D6964" w:rsidP="005D6964">
      <w:pPr>
        <w:pStyle w:val="SDatePlace"/>
        <w:spacing w:after="0"/>
        <w:jc w:val="both"/>
      </w:pPr>
      <w:r>
        <w:t>La linea ha beneficiato della garanzia per l</w:t>
      </w:r>
      <w:r w:rsidR="00C8304C">
        <w:t>’</w:t>
      </w:r>
      <w:r>
        <w:t>80% di SACE, l</w:t>
      </w:r>
      <w:r w:rsidR="00C8304C">
        <w:t>’</w:t>
      </w:r>
      <w:r>
        <w:t>agenzia italiana per il credito all</w:t>
      </w:r>
      <w:r w:rsidR="00C8304C">
        <w:t>’</w:t>
      </w:r>
      <w:r>
        <w:t>export, nell</w:t>
      </w:r>
      <w:r w:rsidR="00C8304C">
        <w:t>’</w:t>
      </w:r>
      <w:r>
        <w:t>ambito del Decreto Liquidità emanato dal Governo e sotto la supervisione del Ministero dell</w:t>
      </w:r>
      <w:r w:rsidR="00C8304C">
        <w:t>’</w:t>
      </w:r>
      <w:r>
        <w:t xml:space="preserve">Economia e Finanze – MEF e del Ministero dello Sviluppo Economico – MISE. </w:t>
      </w:r>
    </w:p>
    <w:p w:rsidR="00E06510" w:rsidRPr="007C2999" w:rsidRDefault="00E06510" w:rsidP="00334F8F"/>
    <w:p w:rsidR="005262D3" w:rsidRDefault="005262D3" w:rsidP="000F2FE8">
      <w:pPr>
        <w:pStyle w:val="SDatePlace"/>
        <w:rPr>
          <w:b/>
          <w:color w:val="243782" w:themeColor="accent1"/>
          <w:sz w:val="22"/>
        </w:rPr>
      </w:pPr>
    </w:p>
    <w:p w:rsidR="00B96799" w:rsidRPr="007C2999" w:rsidRDefault="00B96799" w:rsidP="000F2FE8">
      <w:pPr>
        <w:pStyle w:val="SDatePlace"/>
        <w:rPr>
          <w:b/>
          <w:color w:val="243782" w:themeColor="accent1"/>
          <w:sz w:val="22"/>
        </w:rPr>
      </w:pPr>
      <w:r w:rsidRPr="007C2999">
        <w:rPr>
          <w:b/>
          <w:color w:val="243782" w:themeColor="accent1"/>
          <w:sz w:val="22"/>
        </w:rPr>
        <w:t>Stellantis</w:t>
      </w:r>
    </w:p>
    <w:p w:rsidR="007819D6" w:rsidRPr="007C2999" w:rsidRDefault="007C2999" w:rsidP="007819D6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r w:rsidRPr="007C2999">
        <w:rPr>
          <w:i/>
          <w:color w:val="222222"/>
          <w:sz w:val="22"/>
          <w:szCs w:val="24"/>
        </w:rPr>
        <w:t xml:space="preserve"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</w:t>
      </w:r>
      <w:r w:rsidRPr="007C2999">
        <w:rPr>
          <w:i/>
          <w:color w:val="222222"/>
          <w:sz w:val="22"/>
          <w:szCs w:val="24"/>
        </w:rPr>
        <w:lastRenderedPageBreak/>
        <w:t>aggiunto per tutti gli stakeholder e le comunità in cui opera. Per maggiori informazioni, consultare il sito www.stellantis.com/</w:t>
      </w:r>
      <w:proofErr w:type="spellStart"/>
      <w:r w:rsidRPr="007C2999">
        <w:rPr>
          <w:i/>
          <w:color w:val="222222"/>
          <w:sz w:val="22"/>
          <w:szCs w:val="24"/>
        </w:rPr>
        <w:t>it</w:t>
      </w:r>
      <w:proofErr w:type="spellEnd"/>
      <w:r w:rsidRPr="007C2999">
        <w:rPr>
          <w:i/>
          <w:color w:val="222222"/>
          <w:sz w:val="22"/>
          <w:szCs w:val="24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7C2999" w:rsidTr="0023542B">
        <w:trPr>
          <w:trHeight w:val="729"/>
        </w:trPr>
        <w:tc>
          <w:tcPr>
            <w:tcW w:w="579" w:type="dxa"/>
            <w:vAlign w:val="center"/>
          </w:tcPr>
          <w:p w:rsidR="001E6C1E" w:rsidRPr="007C299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3C3ED31A" wp14:editId="51355041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:rsidR="001E6C1E" w:rsidRPr="007C299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color w:val="243782" w:themeColor="text2"/>
                <w:sz w:val="22"/>
                <w:szCs w:val="22"/>
              </w:rPr>
              <w:t>@Stellantis</w:t>
            </w:r>
          </w:p>
        </w:tc>
        <w:tc>
          <w:tcPr>
            <w:tcW w:w="570" w:type="dxa"/>
            <w:vAlign w:val="center"/>
          </w:tcPr>
          <w:p w:rsidR="001E6C1E" w:rsidRPr="007C299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0554B638" wp14:editId="1DDF2556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:rsidR="001E6C1E" w:rsidRPr="007C299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56" w:type="dxa"/>
            <w:vAlign w:val="center"/>
          </w:tcPr>
          <w:p w:rsidR="001E6C1E" w:rsidRPr="007C299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14A8276A" wp14:editId="11FCD8D0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:rsidR="001E6C1E" w:rsidRPr="007C299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68" w:type="dxa"/>
            <w:vAlign w:val="center"/>
          </w:tcPr>
          <w:p w:rsidR="001E6C1E" w:rsidRPr="007C299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2C166C18" wp14:editId="733DA7F6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:rsidR="001E6C1E" w:rsidRPr="007C299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color w:val="243782" w:themeColor="text2"/>
                <w:sz w:val="22"/>
                <w:szCs w:val="22"/>
              </w:rPr>
              <w:t>Stellantis</w:t>
            </w:r>
          </w:p>
        </w:tc>
      </w:tr>
      <w:tr w:rsidR="001E6C1E" w:rsidRPr="00C15C21" w:rsidTr="0023542B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:rsidR="001E6C1E" w:rsidRPr="007C2999" w:rsidRDefault="001E6C1E" w:rsidP="00F903F7">
            <w:r w:rsidRPr="007C2999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F618101" wp14:editId="7A9EC7EB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3524D212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:rsidR="001E6C1E" w:rsidRPr="007C2999" w:rsidRDefault="001E6C1E" w:rsidP="007819D6">
            <w:pPr>
              <w:pStyle w:val="SContact-Title"/>
            </w:pPr>
            <w:bookmarkStart w:id="1" w:name="_Hlk61784883"/>
            <w:r w:rsidRPr="007C2999">
              <w:t>Per maggiori informazioni, contattare:</w:t>
            </w:r>
          </w:p>
          <w:p w:rsidR="00EE0F14" w:rsidRDefault="00EE0F14" w:rsidP="00EE0F14">
            <w:pPr>
              <w:pStyle w:val="SContact-Title"/>
              <w:rPr>
                <w:lang w:val="fr-FR"/>
              </w:rPr>
            </w:pPr>
            <w:r>
              <w:rPr>
                <w:lang w:val="fr-FR"/>
              </w:rPr>
              <w:t xml:space="preserve">Andrea PALLARD </w:t>
            </w:r>
            <w:r w:rsidRPr="00C464D7">
              <w:rPr>
                <w:rFonts w:asciiTheme="minorHAnsi" w:hAnsiTheme="minorHAnsi"/>
                <w:lang w:val="fr-FR"/>
              </w:rPr>
              <w:t>+39 335 873 7298 –</w:t>
            </w:r>
            <w:r>
              <w:rPr>
                <w:rFonts w:asciiTheme="minorHAnsi" w:hAnsiTheme="minorHAnsi"/>
                <w:lang w:val="fr-FR"/>
              </w:rPr>
              <w:t xml:space="preserve"> </w:t>
            </w:r>
            <w:r w:rsidRPr="00C464D7">
              <w:rPr>
                <w:rFonts w:asciiTheme="minorHAnsi" w:hAnsiTheme="minorHAnsi"/>
                <w:lang w:val="fr-FR"/>
              </w:rPr>
              <w:t>andrea.pallard@stellantis.com</w:t>
            </w:r>
          </w:p>
          <w:p w:rsidR="00EE0F14" w:rsidRDefault="00EE0F14" w:rsidP="00EE0F14">
            <w:pPr>
              <w:pStyle w:val="SFooter-Emailwebsite"/>
            </w:pPr>
            <w:r w:rsidRPr="00EE0F14">
              <w:rPr>
                <w:rFonts w:asciiTheme="majorHAnsi" w:hAnsiTheme="majorHAnsi"/>
                <w:lang w:val="fr-FR"/>
              </w:rPr>
              <w:t>Claudio D</w:t>
            </w:r>
            <w:r w:rsidR="00C8304C">
              <w:rPr>
                <w:rFonts w:asciiTheme="majorHAnsi" w:hAnsiTheme="majorHAnsi"/>
                <w:lang w:val="fr-FR"/>
              </w:rPr>
              <w:t>’</w:t>
            </w:r>
            <w:r w:rsidRPr="00EE0F14">
              <w:rPr>
                <w:rFonts w:asciiTheme="majorHAnsi" w:hAnsiTheme="majorHAnsi"/>
                <w:lang w:val="fr-FR"/>
              </w:rPr>
              <w:t>AMICO</w:t>
            </w:r>
            <w:r>
              <w:rPr>
                <w:lang w:val="fr-FR"/>
              </w:rPr>
              <w:t xml:space="preserve"> </w:t>
            </w:r>
            <w:r w:rsidRPr="00C464D7">
              <w:rPr>
                <w:lang w:val="fr-FR"/>
              </w:rPr>
              <w:t>+39 334 710 7828</w:t>
            </w:r>
            <w:r w:rsidRPr="004048F6">
              <w:rPr>
                <w:lang w:val="fr-FR"/>
              </w:rPr>
              <w:t xml:space="preserve"> – </w:t>
            </w:r>
            <w:r>
              <w:rPr>
                <w:lang w:val="fr-FR"/>
              </w:rPr>
              <w:t>claudio.damico</w:t>
            </w:r>
            <w:r w:rsidRPr="004048F6">
              <w:rPr>
                <w:lang w:val="fr-FR"/>
              </w:rPr>
              <w:t>@stellantis.com</w:t>
            </w:r>
            <w:r>
              <w:t xml:space="preserve"> </w:t>
            </w:r>
          </w:p>
          <w:p w:rsidR="00EE0F14" w:rsidRDefault="00EE0F14" w:rsidP="00EE0F14">
            <w:pPr>
              <w:pStyle w:val="SFooter-Emailwebsite"/>
            </w:pPr>
          </w:p>
          <w:p w:rsidR="001E6C1E" w:rsidRPr="005D6964" w:rsidRDefault="00E35E76" w:rsidP="00EE0F14">
            <w:pPr>
              <w:pStyle w:val="SFooter-Emailwebsite"/>
            </w:pPr>
            <w:hyperlink r:id="rId12" w:history="1">
              <w:r w:rsidR="00FF2167" w:rsidRPr="005D6964">
                <w:rPr>
                  <w:rStyle w:val="Hyperlink"/>
                </w:rPr>
                <w:t>communications@stellantis.com</w:t>
              </w:r>
            </w:hyperlink>
            <w:r w:rsidR="00FF2167" w:rsidRPr="005D6964">
              <w:br/>
              <w:t>www.stellantis.com</w:t>
            </w:r>
            <w:bookmarkEnd w:id="1"/>
          </w:p>
        </w:tc>
      </w:tr>
    </w:tbl>
    <w:p w:rsidR="00D814DF" w:rsidRPr="005D6964" w:rsidRDefault="00D814DF">
      <w:pPr>
        <w:spacing w:after="0"/>
        <w:jc w:val="left"/>
      </w:pPr>
      <w:r w:rsidRPr="005D6964">
        <w:br w:type="page"/>
      </w:r>
    </w:p>
    <w:p w:rsidR="00D814DF" w:rsidRPr="009838DC" w:rsidRDefault="009838DC" w:rsidP="00D814DF">
      <w:pPr>
        <w:pStyle w:val="STITLE"/>
      </w:pPr>
      <w:r w:rsidRPr="009838DC">
        <w:lastRenderedPageBreak/>
        <w:t>DICHIARAZIONI PREVISIONALI</w:t>
      </w:r>
    </w:p>
    <w:p w:rsidR="009838DC" w:rsidRPr="009838DC" w:rsidRDefault="009838DC" w:rsidP="009838DC">
      <w:pPr>
        <w:spacing w:before="240"/>
        <w:rPr>
          <w:i/>
          <w:sz w:val="18"/>
          <w:szCs w:val="18"/>
        </w:rPr>
      </w:pPr>
      <w:r w:rsidRPr="009838DC">
        <w:rPr>
          <w:i/>
          <w:sz w:val="18"/>
          <w:szCs w:val="18"/>
        </w:rPr>
        <w:t>La presente comunicazione contiene dichiarazioni previsionali. In particolare, le dichiarazioni riguardanti gli eventi futuri e i risultati previsti delle operazioni, le strategie aziendali, la previsione dei benefici ottenuti dalla transazione proposta, i risultati finanziari e operativi futuri, la data di chiusura prevista per la transazione proposta e gli altri aspetti previsti relativamente alle nostre operazioni o ai nostri risultati operativi sono dichiarazioni previsionali. Tali dichiarazioni possono includere i termini come “possono”, “saranno”, “prevedono”, “potrebbero”, “dovrebbero”, “intendono”, “stimano”, “anticipano”, “credono”, “rimangono”, “sulla buona strada”, “progettano”, “obiettivo”, “previsione”, “proiezione”, “prospettiva”, “prospettive”, “piano” o termini simili. Le dichiarazioni previsionali non sono garanzie di prestazioni future. Piuttosto, si basano sullo stato attuale delle conoscenze di Stellantis, sulle aspettative future e sulle proiezioni di eventi futuri e sono, per loro natura, soggette a rischi e incertezze intrinseche. Si riferiscono a eventi e dipendono da circostanze che possono o non possono verificarsi o esistere in futuro e, pertanto, che non dovrebbero essere oggetto di eccessivo affidamento.</w:t>
      </w:r>
    </w:p>
    <w:p w:rsidR="009838DC" w:rsidRPr="009838DC" w:rsidRDefault="009838DC" w:rsidP="009838DC">
      <w:pPr>
        <w:spacing w:before="240"/>
        <w:rPr>
          <w:i/>
          <w:sz w:val="18"/>
          <w:szCs w:val="18"/>
        </w:rPr>
      </w:pPr>
      <w:r w:rsidRPr="009838DC">
        <w:rPr>
          <w:i/>
          <w:sz w:val="18"/>
          <w:szCs w:val="18"/>
        </w:rPr>
        <w:t>I risultati reali possono differire materialmente da quelli espressi nelle dichiarazioni previsionali in conseguenza di vari fattori, quali: incertezze sul fatto che la transazione proposta discussa nel presente documento sarà completata o sui tempi di completamento della stessa; la soddisfazione delle condizioni precedenti al completamento della transazione proposta, inclusa la capacità di ottenere le approvazioni normative nei termini previsti, a tutti i livelli o in maniera tempestiva; il rischio che le attività delle parti siano influenzate negativamente durante la pendenza della transazione proposta; la capacità di Stellantis di integrare con successo le operazioni dell</w:t>
      </w:r>
      <w:r w:rsidR="00C8304C">
        <w:rPr>
          <w:i/>
          <w:sz w:val="18"/>
          <w:szCs w:val="18"/>
        </w:rPr>
        <w:t>’</w:t>
      </w:r>
      <w:r w:rsidRPr="009838DC">
        <w:rPr>
          <w:i/>
          <w:sz w:val="18"/>
          <w:szCs w:val="18"/>
        </w:rPr>
        <w:t>Azienda; l</w:t>
      </w:r>
      <w:r w:rsidR="00C8304C">
        <w:rPr>
          <w:i/>
          <w:sz w:val="18"/>
          <w:szCs w:val="18"/>
        </w:rPr>
        <w:t>’</w:t>
      </w:r>
      <w:r w:rsidRPr="009838DC">
        <w:rPr>
          <w:i/>
          <w:sz w:val="18"/>
          <w:szCs w:val="18"/>
        </w:rPr>
        <w:t>interruzione dell</w:t>
      </w:r>
      <w:r w:rsidR="00C8304C">
        <w:rPr>
          <w:i/>
          <w:sz w:val="18"/>
          <w:szCs w:val="18"/>
        </w:rPr>
        <w:t>’</w:t>
      </w:r>
      <w:r w:rsidRPr="009838DC">
        <w:rPr>
          <w:i/>
          <w:sz w:val="18"/>
          <w:szCs w:val="18"/>
        </w:rPr>
        <w:t>attività a seguito della transazione; l</w:t>
      </w:r>
      <w:r w:rsidR="00C8304C">
        <w:rPr>
          <w:i/>
          <w:sz w:val="18"/>
          <w:szCs w:val="18"/>
        </w:rPr>
        <w:t>’</w:t>
      </w:r>
      <w:r w:rsidRPr="009838DC">
        <w:rPr>
          <w:i/>
          <w:sz w:val="18"/>
          <w:szCs w:val="18"/>
        </w:rPr>
        <w:t>effetto dell</w:t>
      </w:r>
      <w:r w:rsidR="00C8304C">
        <w:rPr>
          <w:i/>
          <w:sz w:val="18"/>
          <w:szCs w:val="18"/>
        </w:rPr>
        <w:t>’</w:t>
      </w:r>
      <w:r w:rsidRPr="009838DC">
        <w:rPr>
          <w:i/>
          <w:sz w:val="18"/>
          <w:szCs w:val="18"/>
        </w:rPr>
        <w:t>annuncio della transazione sulla capacità dell</w:t>
      </w:r>
      <w:r w:rsidR="00C8304C">
        <w:rPr>
          <w:i/>
          <w:sz w:val="18"/>
          <w:szCs w:val="18"/>
        </w:rPr>
        <w:t>’</w:t>
      </w:r>
      <w:r w:rsidRPr="009838DC">
        <w:rPr>
          <w:i/>
          <w:sz w:val="18"/>
          <w:szCs w:val="18"/>
        </w:rPr>
        <w:t>Azienda di trattenere e assumere personale chiave e mantenere i rapporti con clienti, fornitori e con gli altri soggetti con cui l</w:t>
      </w:r>
      <w:r w:rsidR="00C8304C">
        <w:rPr>
          <w:i/>
          <w:sz w:val="18"/>
          <w:szCs w:val="18"/>
        </w:rPr>
        <w:t>’</w:t>
      </w:r>
      <w:r w:rsidRPr="009838DC">
        <w:rPr>
          <w:i/>
          <w:sz w:val="18"/>
          <w:szCs w:val="18"/>
        </w:rPr>
        <w:t>Azienda intrattiene rapporti commerciali; l</w:t>
      </w:r>
      <w:r w:rsidR="00C8304C">
        <w:rPr>
          <w:i/>
          <w:sz w:val="18"/>
          <w:szCs w:val="18"/>
        </w:rPr>
        <w:t>’</w:t>
      </w:r>
      <w:r w:rsidRPr="009838DC">
        <w:rPr>
          <w:i/>
          <w:sz w:val="18"/>
          <w:szCs w:val="18"/>
        </w:rPr>
        <w:t>impatto della pandemia COVID-19, la capacità di Stellantis di lanciare con successo nuovi prodotti e di garantire i volumi di spedizione dei veicoli; i cambiamenti nei mercati finanziari globali, il contesto economico generale e i cambiamenti nella domanda di prodotti automobilistici, che è soggetta a ciclicità; cambiamenti delle condizioni economiche e politiche locali, cambiamenti delle politiche commerciali e l</w:t>
      </w:r>
      <w:r w:rsidR="00C8304C">
        <w:rPr>
          <w:i/>
          <w:sz w:val="18"/>
          <w:szCs w:val="18"/>
        </w:rPr>
        <w:t>’</w:t>
      </w:r>
      <w:r w:rsidRPr="009838DC">
        <w:rPr>
          <w:i/>
          <w:sz w:val="18"/>
          <w:szCs w:val="18"/>
        </w:rPr>
        <w:t>imposizione di tariffe globali e regionali o di tariffe mirate all</w:t>
      </w:r>
      <w:r w:rsidR="00C8304C">
        <w:rPr>
          <w:i/>
          <w:sz w:val="18"/>
          <w:szCs w:val="18"/>
        </w:rPr>
        <w:t>’</w:t>
      </w:r>
      <w:r w:rsidRPr="009838DC">
        <w:rPr>
          <w:i/>
          <w:sz w:val="18"/>
          <w:szCs w:val="18"/>
        </w:rPr>
        <w:t xml:space="preserve">industria automobilistica, la promulgazione di riforme fiscali o altri cambiamenti delle leggi e dei regolamenti fiscali; la capacità di Stellantis di espandere alcuni dei suoi brand a livello globale; la sua capacità di offrire prodotti innovativi e attraenti; la sua capacità di sviluppare, produrre e vendere veicoli con caratteristiche avanzate tra </w:t>
      </w:r>
      <w:r>
        <w:rPr>
          <w:i/>
          <w:sz w:val="18"/>
          <w:szCs w:val="18"/>
        </w:rPr>
        <w:t xml:space="preserve">cui elettrificazione </w:t>
      </w:r>
      <w:r w:rsidRPr="009838DC">
        <w:rPr>
          <w:i/>
          <w:sz w:val="18"/>
          <w:szCs w:val="18"/>
        </w:rPr>
        <w:t>avanzata, connettività e caratteristiche di guida autonoma; vari tipi di reclami, cause legali, indagini governative e altri imprevisti, tra cui responsabilità di prodotto e rivendicazioni di garanzia, indagini e cause ambientali; spese operative materiali in relazione al rispetto delle normative ambientali, sanitarie e di sicurezza; l</w:t>
      </w:r>
      <w:r w:rsidR="00C8304C">
        <w:rPr>
          <w:i/>
          <w:sz w:val="18"/>
          <w:szCs w:val="18"/>
        </w:rPr>
        <w:t>’</w:t>
      </w:r>
      <w:r w:rsidRPr="009838DC">
        <w:rPr>
          <w:i/>
          <w:sz w:val="18"/>
          <w:szCs w:val="18"/>
        </w:rPr>
        <w:t>elevato livello di concorrenza nel settore automobilistico, che potrebbe aumentare a causa del consolidamento; l</w:t>
      </w:r>
      <w:r w:rsidR="00C8304C">
        <w:rPr>
          <w:i/>
          <w:sz w:val="18"/>
          <w:szCs w:val="18"/>
        </w:rPr>
        <w:t>’</w:t>
      </w:r>
      <w:r w:rsidRPr="009838DC">
        <w:rPr>
          <w:i/>
          <w:sz w:val="18"/>
          <w:szCs w:val="18"/>
        </w:rPr>
        <w:t>esposizione a carenze nel finanziamento dei piani pensionistici a benefici definiti di Stellantis; la capacità di fornire o organizzare l</w:t>
      </w:r>
      <w:r w:rsidR="00C8304C">
        <w:rPr>
          <w:i/>
          <w:sz w:val="18"/>
          <w:szCs w:val="18"/>
        </w:rPr>
        <w:t>’</w:t>
      </w:r>
      <w:r w:rsidRPr="009838DC">
        <w:rPr>
          <w:i/>
          <w:sz w:val="18"/>
          <w:szCs w:val="18"/>
        </w:rPr>
        <w:t>accesso a finanziamenti adeguati per i concessionari e i clienti al dettaglio e i rischi associati alla creazione e alle operazioni delle società di servizi finanziari; la capacità di accedere ai finanziamenti per attuare i piani aziendali di Stellantis e migliorare le sue attività, le condizioni finanziarie e i risultati delle operazioni; un malfunzionamento significativo, un</w:t>
      </w:r>
      <w:r w:rsidR="00C8304C">
        <w:rPr>
          <w:i/>
          <w:sz w:val="18"/>
          <w:szCs w:val="18"/>
        </w:rPr>
        <w:t>’</w:t>
      </w:r>
      <w:r w:rsidRPr="009838DC">
        <w:rPr>
          <w:i/>
          <w:sz w:val="18"/>
          <w:szCs w:val="18"/>
        </w:rPr>
        <w:t>interruzione o una violazione della sicurezza che comprometta i sistemi informatici o i sistemi di controllo elettronici contenuti nei veicoli di Stellantis; la capacità di Stellantis di realizzare i benefici previsti dagli accordi di joint venture; interruzioni derivanti dall</w:t>
      </w:r>
      <w:r w:rsidR="00C8304C">
        <w:rPr>
          <w:i/>
          <w:sz w:val="18"/>
          <w:szCs w:val="18"/>
        </w:rPr>
        <w:t>’</w:t>
      </w:r>
      <w:r w:rsidRPr="009838DC">
        <w:rPr>
          <w:i/>
          <w:sz w:val="18"/>
          <w:szCs w:val="18"/>
        </w:rPr>
        <w:t>instabilità politica, sociale ed economica; rischi associati ai rapporti con dipendenti, concessionari e fornitori; aumenti dei costi, interruzioni delle forniture o carenze di materie prime, parti, componenti e sistemi utilizzati nei veicoli di Stellantis; sviluppi nei rapporti industriali e di lavoro e sviluppi delle leggi vigenti in materia di lavoro; fluttuazioni dei tassi di cambio, variazioni dei tassi di interesse, rischio di credito e altri rischi di mercato; disordini politici e civili; terremoti o altri disastri e altri rischi e incertezze.</w:t>
      </w:r>
    </w:p>
    <w:p w:rsidR="000F2FE8" w:rsidRPr="009838DC" w:rsidRDefault="009838DC" w:rsidP="009838DC">
      <w:pPr>
        <w:spacing w:before="240"/>
        <w:rPr>
          <w:rFonts w:eastAsia="Encode Sans"/>
          <w:i/>
          <w:sz w:val="18"/>
          <w:szCs w:val="18"/>
        </w:rPr>
      </w:pPr>
      <w:r w:rsidRPr="009838DC">
        <w:rPr>
          <w:i/>
          <w:sz w:val="18"/>
          <w:szCs w:val="18"/>
        </w:rPr>
        <w:t>Tutte le dichiarazioni previsionali riportate nella presente comunicazione si riferiscono solo alla data di questo documento e Stellantis declina qualsiasi obbligo di aggiornarle o rivederle pubblicamente. Ulteriori informazioni su Stellantis e le sue attività, inclusi i fattori che potrebbero materialmente influenzare i risultati finanziari di Stellantis, sono contenute nelle relazioni e nei documenti di Stellantis depositati presso la U.S. Securities and Exchange Commission e AFM.</w:t>
      </w:r>
    </w:p>
    <w:sectPr w:rsidR="000F2FE8" w:rsidRPr="009838DC" w:rsidSect="005D2EA9">
      <w:footerReference w:type="default" r:id="rId13"/>
      <w:headerReference w:type="first" r:id="rId14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A9" w:rsidRDefault="00AD2DA9" w:rsidP="008D3E4C">
      <w:r>
        <w:separator/>
      </w:r>
    </w:p>
  </w:endnote>
  <w:endnote w:type="continuationSeparator" w:id="0">
    <w:p w:rsidR="00AD2DA9" w:rsidRDefault="00AD2DA9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AB5EA015-BB47-4C5D-8736-4C5240C1F5AB}"/>
    <w:embedBold r:id="rId2" w:fontKey="{BB3731D1-0883-43E4-B492-B2F719374680}"/>
    <w:embedItalic r:id="rId3" w:fontKey="{D3A25EBF-67DA-49E4-B371-EC9E5503B7C3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E77C89C4-D0DC-4DFD-BE07-FEB58FEBF890}"/>
    <w:embedItalic r:id="rId5" w:fontKey="{C5AEBF4B-CDAF-4AE0-912B-12DF2A32FA32}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E35E76">
      <w:rPr>
        <w:rStyle w:val="PageNumber"/>
        <w:noProof/>
      </w:rPr>
      <w:t>3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A9" w:rsidRDefault="00AD2DA9" w:rsidP="008D3E4C">
      <w:r>
        <w:separator/>
      </w:r>
    </w:p>
  </w:footnote>
  <w:footnote w:type="continuationSeparator" w:id="0">
    <w:p w:rsidR="00AD2DA9" w:rsidRDefault="00AD2DA9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780F9041" wp14:editId="10B28EED">
              <wp:simplePos x="0" y="0"/>
              <wp:positionH relativeFrom="page">
                <wp:posOffset>448945</wp:posOffset>
              </wp:positionH>
              <wp:positionV relativeFrom="page">
                <wp:posOffset>-20955</wp:posOffset>
              </wp:positionV>
              <wp:extent cx="269875" cy="2837815"/>
              <wp:effectExtent l="0" t="0" r="0" b="63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837815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0F9041" id="Groupe 29" o:spid="_x0000_s1026" style="position:absolute;margin-left:35.35pt;margin-top:-1.65pt;width:21.25pt;height:223.45pt;z-index:-251656192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04A2F5A3" wp14:editId="7AB632B2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D7F66"/>
    <w:multiLevelType w:val="hybridMultilevel"/>
    <w:tmpl w:val="94DA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7"/>
    <w:rsid w:val="00081419"/>
    <w:rsid w:val="00087566"/>
    <w:rsid w:val="000A31E8"/>
    <w:rsid w:val="000D0EAF"/>
    <w:rsid w:val="000F2FE8"/>
    <w:rsid w:val="00116B50"/>
    <w:rsid w:val="00126E5A"/>
    <w:rsid w:val="001361A6"/>
    <w:rsid w:val="00140A24"/>
    <w:rsid w:val="00150AD4"/>
    <w:rsid w:val="0015732F"/>
    <w:rsid w:val="0017315C"/>
    <w:rsid w:val="00195CBD"/>
    <w:rsid w:val="001B0085"/>
    <w:rsid w:val="001B30A3"/>
    <w:rsid w:val="001B591C"/>
    <w:rsid w:val="001C0FF2"/>
    <w:rsid w:val="001D168B"/>
    <w:rsid w:val="001E5F48"/>
    <w:rsid w:val="001E6C1E"/>
    <w:rsid w:val="001F4703"/>
    <w:rsid w:val="002005E5"/>
    <w:rsid w:val="00214443"/>
    <w:rsid w:val="0022588D"/>
    <w:rsid w:val="002266BB"/>
    <w:rsid w:val="0023542B"/>
    <w:rsid w:val="00242220"/>
    <w:rsid w:val="00253AD7"/>
    <w:rsid w:val="00257500"/>
    <w:rsid w:val="00271869"/>
    <w:rsid w:val="002836DD"/>
    <w:rsid w:val="00293E0C"/>
    <w:rsid w:val="002C508D"/>
    <w:rsid w:val="002F705B"/>
    <w:rsid w:val="00322BCE"/>
    <w:rsid w:val="003244DD"/>
    <w:rsid w:val="00334F8F"/>
    <w:rsid w:val="00352C28"/>
    <w:rsid w:val="00361849"/>
    <w:rsid w:val="0036683D"/>
    <w:rsid w:val="003864AD"/>
    <w:rsid w:val="003E68CC"/>
    <w:rsid w:val="003E727D"/>
    <w:rsid w:val="004022B4"/>
    <w:rsid w:val="00425677"/>
    <w:rsid w:val="00427ABE"/>
    <w:rsid w:val="00433EDD"/>
    <w:rsid w:val="00435A04"/>
    <w:rsid w:val="0044219E"/>
    <w:rsid w:val="004502CD"/>
    <w:rsid w:val="0045216F"/>
    <w:rsid w:val="004532D9"/>
    <w:rsid w:val="00464B4C"/>
    <w:rsid w:val="00466CCC"/>
    <w:rsid w:val="00484232"/>
    <w:rsid w:val="004A1FC4"/>
    <w:rsid w:val="004C5160"/>
    <w:rsid w:val="004D5B96"/>
    <w:rsid w:val="004D61EA"/>
    <w:rsid w:val="004F7D4E"/>
    <w:rsid w:val="00501A19"/>
    <w:rsid w:val="00515169"/>
    <w:rsid w:val="005262D3"/>
    <w:rsid w:val="00544345"/>
    <w:rsid w:val="0055479C"/>
    <w:rsid w:val="00562D3D"/>
    <w:rsid w:val="00564E8F"/>
    <w:rsid w:val="0059213B"/>
    <w:rsid w:val="005B024F"/>
    <w:rsid w:val="005C775F"/>
    <w:rsid w:val="005D1D6D"/>
    <w:rsid w:val="005D2EA9"/>
    <w:rsid w:val="005D6964"/>
    <w:rsid w:val="005E72CE"/>
    <w:rsid w:val="005F2120"/>
    <w:rsid w:val="0061682B"/>
    <w:rsid w:val="00646166"/>
    <w:rsid w:val="00655A10"/>
    <w:rsid w:val="00666A99"/>
    <w:rsid w:val="00682310"/>
    <w:rsid w:val="006B5C7E"/>
    <w:rsid w:val="006C4135"/>
    <w:rsid w:val="006D0187"/>
    <w:rsid w:val="006E27BF"/>
    <w:rsid w:val="00700983"/>
    <w:rsid w:val="00725131"/>
    <w:rsid w:val="00753A05"/>
    <w:rsid w:val="0075449B"/>
    <w:rsid w:val="00775FE7"/>
    <w:rsid w:val="007819D6"/>
    <w:rsid w:val="007A46E2"/>
    <w:rsid w:val="007B6150"/>
    <w:rsid w:val="007C2999"/>
    <w:rsid w:val="007E317D"/>
    <w:rsid w:val="007E42A8"/>
    <w:rsid w:val="0080313B"/>
    <w:rsid w:val="00805FAA"/>
    <w:rsid w:val="008124BD"/>
    <w:rsid w:val="00815B14"/>
    <w:rsid w:val="00844956"/>
    <w:rsid w:val="008545CD"/>
    <w:rsid w:val="0086416D"/>
    <w:rsid w:val="00877117"/>
    <w:rsid w:val="00883AB8"/>
    <w:rsid w:val="008B4CD5"/>
    <w:rsid w:val="008B718E"/>
    <w:rsid w:val="008C6A96"/>
    <w:rsid w:val="008D3E4C"/>
    <w:rsid w:val="008D718D"/>
    <w:rsid w:val="008F0F07"/>
    <w:rsid w:val="008F2A13"/>
    <w:rsid w:val="00924354"/>
    <w:rsid w:val="00925C7D"/>
    <w:rsid w:val="00955569"/>
    <w:rsid w:val="00972BB9"/>
    <w:rsid w:val="009838DC"/>
    <w:rsid w:val="00992BE1"/>
    <w:rsid w:val="009968C5"/>
    <w:rsid w:val="009A12F3"/>
    <w:rsid w:val="009A23AB"/>
    <w:rsid w:val="009C33F1"/>
    <w:rsid w:val="009D180E"/>
    <w:rsid w:val="009D5F52"/>
    <w:rsid w:val="009D79F4"/>
    <w:rsid w:val="00A0245A"/>
    <w:rsid w:val="00A33E8D"/>
    <w:rsid w:val="00A42BA7"/>
    <w:rsid w:val="00A53E45"/>
    <w:rsid w:val="00A748DE"/>
    <w:rsid w:val="00A87390"/>
    <w:rsid w:val="00AD2DA9"/>
    <w:rsid w:val="00AF79B8"/>
    <w:rsid w:val="00B177DF"/>
    <w:rsid w:val="00B32F4C"/>
    <w:rsid w:val="00B61433"/>
    <w:rsid w:val="00B64F18"/>
    <w:rsid w:val="00B92FB1"/>
    <w:rsid w:val="00B96131"/>
    <w:rsid w:val="00B96799"/>
    <w:rsid w:val="00BD00DD"/>
    <w:rsid w:val="00C0321D"/>
    <w:rsid w:val="00C10E75"/>
    <w:rsid w:val="00C15C21"/>
    <w:rsid w:val="00C21B90"/>
    <w:rsid w:val="00C31F14"/>
    <w:rsid w:val="00C338B4"/>
    <w:rsid w:val="00C363C0"/>
    <w:rsid w:val="00C60A64"/>
    <w:rsid w:val="00C814CD"/>
    <w:rsid w:val="00C8304C"/>
    <w:rsid w:val="00C97693"/>
    <w:rsid w:val="00D00F9C"/>
    <w:rsid w:val="00D0485C"/>
    <w:rsid w:val="00D239E7"/>
    <w:rsid w:val="00D265D9"/>
    <w:rsid w:val="00D42351"/>
    <w:rsid w:val="00D43A60"/>
    <w:rsid w:val="00D5456A"/>
    <w:rsid w:val="00D54C2A"/>
    <w:rsid w:val="00D76779"/>
    <w:rsid w:val="00D814DF"/>
    <w:rsid w:val="00D82E59"/>
    <w:rsid w:val="00DA27E1"/>
    <w:rsid w:val="00DC18C2"/>
    <w:rsid w:val="00DE72B9"/>
    <w:rsid w:val="00DF5711"/>
    <w:rsid w:val="00E014CA"/>
    <w:rsid w:val="00E06510"/>
    <w:rsid w:val="00E35DF9"/>
    <w:rsid w:val="00E35E76"/>
    <w:rsid w:val="00E45FDD"/>
    <w:rsid w:val="00E53F39"/>
    <w:rsid w:val="00E73507"/>
    <w:rsid w:val="00E741F9"/>
    <w:rsid w:val="00E8163B"/>
    <w:rsid w:val="00E82EAD"/>
    <w:rsid w:val="00E90B5F"/>
    <w:rsid w:val="00E90CDA"/>
    <w:rsid w:val="00E93724"/>
    <w:rsid w:val="00E953BE"/>
    <w:rsid w:val="00EB5DF9"/>
    <w:rsid w:val="00EE0F14"/>
    <w:rsid w:val="00EE60B8"/>
    <w:rsid w:val="00EF16D8"/>
    <w:rsid w:val="00F0722C"/>
    <w:rsid w:val="00F5284E"/>
    <w:rsid w:val="00F66CF5"/>
    <w:rsid w:val="00F7137E"/>
    <w:rsid w:val="00F7559B"/>
    <w:rsid w:val="00F90273"/>
    <w:rsid w:val="00F90CCA"/>
    <w:rsid w:val="00F92EBF"/>
    <w:rsid w:val="00FA6E91"/>
    <w:rsid w:val="00FB5797"/>
    <w:rsid w:val="00FB68D3"/>
    <w:rsid w:val="00FC0AE2"/>
    <w:rsid w:val="00FD6C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6ED238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ellantis.com/it" TargetMode="External"/><Relationship Id="rId12" Type="http://schemas.openxmlformats.org/officeDocument/2006/relationships/hyperlink" Target="mailto:communications@stellanti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1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US</vt:lpstr>
      <vt:lpstr>Press Release US</vt:lpstr>
      <vt:lpstr>Press Release US</vt:lpstr>
    </vt:vector>
  </TitlesOfParts>
  <Company>Stellantis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Paul Johnston</cp:lastModifiedBy>
  <cp:revision>4</cp:revision>
  <cp:lastPrinted>2021-12-06T22:23:00Z</cp:lastPrinted>
  <dcterms:created xsi:type="dcterms:W3CDTF">2022-01-28T07:54:00Z</dcterms:created>
  <dcterms:modified xsi:type="dcterms:W3CDTF">2022-01-28T09:54:00Z</dcterms:modified>
</cp:coreProperties>
</file>