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6A" w:rsidRPr="00570C24" w:rsidRDefault="0086416D" w:rsidP="001E6C1E">
      <w:pPr>
        <w:pStyle w:val="SSubjectBlock"/>
      </w:pPr>
      <w:r w:rsidRPr="00570C24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3214DED0" wp14:editId="70E8C326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2B1232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Pr="00570C24">
        <w:t xml:space="preserve"> Stellantis migliora</w:t>
      </w:r>
      <w:r w:rsidR="00815087">
        <w:t xml:space="preserve"> nel 2021 i risultati commerciali </w:t>
      </w:r>
      <w:r w:rsidRPr="00570C24">
        <w:t xml:space="preserve">in Cina </w:t>
      </w:r>
    </w:p>
    <w:p w:rsidR="002005E5" w:rsidRPr="00570C24" w:rsidRDefault="00B16087" w:rsidP="00BA7969">
      <w:pPr>
        <w:pStyle w:val="SBullet"/>
        <w:jc w:val="left"/>
      </w:pPr>
      <w:r w:rsidRPr="00570C24">
        <w:t xml:space="preserve">Dongfeng Peugeot Citroën Automobile ha realizzato un’inversione di tendenza, vendendo oltre 100.000 veicoli </w:t>
      </w:r>
    </w:p>
    <w:p w:rsidR="002005E5" w:rsidRPr="00570C24" w:rsidRDefault="002005E5" w:rsidP="00BA7969">
      <w:pPr>
        <w:pStyle w:val="SBullet"/>
        <w:jc w:val="left"/>
      </w:pPr>
      <w:r w:rsidRPr="00570C24">
        <w:t>Jeep</w:t>
      </w:r>
      <w:r w:rsidRPr="00570C24">
        <w:rPr>
          <w:vertAlign w:val="subscript"/>
        </w:rPr>
        <w:t>®</w:t>
      </w:r>
      <w:r w:rsidRPr="00570C24">
        <w:t xml:space="preserve"> Wrangler ha raggiunto un record storico nelle vendite annuali e il marchio Jeep si è classificato al primo posto per qualità e affidabilità dei veicoli </w:t>
      </w:r>
    </w:p>
    <w:p w:rsidR="002005E5" w:rsidRPr="00815087" w:rsidRDefault="002005E5" w:rsidP="00BA7969">
      <w:pPr>
        <w:pStyle w:val="SBullet"/>
        <w:jc w:val="left"/>
      </w:pPr>
      <w:r w:rsidRPr="00815087">
        <w:t>Progressi significativi nell’aftermarket indipendente</w:t>
      </w:r>
    </w:p>
    <w:p w:rsidR="002005E5" w:rsidRPr="00570C24" w:rsidRDefault="000F2FE8" w:rsidP="002005E5">
      <w:pPr>
        <w:pStyle w:val="SDatePlace"/>
        <w:spacing w:after="0"/>
        <w:rPr>
          <w:szCs w:val="24"/>
        </w:rPr>
      </w:pPr>
      <w:r w:rsidRPr="00815087">
        <w:t xml:space="preserve">AMSTERDAM, </w:t>
      </w:r>
      <w:r w:rsidR="00815087" w:rsidRPr="00815087">
        <w:rPr>
          <w:szCs w:val="24"/>
        </w:rPr>
        <w:t>28</w:t>
      </w:r>
      <w:r w:rsidRPr="00815087">
        <w:t xml:space="preserve"> gennaio</w:t>
      </w:r>
      <w:r w:rsidRPr="00570C24">
        <w:t xml:space="preserve"> 2022 - Nel 2021, </w:t>
      </w:r>
      <w:hyperlink r:id="rId7" w:history="1">
        <w:r w:rsidRPr="008E46EF">
          <w:rPr>
            <w:rStyle w:val="Hyperlink"/>
          </w:rPr>
          <w:t>Stellantis</w:t>
        </w:r>
      </w:hyperlink>
      <w:r w:rsidRPr="00570C24">
        <w:t xml:space="preserve"> ha rafforzato la sua posizione commerciale in Cina, ponendo solide basi per l’espansione a lungo termine dell’azienda.</w:t>
      </w:r>
    </w:p>
    <w:p w:rsidR="002005E5" w:rsidRPr="00570C24" w:rsidRDefault="002005E5" w:rsidP="002005E5">
      <w:pPr>
        <w:pStyle w:val="SDatePlace"/>
        <w:spacing w:after="0"/>
        <w:rPr>
          <w:szCs w:val="24"/>
        </w:rPr>
      </w:pPr>
    </w:p>
    <w:p w:rsidR="002005E5" w:rsidRPr="00570C24" w:rsidRDefault="002005E5" w:rsidP="002005E5">
      <w:pPr>
        <w:pStyle w:val="SDatePlace"/>
        <w:spacing w:after="0"/>
        <w:rPr>
          <w:rFonts w:eastAsia="Times New Roman"/>
        </w:rPr>
      </w:pPr>
      <w:r w:rsidRPr="00570C24">
        <w:t xml:space="preserve">“Fin dal primo giorno di Stellantis, abbiamo analizzato la situazione insieme ai nostri partner e ora stiamo finalizzando i nostri progetti per la Cina, che consideriamo un mercato strategico in termini di potenziale non ancora sfruttato”, ha affermato Grégoire Olivier, Chief Operating Officer di Stellantis in Cina.  </w:t>
      </w:r>
    </w:p>
    <w:p w:rsidR="002005E5" w:rsidRPr="00570C24" w:rsidRDefault="002005E5" w:rsidP="002005E5">
      <w:pPr>
        <w:pStyle w:val="SDatePlace"/>
        <w:spacing w:after="0"/>
        <w:rPr>
          <w:rFonts w:eastAsia="Encode Sans"/>
          <w:i/>
          <w:sz w:val="18"/>
        </w:rPr>
      </w:pPr>
    </w:p>
    <w:p w:rsidR="002005E5" w:rsidRPr="00570C24" w:rsidRDefault="002005E5" w:rsidP="002005E5">
      <w:pPr>
        <w:spacing w:after="0"/>
        <w:jc w:val="left"/>
      </w:pPr>
      <w:r w:rsidRPr="00570C24">
        <w:t>Dongfeng Peugeot Citroën Automobile Co., Ltd (DPCA), la joint venture formata da Stellantis e dalla cinese Dongfeng Motor Corporation, nel 2021 ha venduto oltre 100.000 veicoli, più del doppio del volume delle vendite annuali del 2020. Grazie a questo risultato, per DPCA il 2021 è stato l’anno dell’inversione di tendenza. Degli oltre 100.000 veicoli venduti, circa 9.300 erano New Energy Vehicles (NEV), rendendo DPCA un contributore netto di crediti NEV e CAFC (Corporate Average Fuel Consumption) di Stellantis in Cina. L’inversione di tendenza ha permesso un notevole miglioramento della situazione finanziaria di DPCA, creando le condizioni per la sua nuova strategia.</w:t>
      </w:r>
    </w:p>
    <w:p w:rsidR="00BA7969" w:rsidRPr="00570C24" w:rsidRDefault="00BA7969" w:rsidP="002005E5">
      <w:pPr>
        <w:spacing w:after="0"/>
        <w:jc w:val="left"/>
      </w:pPr>
    </w:p>
    <w:p w:rsidR="00BA7969" w:rsidRPr="00570C24" w:rsidRDefault="00BA7969" w:rsidP="00BA7969">
      <w:pPr>
        <w:spacing w:after="0"/>
        <w:jc w:val="left"/>
      </w:pPr>
      <w:r w:rsidRPr="00570C24">
        <w:t xml:space="preserve">Per il marchio Jeep®, nel 2021 l’iconico Wrangler ha registrato vendite record. Inoltre, la gamma di prodotti Jeep è risultata al primo posto nella sezione APEAL dello studio sull’affidabilità del veicolo (Vehicle </w:t>
      </w:r>
      <w:r w:rsidRPr="00570C24">
        <w:lastRenderedPageBreak/>
        <w:t>Dependability Study, VDS) e al secondo posto nello studio sulla qualità iniziale (Initial Quality Study, IQS) di JD Power tra i marchi mainstream in Cina.</w:t>
      </w:r>
    </w:p>
    <w:p w:rsidR="00BA7969" w:rsidRPr="00570C24" w:rsidRDefault="00BA7969" w:rsidP="00BA7969">
      <w:pPr>
        <w:spacing w:after="0"/>
        <w:jc w:val="left"/>
      </w:pPr>
    </w:p>
    <w:p w:rsidR="00BA7969" w:rsidRPr="00570C24" w:rsidRDefault="00BA7969" w:rsidP="00BA7969">
      <w:pPr>
        <w:spacing w:after="0"/>
        <w:jc w:val="left"/>
      </w:pPr>
      <w:r w:rsidRPr="00570C24">
        <w:t xml:space="preserve">Nell’ambito dell’aftermarket indipendente, dopo un investimento iniziale nei distributori indipendenti di ricambi </w:t>
      </w:r>
      <w:bookmarkStart w:id="0" w:name="_GoBack"/>
      <w:r w:rsidRPr="00570C24">
        <w:t>Jian</w:t>
      </w:r>
      <w:bookmarkEnd w:id="0"/>
      <w:r w:rsidRPr="00570C24">
        <w:t>Xin di Shanghai e United Auto Parts (UAP) dello Shandong nel 2018, e poi Longstar del Fujian nel 2019, ora Stellantis ha assunto il controllo di UAP, fondendo le tre realtà in un unico distributore nazionale integrato e creando il quarto maggiore distributore di ricambi in termini di fatturato nell’aftermarket indipendente cinese. Con una partecipazione del 53,5% nel nuovo distributore di ricambi integrato, Stellantis ha davanti a sé un notevole potenziale di crescita. Nel 2021, l’attività ha generato un fatturato di 176 milioni di euro nell’aftermarket indipendente in Cina.</w:t>
      </w:r>
    </w:p>
    <w:p w:rsidR="00BA7969" w:rsidRPr="00570C24" w:rsidRDefault="00BA7969" w:rsidP="00BA7969">
      <w:pPr>
        <w:spacing w:after="0"/>
        <w:jc w:val="left"/>
      </w:pPr>
    </w:p>
    <w:p w:rsidR="002005E5" w:rsidRPr="00570C24" w:rsidRDefault="00BA7969" w:rsidP="002005E5">
      <w:pPr>
        <w:jc w:val="left"/>
      </w:pPr>
      <w:r w:rsidRPr="00570C24">
        <w:t>Ulteriori dettagli sui progetti di Stellantis per il mercato cinese verranno annunciati all’interno del piano strategico globale il 1° marzo 2022.</w:t>
      </w:r>
    </w:p>
    <w:p w:rsidR="00B96799" w:rsidRPr="00570C24" w:rsidRDefault="00B96799" w:rsidP="000F2FE8">
      <w:pPr>
        <w:pStyle w:val="SDatePlace"/>
        <w:rPr>
          <w:b/>
          <w:color w:val="243782" w:themeColor="accent1"/>
          <w:sz w:val="22"/>
        </w:rPr>
      </w:pPr>
      <w:r w:rsidRPr="00570C24">
        <w:rPr>
          <w:b/>
          <w:color w:val="243782" w:themeColor="accent1"/>
          <w:sz w:val="22"/>
        </w:rPr>
        <w:t>Stellantis</w:t>
      </w:r>
    </w:p>
    <w:p w:rsidR="007819D6" w:rsidRPr="00570C24" w:rsidRDefault="00570C24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 w:rsidRPr="00570C24">
        <w:rPr>
          <w:i/>
          <w:color w:val="222222"/>
          <w:sz w:val="22"/>
          <w:szCs w:val="24"/>
        </w:rPr>
        <w:t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www.stellantis.com/it.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570C24" w:rsidTr="0023542B">
        <w:trPr>
          <w:trHeight w:val="729"/>
        </w:trPr>
        <w:tc>
          <w:tcPr>
            <w:tcW w:w="579" w:type="dxa"/>
            <w:vAlign w:val="center"/>
          </w:tcPr>
          <w:p w:rsidR="001E6C1E" w:rsidRPr="00570C24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70C24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50B57C8" wp14:editId="1F334EC7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:rsidR="001E6C1E" w:rsidRPr="00570C24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70C24"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:rsidR="001E6C1E" w:rsidRPr="00570C24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70C24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E61E7D6" wp14:editId="5D07B16A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:rsidR="001E6C1E" w:rsidRPr="00570C24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70C24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:rsidR="001E6C1E" w:rsidRPr="00570C24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70C24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B2E23F3" wp14:editId="0425DF19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:rsidR="001E6C1E" w:rsidRPr="00570C24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70C24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:rsidR="001E6C1E" w:rsidRPr="00570C24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70C24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3BEC6FF0" wp14:editId="788F2A51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:rsidR="001E6C1E" w:rsidRPr="00570C24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570C24"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81508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:rsidR="001E6C1E" w:rsidRPr="00570C24" w:rsidRDefault="001E6C1E" w:rsidP="00F903F7">
            <w:r w:rsidRPr="00570C24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757675A" wp14:editId="5F24C055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:rsidR="001E6C1E" w:rsidRPr="00570C24" w:rsidRDefault="001E6C1E" w:rsidP="007819D6">
            <w:pPr>
              <w:pStyle w:val="SContact-Title"/>
            </w:pPr>
            <w:bookmarkStart w:id="1" w:name="_Hlk61784883"/>
            <w:r w:rsidRPr="00570C24">
              <w:t>Per maggiori informazioni, contattare:</w:t>
            </w:r>
          </w:p>
          <w:p w:rsidR="000F2FE8" w:rsidRPr="005B3293" w:rsidRDefault="001A3DD6" w:rsidP="00F903F7">
            <w:pPr>
              <w:pStyle w:val="SContact-Sendersinfo"/>
              <w:rPr>
                <w:rFonts w:ascii="Encode Sans ExpandedLight" w:hAnsi="Encode Sans ExpandedLight"/>
              </w:rPr>
            </w:pPr>
            <w:sdt>
              <w:sdtPr>
                <w:id w:val="143632974"/>
                <w:placeholder>
                  <w:docPart w:val="226403A414984292A98B46A43595D792"/>
                </w:placeholder>
                <w15:appearance w15:val="hidden"/>
              </w:sdtPr>
              <w:sdtEndPr/>
              <w:sdtContent>
                <w:sdt>
                  <w:sdtPr>
                    <w:id w:val="1106316626"/>
                    <w:placeholder>
                      <w:docPart w:val="FFC727CD0C894B009907ED82D9990A73"/>
                    </w:placeholder>
                    <w15:appearance w15:val="hidden"/>
                  </w:sdtPr>
                  <w:sdtEndPr/>
                  <w:sdtContent>
                    <w:r w:rsidR="00A90635" w:rsidRPr="005B3293">
                      <w:t>Pierre-Olivier SALMON</w:t>
                    </w:r>
                  </w:sdtContent>
                </w:sdt>
                <w:r w:rsidR="00A90635" w:rsidRPr="005B3293"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</w:rPr>
                    <w:id w:val="1079024615"/>
                    <w:placeholder>
                      <w:docPart w:val="C7FD2A97530E4377AB265B534B50A675"/>
                    </w:placeholder>
                    <w15:appearance w15:val="hidden"/>
                  </w:sdtPr>
                  <w:sdtEndPr/>
                  <w:sdtContent>
                    <w:r w:rsidR="00A90635" w:rsidRPr="005B3293">
                      <w:rPr>
                        <w:rFonts w:ascii="Encode Sans ExpandedLight" w:hAnsi="Encode Sans ExpandedLight"/>
                      </w:rPr>
                      <w:t>+33 6 76 86 45 48 - pierreolivier.salmon@stellantis.com</w:t>
                    </w:r>
                  </w:sdtContent>
                </w:sdt>
              </w:sdtContent>
            </w:sdt>
          </w:p>
          <w:p w:rsidR="007B0B82" w:rsidRPr="005B3293" w:rsidRDefault="001A3DD6" w:rsidP="007B0B82">
            <w:pPr>
              <w:pStyle w:val="SContact-Sendersinfo"/>
              <w:rPr>
                <w:lang w:val="en-US"/>
              </w:rPr>
            </w:pPr>
            <w:sdt>
              <w:sdtPr>
                <w:id w:val="941722021"/>
                <w:placeholder>
                  <w:docPart w:val="D440F7F84D6E4441AA41480028B062F2"/>
                </w:placeholder>
                <w15:appearance w15:val="hidden"/>
              </w:sdtPr>
              <w:sdtEndPr/>
              <w:sdtContent>
                <w:r w:rsidR="00A90635" w:rsidRPr="005B3293">
                  <w:rPr>
                    <w:lang w:val="en-US"/>
                  </w:rPr>
                  <w:t>Chao WANG</w:t>
                </w:r>
              </w:sdtContent>
            </w:sdt>
            <w:r w:rsidR="00A90635" w:rsidRPr="005B3293">
              <w:rPr>
                <w:lang w:val="en-US"/>
              </w:rPr>
              <w:t xml:space="preserve">  </w:t>
            </w:r>
            <w:sdt>
              <w:sdtPr>
                <w:id w:val="-292211685"/>
                <w:placeholder>
                  <w:docPart w:val="C9E85549DCDB4E098BE802B3763A0AD3"/>
                </w:placeholder>
                <w15:appearance w15:val="hidden"/>
              </w:sdtPr>
              <w:sdtEndPr/>
              <w:sdtContent>
                <w:r w:rsidR="00A90635" w:rsidRPr="005B3293">
                  <w:rPr>
                    <w:rFonts w:asciiTheme="minorHAnsi" w:hAnsiTheme="minorHAnsi"/>
                    <w:lang w:val="en-US"/>
                  </w:rPr>
                  <w:t>- chao.wang1@stellantis.com</w:t>
                </w:r>
              </w:sdtContent>
            </w:sdt>
          </w:p>
          <w:p w:rsidR="001E6C1E" w:rsidRPr="00570C24" w:rsidRDefault="001A3DD6" w:rsidP="007B0B82">
            <w:pPr>
              <w:pStyle w:val="SFooter-Emailwebsite"/>
              <w:rPr>
                <w:lang w:val="en-US"/>
              </w:rPr>
            </w:pPr>
            <w:hyperlink r:id="rId12" w:history="1">
              <w:r w:rsidR="00A90635" w:rsidRPr="00570C24">
                <w:rPr>
                  <w:rStyle w:val="Hyperlink"/>
                  <w:lang w:val="en-US"/>
                </w:rPr>
                <w:t>communications@stellantis.com</w:t>
              </w:r>
            </w:hyperlink>
            <w:r w:rsidR="00A90635" w:rsidRPr="00570C24">
              <w:rPr>
                <w:lang w:val="en-US"/>
              </w:rPr>
              <w:br/>
              <w:t>www.stellantis.com</w:t>
            </w:r>
            <w:bookmarkEnd w:id="1"/>
          </w:p>
        </w:tc>
      </w:tr>
    </w:tbl>
    <w:p w:rsidR="00D814DF" w:rsidRPr="00570C24" w:rsidRDefault="00D814DF">
      <w:pPr>
        <w:spacing w:after="0"/>
        <w:jc w:val="left"/>
        <w:rPr>
          <w:lang w:val="en-US"/>
        </w:rPr>
      </w:pPr>
      <w:r w:rsidRPr="00570C24">
        <w:rPr>
          <w:lang w:val="en-US"/>
        </w:rPr>
        <w:br w:type="page"/>
      </w:r>
    </w:p>
    <w:p w:rsidR="00D814DF" w:rsidRPr="00DC026B" w:rsidRDefault="00DC026B" w:rsidP="00D814DF">
      <w:pPr>
        <w:pStyle w:val="STITLE"/>
      </w:pPr>
      <w:r w:rsidRPr="00DC026B">
        <w:lastRenderedPageBreak/>
        <w:t>DICHIARAZIONI PREVISIONALI</w:t>
      </w:r>
    </w:p>
    <w:p w:rsidR="00DC026B" w:rsidRPr="00DC026B" w:rsidRDefault="00DC026B" w:rsidP="00DC026B">
      <w:pPr>
        <w:spacing w:before="240"/>
        <w:rPr>
          <w:i/>
          <w:sz w:val="18"/>
          <w:szCs w:val="18"/>
        </w:rPr>
      </w:pPr>
      <w:r w:rsidRPr="00DC026B">
        <w:rPr>
          <w:i/>
          <w:sz w:val="18"/>
          <w:szCs w:val="18"/>
        </w:rPr>
        <w:t>La presente comunicazione contiene dichiarazioni previsionali. In particolare, le dichiarazioni riguardanti gli eventi futuri e i risultati previsti delle operazioni, le strategie aziendali, la previsione dei benefici ottenuti dalla transazione proposta, i risultati finanziari e operativi futuri, la data di chiusura prevista per la transazione proposta e gli altri aspetti previsti relativamente alle nostre operazioni o ai nostri risultati operativi sono dichiarazioni previsionali. Tali dichiarazioni possono includere i termini come “possono”, “saranno”, “prevedono”, “potrebbero”, “dovrebbero”, “intendono”, “stimano”, “anticipano”, “credono”, “rimangono”, “sulla buona strada”, “progettano”, “obiettivo”, “previsione”, “proiezione”, “prospettiva”, “prospettive”, “piano” o termini simili. Le dichiarazioni previsionali non sono garanzie di prestazioni future. Piuttosto, si basano sullo stato attuale delle conoscenze di Stellantis, sulle aspettative future e sulle proiezioni di eventi futuri e sono, per loro natura, soggette a rischi e incertezze intrinseche. Si riferiscono a eventi e dipendono da circostanze che possono o non possono verificarsi o esistere in futuro e, pertanto, che non dovrebbero essere oggetto di eccessivo affidamento.</w:t>
      </w:r>
    </w:p>
    <w:p w:rsidR="00DC026B" w:rsidRPr="00DC026B" w:rsidRDefault="00DC026B" w:rsidP="00DC026B">
      <w:pPr>
        <w:spacing w:before="240"/>
        <w:rPr>
          <w:i/>
          <w:sz w:val="18"/>
          <w:szCs w:val="18"/>
        </w:rPr>
      </w:pPr>
      <w:r w:rsidRPr="00DC026B">
        <w:rPr>
          <w:i/>
          <w:sz w:val="18"/>
          <w:szCs w:val="18"/>
        </w:rPr>
        <w:t xml:space="preserve">I risultati reali possono differire materialmente da quelli espressi nelle dichiarazioni previsionali in conseguenza di vari fattori, quali: incertezze sul fatto che la transazione proposta discussa nel presente documento sarà completata o sui tempi di completamento della stessa; la soddisfazione delle condizioni precedenti al completamento della transazione proposta, inclusa la capacità di ottenere le approvazioni normative nei termini previsti, a tutti i livelli o in maniera tempestiva; il rischio che le attività delle parti siano influenzate negativamente durante la pendenza della transazione proposta; la capacità di Stellantis di integrare con successo le operazioni dell’Azienda; l’interruzione dell’attività a seguito della transazione; l’effetto dell’annuncio della transazione sulla capacità dell’Azienda di trattenere e assumere personale chiave e mantenere i rapporti con clienti, fornitori e con gli altri soggetti con cui l’Azienda intrattiene rapporti commerciali; l’impatto della pandemia COVID-19, la capacità di Stellantis di lanciare con successo nuovi prodotti e di garantire i volumi di spedizione dei veicoli; i cambiamenti nei mercati finanziari globali, il contesto economico generale e i cambiamenti nella domanda di prodotti automobilistici, che è soggetta a ciclicità; cambiamenti delle condizioni economiche e politiche locali, cambiamenti delle politiche commerciali e l’imposizione di tariffe globali e regionali o di tariffe mirate all’industria automobilistica, la promulgazione di riforme fiscali o altri cambiamenti delle leggi e dei regolamenti fiscali; la capacità di Stellantis di espandere alcuni dei suoi brand a livello globale; la sua capacità di offrire prodotti innovativi e attraenti; la sua capacità di sviluppare, produrre e vendere veicoli con caratteristiche avanzate tra </w:t>
      </w:r>
      <w:r>
        <w:rPr>
          <w:i/>
          <w:sz w:val="18"/>
          <w:szCs w:val="18"/>
        </w:rPr>
        <w:t xml:space="preserve">cui elettrificazione </w:t>
      </w:r>
      <w:r w:rsidRPr="00DC026B">
        <w:rPr>
          <w:i/>
          <w:sz w:val="18"/>
          <w:szCs w:val="18"/>
        </w:rPr>
        <w:t>avanzata, connettività e caratteristiche di guida autonoma; vari tipi di reclami, cause legali, indagini governative e altri imprevisti, tra cui responsabilità di prodotto e rivendicazioni di garanzia, indagini e cause ambientali; spese operative materiali in relazione al rispetto delle normative ambientali, sanitarie e di sicurezza; l’elevato livello di concorrenza nel settore automobilistico, che potrebbe aumentare a causa del consolidamento; l’esposizione a carenze nel finanziamento dei piani pensionistici a benefici definiti di Stellantis; la capacità di fornire o organizzare l’accesso a finanziamenti adeguati per i concessionari e i clienti al dettaglio e i rischi associati alla creazione e alle operazioni delle società di servizi finanziari; la capacità di accedere ai finanziamenti per attuare i piani aziendali di Stellantis e migliorare le sue attività, le condizioni finanziarie e i risultati delle operazioni; un malfunzionamento significativo, un’interruzione o una violazione della sicurezza che comprometta i sistemi informatici o i sistemi di controllo elettronici contenuti nei veicoli di Stellantis; la capacità di Stellantis di realizzare i benefici previsti dagli accordi di joint venture; interruzioni derivanti dall’instabilità politica, sociale ed economica; rischi associati ai rapporti con dipendenti, concessionari e fornitori; aumenti dei costi, interruzioni delle forniture o carenze di materie prime, parti, componenti e sistemi utilizzati nei veicoli di Stellantis; sviluppi nei rapporti industriali e di lavoro e sviluppi delle leggi vigenti in materia di lavoro; fluttuazioni dei tassi di cambio, variazioni dei tassi di interesse, rischio di credito e altri rischi di mercato; disordini politici e civili; terremoti o altri disastri e altri rischi e incertezze.</w:t>
      </w:r>
    </w:p>
    <w:p w:rsidR="000F2FE8" w:rsidRPr="00DC026B" w:rsidRDefault="00DC026B" w:rsidP="00DC026B">
      <w:pPr>
        <w:spacing w:before="240"/>
        <w:rPr>
          <w:rFonts w:eastAsia="Encode Sans"/>
          <w:i/>
          <w:sz w:val="18"/>
          <w:szCs w:val="18"/>
        </w:rPr>
      </w:pPr>
      <w:r w:rsidRPr="00DC026B">
        <w:rPr>
          <w:i/>
          <w:sz w:val="18"/>
          <w:szCs w:val="18"/>
        </w:rPr>
        <w:t>Tutte le dichiarazioni previsionali riportate nella presente comunicazione si riferiscono solo alla data di questo documento e Stellantis declina qualsiasi obbligo di aggiornarle o rivederle pubblicamente. Ulteriori informazioni su Stellantis e le sue attività, inclusi i fattori che potrebbero materialmente influenzare i risultati finanziari di Stellantis, sono contenute nelle relazioni e nei documenti di Stellantis depositati presso la U.S. Securities and Exchange Commission e AFM.</w:t>
      </w:r>
    </w:p>
    <w:sectPr w:rsidR="000F2FE8" w:rsidRPr="00DC026B" w:rsidSect="005D2EA9">
      <w:footerReference w:type="default" r:id="rId13"/>
      <w:headerReference w:type="first" r:id="rId14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B4" w:rsidRDefault="000119B4" w:rsidP="008D3E4C">
      <w:r>
        <w:separator/>
      </w:r>
    </w:p>
  </w:endnote>
  <w:endnote w:type="continuationSeparator" w:id="0">
    <w:p w:rsidR="000119B4" w:rsidRDefault="000119B4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DE6B8EF5-79AF-42E1-B137-91C4EC15FE54}"/>
    <w:embedBold r:id="rId2" w:fontKey="{BF61EFA0-9C90-4050-970B-45C4C050E32B}"/>
    <w:embedItalic r:id="rId3" w:fontKey="{24AF86AD-5B2D-4F27-9953-CC88B1F6251D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65ED485F-F623-428A-99C7-1932579D8836}"/>
    <w:embedItalic r:id="rId5" w:fontKey="{0D7B00DF-AFC5-497C-A10F-E6AE22F4BD18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1A3DD6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B4" w:rsidRDefault="000119B4" w:rsidP="008D3E4C">
      <w:r>
        <w:separator/>
      </w:r>
    </w:p>
  </w:footnote>
  <w:footnote w:type="continuationSeparator" w:id="0">
    <w:p w:rsidR="000119B4" w:rsidRDefault="000119B4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780F9041" wp14:editId="10B28EED">
              <wp:simplePos x="0" y="0"/>
              <wp:positionH relativeFrom="page">
                <wp:posOffset>448310</wp:posOffset>
              </wp:positionH>
              <wp:positionV relativeFrom="page">
                <wp:posOffset>-21590</wp:posOffset>
              </wp:positionV>
              <wp:extent cx="269875" cy="259080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590800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0F9041" id="Groupe 29" o:spid="_x0000_s1026" style="position:absolute;margin-left:35.3pt;margin-top:-1.7pt;width:21.25pt;height:204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t9sgoAAI49AAAOAAAAZHJzL2Uyb0RvYy54bWzsW1uPozgWfl9p/wPicSU6XIzBUadHCYHR&#10;SL0zI3Wt9pkiVCXaBFigOtXTmv++59iG2Cmodvf27tZqqh5SxDkcfD5/52Jjv/3h8XS0PpZtd6ir&#10;le29cW2rrIp6d6juV/bfbjIntq2uz6tdfqyrcmV/Kjv7h3d//tPbc7Ms/XpfH3dla4GSqluem5W9&#10;7/tmuVh0xb485d2buikr+PGubk95D1/b+8Wuzc+g/XRc+K5LF+e63TVtXZRdB61b8aP9juu/uyuL&#10;/pe7u67srePKhr71/LPln7f4uXj3Nl/et3mzPxSyG/k39OKUHyp46Khqm/e59dAenqg6HYq27uq7&#10;/k1Rnxb13d2hKLkNYI3nXlnzY1s/NNyW++X5vhlhAmivcPpmtcXPH39trcNuZQe2VeUnGCL+1NLy&#10;GTeofOzfdz2aBlfCpM9Z5m/CNCNOBlcOcTfE2aSEOZkfxKkfZYkf0N/xbo8ui7bMeyDHT7sBXo+a&#10;dV8ONAJDFhxg3s/PGWHbOEkyh6194pBNkDrrYEuc0E1IkvpbStP0dxzYBe/z8J9bsTg390tuMzKE&#10;X/7YNh+aX1sxeHD5vi7+0VlVnezz6r5cdw1wCJjNFV7fgt/vL/c/3rUn1APDaj1yjn0aOYboFdDo&#10;UxZHoW0V8JMfMjd2JQmLPTD1cpsTsyCmgp/FPpV3B17IPF/eHQdhREXH8qV4Nrdv7NG5AafqLrzp&#10;zIBHl5qi44d93pScjp3AkI8H2CJ4s37oay5iRS+UOdv1OvKD1HVoSmOHREnsbFiYOKEXpEnmkjBx&#10;42eYI61G5vDLgTbdLGcuNGrb+rwv8x0MgQeA1TfAh3R3UJilqET9HXDSuj3/td6BS+YALcd0kmGB&#10;B4TigWwgmUaTiAQQKaVDDAqatut/LOuThRcruwWS8wfkH8FPhO8MIsjoqs4OxyN/xrHSGsDJRAs8&#10;+0mgYC5L4zQGL/VpCoFiu3XWWUIcmkGXt8E2SbaeCBRkuT/sdmWFjxkDBTHjqxIoXBEosIddfTzs&#10;UB3/0t7fJsfW+phDHoCoBX8SEEVskXtqN4bAgfcjsDycfwb3g4DnQ7CjceSQjIQOi9zYcT22YdQl&#10;jGwz3aT3h6r8902yziubhX7IR0npNBiq2ubyv6e25cvToYdMezycVjbEHPgTlEFSptWOD22fH47i&#10;WoECu3+BQsTUIZYKmgqHuK13n4CyUAsAn/Z1+5ttnSGvruzunw95W9rW8acK2M88QjAR8y8kjHz4&#10;0qq/3Kq/VA+npIYhA5/JqwK0rux+uEx6kcchkTZ5/7760BQoiMOF1L15/HveNpLfPQzgzyI6TdFc&#10;yIKV6HnCEPkFwqcw7z8eR+kQR38BklovNfmmECZTTLkbljKHxBA949hzMQ1vKPOjtZutv0cI1eIl&#10;xiMt5hoHyDBgmGwx11IaxOA+nOhjnCQMmnguDuAvln4zEyTL4/HQdJgB8+VMnNQdE4vYcgw7eVGU&#10;VT/ka03yWGnurURbqAClc845Kg+/HB5MGa+++OarauHpmibSfNFz+ZBPJbj/bSUMhW7oAYUdd0sh&#10;F8Vx7LCMuY5L/JRAJlqHW/KCnBEiP6FQvL5642tm/JoZBiwhiBkGz4yeSPEvzxsZgZKWktQJEho6&#10;hMa+w0IWOtHWc704IHEWJC/IG31IeK/e+Fqnzi8/TedGpnuj/0Jz44YGKfWDyKFuArmRbRKH+evU&#10;8eKtv44iWCgKXlRudD0KUzKeGyOfeKGcng2VKqysjes+vi/qWJiLvVaqcj75R501Qm2qJcfghbpj&#10;SgJ3DR7pZJts65AkIg4j8dbJYhq46YYlFJdNcKI3uWhrvPT2neaNHiy1DMnx1R1fF3GevpuZTo5Q&#10;nEp3zNqyxNdWlkdeqEvGMQHvg+ToelvIkGs3deIAFjZTGsCs0oMXKeS59yhfcMlvX7MRWVB9/zEk&#10;QX1Z22cBY1crNsWDWNZWl2jgpdxOrkzf7+To3MBD7k5HeNX3l4UVe9YZPsTS0EUEhnIUca29RcXT&#10;UN2gBSazisiUEnirpkhMKiGayJQSWKIalVAWTPcF1g9HIXfSIFjVGCVm1cBkaxSaVgMF4Cgxqwbz&#10;0kVqsjvoKxcRxqbNwqpnlPL8aU0qyvNdUoGe02QEtadi7QXTfTJC21Ph9uJpTRrgcTyNE66jjzj5&#10;033ydcRniOSriM9pMkLcVxGf02SEuK8i7rNJnHwd8Rk++SriQTitSUN8zuECFfEZTYER4oGK+Jwm&#10;I8QDFXEyHdcCDfE5PgUq4oRO4hToiM/wCZbVL8yc02SEOL44Gjk+o4kYIU5UxOc0GSFONMSncSIa&#10;4nN8Iiri4XSkIzriMxwnKuLhdFQhRojDNPSC+Iym0AjxUEV8TpMR4qGKOJ2OdKGG+BzHQxVxOh1V&#10;Qh3xGY6HKuJzmowQpyriM5pg08dlVGbzHc5fRm+JpiMd1RGf4RNVEZ+plqiG+BzHqYr4nCYjxKmK&#10;+JwmI8QjFfEZTZGKuFIMwmx1LC7zvdg6kS+Lx0oWnHAFL65hv5Z4hdTUHe7wweoTXoLcDO8CQQoL&#10;1hlhGEYUDmSp+7wwjBQK8/ec0LnnhWEwUDgy0gx4o/BQcT+vGcs/lIYaT8zpvyAubfTMjIQpldBu&#10;ZiaWa7wzZoZiTcbFzUzFwgvFobgyMRWrKy5uZiqWUFzczFSsk7i4malYDHFxM1Ox4kFxqGpMTMWy&#10;houbmYq1Cxc3MxULFC5uZipWIVzczFQsNVAcygkTU7Ge4OJmpmLRwMXNTMXKgIubmYrpn4ubmYo5&#10;HsUhj5uYiomci5uZitmai5uZiimZi5uZinmXi5uZiskVxcddk8+HJbkCeANZ0gQZTJNcu5mpmAu5&#10;uJmpmPC4uJmpmNVQHDKX0neREmRywk1/1/uiW9uCfdG3eA9so8p7zGnDJe5RgWUSa7+ycS0Em0/1&#10;x/Km5gI9Zjb8GZ467Da8/Fw83B6KTfmbKix6KF90NPz+55uw95oe/ZuqAqoiaYOi97nGP4RuuZ9Y&#10;AAWlHwzVuKolGgUnZaMRJjLVX+nBZRuuXXvk2Do61BeHU78FOMnH06TVrPcDChpdoA4RvX+m9evU&#10;ayz3oFZGcGK+4Wy0STi4bDVSL2uPK0WyxKBMe6iv2WSmXrtl6KeuaLr1RanXKCgrpCu6wmEHxRmM&#10;eh8M4PB4PMCAiytPeT+2mvNev+WJeo2YuqxZ74d+PqNo+qFm6oc4olFQ1mBXdMUVm4s3GKknEnvd&#10;gWSZdMX7sdUce/2WAQaTVrPeD+Bo2L+q55F9hIFXRSP2mn8OrbIU/ZpsJevLK/eXZSRlWqgYW82Z&#10;o98y9lNGdr0m0WWNmKPf8v3VDyhrXourTRf/HB6KK0eXVqPey4L3yv1lXXvltXToijn2+i1jPzVF&#10;061mvTdQ9D3UaxTEdSeeTrQkI7e0fw3vo4GCmiJZrl/xfmw1x16/ZYDBpNUIexNF0w99ov5YqVMQ&#10;qZjzHUSHH4tj3ZVi2oRzIL4rZZwMcZWX18zaRn5+btVwyz/Omsad/vzh2DK1r/X/9szRl08vjCeu&#10;TI8Z9Y+3jzAyl4M68sQRnjvycdI7dejID/EEnDx0BBfiwFEAO+7gi9g65vFDUbB74+mJo6KHWbE4&#10;fvTfO3PET3LCoV/OPXlAGU8Vq9/hWj1G/e5fAAAA//8DAFBLAwQUAAYACAAAACEA/7R6n+AAAAAJ&#10;AQAADwAAAGRycy9kb3ducmV2LnhtbEyPQUvDQBSE74L/YXmCt3Z3TYwSsymlqKci2AribZt9TUKz&#10;b0N2m6T/3u1Jj8MMM98Uq9l2bMTBt44UyKUAhlQ501Kt4Gv/tngG5oMmoztHqOCCHlbl7U2hc+Mm&#10;+sRxF2oWS8jnWkETQp9z7qsGrfZL1yNF7+gGq0OUQ83NoKdYbjv+IETGrW4pLjS6x02D1Wl3tgre&#10;Jz2tE/k6bk/HzeVn//jxvZWo1P3dvH4BFnAOf2G44kd0KCPTwZ3JeNYpeBJZTCpYJCmwqy8TCeyg&#10;IBVpBrws+P8H5S8AAAD//wMAUEsBAi0AFAAGAAgAAAAhALaDOJL+AAAA4QEAABMAAAAAAAAAAAAA&#10;AAAAAAAAAFtDb250ZW50X1R5cGVzXS54bWxQSwECLQAUAAYACAAAACEAOP0h/9YAAACUAQAACwAA&#10;AAAAAAAAAAAAAAAvAQAAX3JlbHMvLnJlbHNQSwECLQAUAAYACAAAACEAFNdLfbIKAACOPQAADgAA&#10;AAAAAAAAAAAAAAAuAgAAZHJzL2Uyb0RvYy54bWxQSwECLQAUAAYACAAAACEA/7R6n+AAAAAJAQAA&#10;DwAAAAAAAAAAAAAAAAAMDQAAZHJzL2Rvd25yZXYueG1sUEsFBgAAAAAEAAQA8wAAABkO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4A2F5A3" wp14:editId="7AB632B2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119B4"/>
    <w:rsid w:val="00087566"/>
    <w:rsid w:val="000F2FE8"/>
    <w:rsid w:val="00126E5A"/>
    <w:rsid w:val="00140A24"/>
    <w:rsid w:val="00150AD4"/>
    <w:rsid w:val="0015732F"/>
    <w:rsid w:val="0018789F"/>
    <w:rsid w:val="00195CBD"/>
    <w:rsid w:val="001A3DD6"/>
    <w:rsid w:val="001B0085"/>
    <w:rsid w:val="001B591C"/>
    <w:rsid w:val="001C0FF2"/>
    <w:rsid w:val="001C4784"/>
    <w:rsid w:val="001D168B"/>
    <w:rsid w:val="001E5F48"/>
    <w:rsid w:val="001E6C1E"/>
    <w:rsid w:val="001F4703"/>
    <w:rsid w:val="002005E5"/>
    <w:rsid w:val="00214443"/>
    <w:rsid w:val="0022588D"/>
    <w:rsid w:val="0023542B"/>
    <w:rsid w:val="00242220"/>
    <w:rsid w:val="00253AD7"/>
    <w:rsid w:val="00257500"/>
    <w:rsid w:val="00271869"/>
    <w:rsid w:val="002836DD"/>
    <w:rsid w:val="00293E0C"/>
    <w:rsid w:val="002C508D"/>
    <w:rsid w:val="002F705B"/>
    <w:rsid w:val="00322BCE"/>
    <w:rsid w:val="00352C28"/>
    <w:rsid w:val="00361849"/>
    <w:rsid w:val="0036683D"/>
    <w:rsid w:val="003864AD"/>
    <w:rsid w:val="003E68CC"/>
    <w:rsid w:val="003E727D"/>
    <w:rsid w:val="004022B4"/>
    <w:rsid w:val="00425677"/>
    <w:rsid w:val="00427ABE"/>
    <w:rsid w:val="00433EDD"/>
    <w:rsid w:val="00435A04"/>
    <w:rsid w:val="0044219E"/>
    <w:rsid w:val="004502CD"/>
    <w:rsid w:val="0045216F"/>
    <w:rsid w:val="004532D9"/>
    <w:rsid w:val="00464B4C"/>
    <w:rsid w:val="00484232"/>
    <w:rsid w:val="004D61EA"/>
    <w:rsid w:val="004F7D4E"/>
    <w:rsid w:val="00501A19"/>
    <w:rsid w:val="00532DF0"/>
    <w:rsid w:val="00544345"/>
    <w:rsid w:val="0055479C"/>
    <w:rsid w:val="00562D3D"/>
    <w:rsid w:val="00570C24"/>
    <w:rsid w:val="005847FF"/>
    <w:rsid w:val="0059213B"/>
    <w:rsid w:val="005A02C9"/>
    <w:rsid w:val="005B024F"/>
    <w:rsid w:val="005B3293"/>
    <w:rsid w:val="005C775F"/>
    <w:rsid w:val="005D1D6D"/>
    <w:rsid w:val="005D2EA9"/>
    <w:rsid w:val="005F2120"/>
    <w:rsid w:val="0061682B"/>
    <w:rsid w:val="00646166"/>
    <w:rsid w:val="00655A10"/>
    <w:rsid w:val="00666A99"/>
    <w:rsid w:val="00682310"/>
    <w:rsid w:val="006B5C7E"/>
    <w:rsid w:val="006C11F7"/>
    <w:rsid w:val="006E27BF"/>
    <w:rsid w:val="00700983"/>
    <w:rsid w:val="00725131"/>
    <w:rsid w:val="00753A05"/>
    <w:rsid w:val="007819D6"/>
    <w:rsid w:val="007A46E2"/>
    <w:rsid w:val="007B0B82"/>
    <w:rsid w:val="007B6150"/>
    <w:rsid w:val="007E317D"/>
    <w:rsid w:val="008030D5"/>
    <w:rsid w:val="0080313B"/>
    <w:rsid w:val="00805FAA"/>
    <w:rsid w:val="008124BD"/>
    <w:rsid w:val="00815087"/>
    <w:rsid w:val="00815B14"/>
    <w:rsid w:val="00844956"/>
    <w:rsid w:val="0086416D"/>
    <w:rsid w:val="00877117"/>
    <w:rsid w:val="008B4CD5"/>
    <w:rsid w:val="008B718E"/>
    <w:rsid w:val="008C6A96"/>
    <w:rsid w:val="008D3E4C"/>
    <w:rsid w:val="008E46EF"/>
    <w:rsid w:val="008F0F07"/>
    <w:rsid w:val="008F2A13"/>
    <w:rsid w:val="008F5EDA"/>
    <w:rsid w:val="00925C7D"/>
    <w:rsid w:val="00992BE1"/>
    <w:rsid w:val="009968C5"/>
    <w:rsid w:val="009A12F3"/>
    <w:rsid w:val="009A23AB"/>
    <w:rsid w:val="009C33F1"/>
    <w:rsid w:val="009D180E"/>
    <w:rsid w:val="009D5F52"/>
    <w:rsid w:val="009D79F4"/>
    <w:rsid w:val="00A0245A"/>
    <w:rsid w:val="00A33E8D"/>
    <w:rsid w:val="00A42BA7"/>
    <w:rsid w:val="00A748DE"/>
    <w:rsid w:val="00A87390"/>
    <w:rsid w:val="00A90635"/>
    <w:rsid w:val="00AF79B8"/>
    <w:rsid w:val="00B16087"/>
    <w:rsid w:val="00B1668A"/>
    <w:rsid w:val="00B177DF"/>
    <w:rsid w:val="00B32F4C"/>
    <w:rsid w:val="00B64F18"/>
    <w:rsid w:val="00B92FB1"/>
    <w:rsid w:val="00B96799"/>
    <w:rsid w:val="00BA7969"/>
    <w:rsid w:val="00C0321D"/>
    <w:rsid w:val="00C10E75"/>
    <w:rsid w:val="00C21B90"/>
    <w:rsid w:val="00C31F14"/>
    <w:rsid w:val="00C363C0"/>
    <w:rsid w:val="00C60A64"/>
    <w:rsid w:val="00C814CD"/>
    <w:rsid w:val="00C97693"/>
    <w:rsid w:val="00D00F9C"/>
    <w:rsid w:val="00D0485C"/>
    <w:rsid w:val="00D239E7"/>
    <w:rsid w:val="00D265D9"/>
    <w:rsid w:val="00D43A60"/>
    <w:rsid w:val="00D5456A"/>
    <w:rsid w:val="00D54C2A"/>
    <w:rsid w:val="00D76779"/>
    <w:rsid w:val="00D814DF"/>
    <w:rsid w:val="00D82E59"/>
    <w:rsid w:val="00DA27E1"/>
    <w:rsid w:val="00DC026B"/>
    <w:rsid w:val="00DC18C2"/>
    <w:rsid w:val="00DD3D94"/>
    <w:rsid w:val="00DE72B9"/>
    <w:rsid w:val="00DF5711"/>
    <w:rsid w:val="00E014CA"/>
    <w:rsid w:val="00E019CA"/>
    <w:rsid w:val="00E35DF9"/>
    <w:rsid w:val="00E44AD2"/>
    <w:rsid w:val="00E45FDD"/>
    <w:rsid w:val="00E53F39"/>
    <w:rsid w:val="00E73507"/>
    <w:rsid w:val="00E8163B"/>
    <w:rsid w:val="00E82EAD"/>
    <w:rsid w:val="00E90B5F"/>
    <w:rsid w:val="00E93724"/>
    <w:rsid w:val="00E953BE"/>
    <w:rsid w:val="00EF16D8"/>
    <w:rsid w:val="00F34885"/>
    <w:rsid w:val="00F5284E"/>
    <w:rsid w:val="00F66CF5"/>
    <w:rsid w:val="00F7137E"/>
    <w:rsid w:val="00F7559B"/>
    <w:rsid w:val="00F90273"/>
    <w:rsid w:val="00F90CCA"/>
    <w:rsid w:val="00F92EBF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88AD9F0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0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87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ellantis.com/it" TargetMode="External"/><Relationship Id="rId12" Type="http://schemas.openxmlformats.org/officeDocument/2006/relationships/hyperlink" Target="mailto:communications@stellanti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6403A414984292A98B46A43595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DB8B-1D68-4646-A327-EEFD056919E8}"/>
      </w:docPartPr>
      <w:docPartBody>
        <w:p w:rsidR="00E20551" w:rsidRDefault="00896646">
          <w:pPr>
            <w:pStyle w:val="226403A414984292A98B46A43595D79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FC727CD0C894B009907ED82D999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D6FD-26FE-4B81-8F08-08A2AFC0C1E4}"/>
      </w:docPartPr>
      <w:docPartBody>
        <w:p w:rsidR="00312839" w:rsidRDefault="00E20551" w:rsidP="00E20551">
          <w:pPr>
            <w:pStyle w:val="FFC727CD0C894B009907ED82D9990A7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7FD2A97530E4377AB265B534B50A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A617-E004-4FBC-B5AA-BEBE1563DC28}"/>
      </w:docPartPr>
      <w:docPartBody>
        <w:p w:rsidR="00312839" w:rsidRDefault="00E20551" w:rsidP="00E20551">
          <w:pPr>
            <w:pStyle w:val="C7FD2A97530E4377AB265B534B50A675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440F7F84D6E4441AA41480028B06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3BE4-C1A5-430D-8904-33AC23551AE8}"/>
      </w:docPartPr>
      <w:docPartBody>
        <w:p w:rsidR="006973A8" w:rsidRDefault="00014EE8" w:rsidP="00014EE8">
          <w:pPr>
            <w:pStyle w:val="D440F7F84D6E4441AA41480028B062F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9E85549DCDB4E098BE802B3763A0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A4F4-1BC7-45CB-9527-D97730305181}"/>
      </w:docPartPr>
      <w:docPartBody>
        <w:p w:rsidR="006973A8" w:rsidRDefault="00014EE8" w:rsidP="00014EE8">
          <w:pPr>
            <w:pStyle w:val="C9E85549DCDB4E098BE802B3763A0AD3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46"/>
    <w:rsid w:val="00014EE8"/>
    <w:rsid w:val="00021944"/>
    <w:rsid w:val="00050E2F"/>
    <w:rsid w:val="00286664"/>
    <w:rsid w:val="00312839"/>
    <w:rsid w:val="00316ACF"/>
    <w:rsid w:val="00400902"/>
    <w:rsid w:val="004117DE"/>
    <w:rsid w:val="0059417C"/>
    <w:rsid w:val="006222F3"/>
    <w:rsid w:val="006973A8"/>
    <w:rsid w:val="00787479"/>
    <w:rsid w:val="008064B8"/>
    <w:rsid w:val="00896646"/>
    <w:rsid w:val="00901F4B"/>
    <w:rsid w:val="009139EA"/>
    <w:rsid w:val="00957318"/>
    <w:rsid w:val="009C4A50"/>
    <w:rsid w:val="00A00D69"/>
    <w:rsid w:val="00A87322"/>
    <w:rsid w:val="00C12EF2"/>
    <w:rsid w:val="00CE7CAF"/>
    <w:rsid w:val="00CF4DDB"/>
    <w:rsid w:val="00CF7107"/>
    <w:rsid w:val="00DA7556"/>
    <w:rsid w:val="00E20551"/>
    <w:rsid w:val="00E7553B"/>
    <w:rsid w:val="00E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4EE8"/>
    <w:rPr>
      <w:color w:val="808080"/>
    </w:rPr>
  </w:style>
  <w:style w:type="paragraph" w:customStyle="1" w:styleId="D446731CBF9945D78E9CC6F050930D89">
    <w:name w:val="D446731CBF9945D78E9CC6F050930D89"/>
  </w:style>
  <w:style w:type="paragraph" w:customStyle="1" w:styleId="2A429F85EC8A4E9BADB09C737B90DB74">
    <w:name w:val="2A429F85EC8A4E9BADB09C737B90DB74"/>
  </w:style>
  <w:style w:type="paragraph" w:customStyle="1" w:styleId="F27F6FAA0F284F29BED58E8035F39670">
    <w:name w:val="F27F6FAA0F284F29BED58E8035F39670"/>
  </w:style>
  <w:style w:type="paragraph" w:customStyle="1" w:styleId="226403A414984292A98B46A43595D792">
    <w:name w:val="226403A414984292A98B46A43595D792"/>
  </w:style>
  <w:style w:type="paragraph" w:customStyle="1" w:styleId="2806AA5986C94132B69E2EDD9A054FA4">
    <w:name w:val="2806AA5986C94132B69E2EDD9A054FA4"/>
  </w:style>
  <w:style w:type="paragraph" w:customStyle="1" w:styleId="FA9073C3328E4D5597C9ABCEE06E99E8">
    <w:name w:val="FA9073C3328E4D5597C9ABCEE06E99E8"/>
  </w:style>
  <w:style w:type="paragraph" w:customStyle="1" w:styleId="74C5EC75B8364E48904A47738329B591">
    <w:name w:val="74C5EC75B8364E48904A47738329B591"/>
  </w:style>
  <w:style w:type="paragraph" w:customStyle="1" w:styleId="027CFBC1475B4048BC775DE1AB5A7248">
    <w:name w:val="027CFBC1475B4048BC775DE1AB5A7248"/>
  </w:style>
  <w:style w:type="paragraph" w:customStyle="1" w:styleId="07F7F135E6E64D29BE7066C95C6E25F3">
    <w:name w:val="07F7F135E6E64D29BE7066C95C6E25F3"/>
  </w:style>
  <w:style w:type="paragraph" w:customStyle="1" w:styleId="FFC727CD0C894B009907ED82D9990A73">
    <w:name w:val="FFC727CD0C894B009907ED82D9990A73"/>
    <w:rsid w:val="00E20551"/>
  </w:style>
  <w:style w:type="paragraph" w:customStyle="1" w:styleId="C7FD2A97530E4377AB265B534B50A675">
    <w:name w:val="C7FD2A97530E4377AB265B534B50A675"/>
    <w:rsid w:val="00E20551"/>
  </w:style>
  <w:style w:type="paragraph" w:customStyle="1" w:styleId="D440F7F84D6E4441AA41480028B062F2">
    <w:name w:val="D440F7F84D6E4441AA41480028B062F2"/>
    <w:rsid w:val="00014EE8"/>
  </w:style>
  <w:style w:type="paragraph" w:customStyle="1" w:styleId="C9E85549DCDB4E098BE802B3763A0AD3">
    <w:name w:val="C9E85549DCDB4E098BE802B3763A0AD3"/>
    <w:rsid w:val="0001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5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5</cp:revision>
  <cp:lastPrinted>2021-12-06T22:23:00Z</cp:lastPrinted>
  <dcterms:created xsi:type="dcterms:W3CDTF">2022-01-27T18:25:00Z</dcterms:created>
  <dcterms:modified xsi:type="dcterms:W3CDTF">2022-01-28T06:29:00Z</dcterms:modified>
</cp:coreProperties>
</file>