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163AC" w14:textId="77777777" w:rsidR="00C00E9B" w:rsidRDefault="00C00E9B">
      <w:pPr>
        <w:pBdr>
          <w:top w:val="nil"/>
          <w:left w:val="nil"/>
          <w:bottom w:val="nil"/>
          <w:right w:val="nil"/>
          <w:between w:val="nil"/>
        </w:pBdr>
        <w:spacing w:after="480"/>
        <w:jc w:val="center"/>
        <w:rPr>
          <w:rFonts w:ascii="Arial" w:eastAsia="Arial" w:hAnsi="Arial" w:cs="Arial"/>
          <w:b/>
          <w:color w:val="000000"/>
          <w:sz w:val="28"/>
          <w:szCs w:val="28"/>
        </w:rPr>
      </w:pPr>
    </w:p>
    <w:p w14:paraId="48DB2639" w14:textId="5EA23613" w:rsidR="00D90200" w:rsidRPr="000B2E42" w:rsidRDefault="00DB7F49">
      <w:pPr>
        <w:pBdr>
          <w:top w:val="nil"/>
          <w:left w:val="nil"/>
          <w:bottom w:val="nil"/>
          <w:right w:val="nil"/>
          <w:between w:val="nil"/>
        </w:pBdr>
        <w:spacing w:after="480"/>
        <w:jc w:val="center"/>
        <w:rPr>
          <w:rFonts w:ascii="Arial" w:eastAsia="Arial" w:hAnsi="Arial" w:cs="Arial"/>
          <w:b/>
          <w:color w:val="000000"/>
          <w:sz w:val="28"/>
          <w:szCs w:val="28"/>
        </w:rPr>
      </w:pPr>
      <w:r>
        <w:rPr>
          <w:rFonts w:ascii="Arial" w:hAnsi="Arial"/>
          <w:b/>
          <w:color w:val="000000"/>
          <w:sz w:val="28"/>
          <w:szCs w:val="28"/>
        </w:rPr>
        <w:t>Stellantis</w:t>
      </w:r>
      <w:r w:rsidR="004B4DF9">
        <w:rPr>
          <w:rFonts w:ascii="Arial" w:hAnsi="Arial"/>
          <w:b/>
          <w:color w:val="000000"/>
          <w:sz w:val="28"/>
          <w:szCs w:val="28"/>
        </w:rPr>
        <w:t xml:space="preserve"> signe un accord</w:t>
      </w:r>
      <w:r>
        <w:rPr>
          <w:rFonts w:ascii="Arial" w:hAnsi="Arial"/>
          <w:b/>
          <w:color w:val="000000"/>
          <w:sz w:val="28"/>
          <w:szCs w:val="28"/>
        </w:rPr>
        <w:t xml:space="preserve"> </w:t>
      </w:r>
      <w:r w:rsidR="004B4DF9">
        <w:rPr>
          <w:rFonts w:ascii="Arial" w:hAnsi="Arial"/>
          <w:b/>
          <w:color w:val="000000"/>
          <w:sz w:val="28"/>
          <w:szCs w:val="28"/>
        </w:rPr>
        <w:t xml:space="preserve">avec Controlled Thermal Resources sur un </w:t>
      </w:r>
      <w:r w:rsidRPr="00DA6FD8">
        <w:rPr>
          <w:rFonts w:ascii="Arial" w:hAnsi="Arial"/>
          <w:b/>
          <w:color w:val="000000"/>
          <w:sz w:val="28"/>
          <w:szCs w:val="28"/>
        </w:rPr>
        <w:t xml:space="preserve">approvisionnement </w:t>
      </w:r>
      <w:r w:rsidR="00DA6FD8">
        <w:rPr>
          <w:rFonts w:ascii="Arial" w:hAnsi="Arial"/>
          <w:b/>
          <w:color w:val="000000"/>
          <w:sz w:val="28"/>
          <w:szCs w:val="28"/>
        </w:rPr>
        <w:t xml:space="preserve">en lithium </w:t>
      </w:r>
      <w:r w:rsidRPr="00DA6FD8">
        <w:rPr>
          <w:rFonts w:ascii="Arial" w:hAnsi="Arial"/>
          <w:b/>
          <w:color w:val="000000"/>
          <w:sz w:val="28"/>
          <w:szCs w:val="28"/>
        </w:rPr>
        <w:t>à faibles émissions pour la production</w:t>
      </w:r>
      <w:r>
        <w:rPr>
          <w:rFonts w:ascii="Arial" w:hAnsi="Arial"/>
          <w:b/>
          <w:color w:val="000000"/>
          <w:sz w:val="28"/>
          <w:szCs w:val="28"/>
        </w:rPr>
        <w:t xml:space="preserve"> de ses véhicules électriques en Amérique du Nord </w:t>
      </w:r>
    </w:p>
    <w:p w14:paraId="1A564787" w14:textId="1A4AFE50" w:rsidR="00D90200" w:rsidRPr="007F0624" w:rsidRDefault="00DB7F49">
      <w:pPr>
        <w:numPr>
          <w:ilvl w:val="0"/>
          <w:numId w:val="1"/>
        </w:numPr>
        <w:spacing w:after="0"/>
        <w:rPr>
          <w:rFonts w:ascii="Arial" w:eastAsia="Arial" w:hAnsi="Arial" w:cs="Arial"/>
        </w:rPr>
      </w:pPr>
      <w:r>
        <w:rPr>
          <w:rFonts w:ascii="Arial" w:hAnsi="Arial"/>
        </w:rPr>
        <w:t xml:space="preserve">L’accord </w:t>
      </w:r>
      <w:r w:rsidR="007B12C9">
        <w:rPr>
          <w:rFonts w:ascii="Arial" w:hAnsi="Arial"/>
        </w:rPr>
        <w:t xml:space="preserve">accroît </w:t>
      </w:r>
      <w:r>
        <w:rPr>
          <w:rFonts w:ascii="Arial" w:hAnsi="Arial"/>
        </w:rPr>
        <w:t xml:space="preserve">l’approvisionnement décarboné </w:t>
      </w:r>
      <w:r w:rsidR="007B12C9">
        <w:rPr>
          <w:rFonts w:ascii="Arial" w:hAnsi="Arial"/>
        </w:rPr>
        <w:t xml:space="preserve">de Stellantis en </w:t>
      </w:r>
      <w:r>
        <w:rPr>
          <w:rFonts w:ascii="Arial" w:hAnsi="Arial"/>
        </w:rPr>
        <w:t xml:space="preserve">matière première clé pour </w:t>
      </w:r>
      <w:r w:rsidR="007B12C9">
        <w:rPr>
          <w:rFonts w:ascii="Arial" w:hAnsi="Arial"/>
        </w:rPr>
        <w:t>s</w:t>
      </w:r>
      <w:r>
        <w:rPr>
          <w:rFonts w:ascii="Arial" w:hAnsi="Arial"/>
        </w:rPr>
        <w:t xml:space="preserve">es véhicules électrifiés </w:t>
      </w:r>
    </w:p>
    <w:p w14:paraId="7B02D251" w14:textId="4A0B0A9E" w:rsidR="00D90200" w:rsidRDefault="00FE2429">
      <w:pPr>
        <w:numPr>
          <w:ilvl w:val="0"/>
          <w:numId w:val="1"/>
        </w:numPr>
        <w:spacing w:after="0"/>
        <w:rPr>
          <w:rFonts w:ascii="Arial" w:eastAsia="Arial" w:hAnsi="Arial" w:cs="Arial"/>
        </w:rPr>
      </w:pPr>
      <w:r>
        <w:rPr>
          <w:rFonts w:ascii="Arial" w:hAnsi="Arial"/>
        </w:rPr>
        <w:t xml:space="preserve">L’hydroxyde de lithium </w:t>
      </w:r>
      <w:r w:rsidRPr="00410755">
        <w:rPr>
          <w:rFonts w:ascii="Arial" w:hAnsi="Arial"/>
        </w:rPr>
        <w:t>durable</w:t>
      </w:r>
      <w:r w:rsidRPr="007B12C9">
        <w:rPr>
          <w:rFonts w:ascii="Arial" w:hAnsi="Arial"/>
        </w:rPr>
        <w:t xml:space="preserve"> soutient la stratégie produit</w:t>
      </w:r>
      <w:r>
        <w:rPr>
          <w:rFonts w:ascii="Arial" w:hAnsi="Arial"/>
        </w:rPr>
        <w:t xml:space="preserve"> offensive de Stellantis aux États-Unis, avec le lancement de plus de 25 nouveaux véhicules électriques </w:t>
      </w:r>
      <w:r w:rsidR="003A75F9">
        <w:rPr>
          <w:rFonts w:ascii="Arial" w:hAnsi="Arial"/>
        </w:rPr>
        <w:t xml:space="preserve">à batteries </w:t>
      </w:r>
      <w:r>
        <w:rPr>
          <w:rFonts w:ascii="Arial" w:hAnsi="Arial"/>
        </w:rPr>
        <w:t>(BEV) et la vente de 50 % de BEV à l’horizon 2030</w:t>
      </w:r>
    </w:p>
    <w:p w14:paraId="65CDACCF" w14:textId="36A34510" w:rsidR="00B57822" w:rsidRPr="003062BC" w:rsidRDefault="006863D0">
      <w:pPr>
        <w:numPr>
          <w:ilvl w:val="0"/>
          <w:numId w:val="1"/>
        </w:numPr>
        <w:spacing w:after="0"/>
        <w:rPr>
          <w:rFonts w:ascii="Arial" w:eastAsia="Arial" w:hAnsi="Arial" w:cs="Arial"/>
        </w:rPr>
      </w:pPr>
      <w:r>
        <w:rPr>
          <w:rFonts w:ascii="Arial" w:hAnsi="Arial"/>
        </w:rPr>
        <w:t xml:space="preserve">Cet accord </w:t>
      </w:r>
      <w:r w:rsidR="002C35B1">
        <w:rPr>
          <w:rFonts w:ascii="Arial" w:hAnsi="Arial"/>
        </w:rPr>
        <w:t xml:space="preserve">engageant </w:t>
      </w:r>
      <w:r>
        <w:rPr>
          <w:rFonts w:ascii="Arial" w:hAnsi="Arial"/>
        </w:rPr>
        <w:t xml:space="preserve">d’approvisionnement </w:t>
      </w:r>
      <w:r w:rsidR="003A75F9" w:rsidRPr="00374A3C">
        <w:rPr>
          <w:rFonts w:ascii="Arial" w:hAnsi="Arial"/>
        </w:rPr>
        <w:t xml:space="preserve">établit </w:t>
      </w:r>
      <w:r w:rsidRPr="003A75F9">
        <w:rPr>
          <w:rFonts w:ascii="Arial" w:hAnsi="Arial"/>
        </w:rPr>
        <w:t>une nouvelle référence</w:t>
      </w:r>
      <w:r>
        <w:rPr>
          <w:rFonts w:ascii="Arial" w:hAnsi="Arial"/>
        </w:rPr>
        <w:t xml:space="preserve"> en matière de durabilité pour la chaîne d’approvisionnement </w:t>
      </w:r>
      <w:r w:rsidR="003A75F9">
        <w:rPr>
          <w:rFonts w:ascii="Arial" w:hAnsi="Arial"/>
        </w:rPr>
        <w:t>des batteries aux Etats-Unis</w:t>
      </w:r>
    </w:p>
    <w:p w14:paraId="364B6A2F" w14:textId="77777777" w:rsidR="00D90200" w:rsidRDefault="00D90200">
      <w:pPr>
        <w:spacing w:after="0"/>
        <w:ind w:left="720"/>
        <w:rPr>
          <w:rFonts w:ascii="Arial" w:eastAsia="Arial" w:hAnsi="Arial" w:cs="Arial"/>
          <w:color w:val="000000"/>
          <w:sz w:val="22"/>
          <w:szCs w:val="22"/>
        </w:rPr>
      </w:pPr>
    </w:p>
    <w:p w14:paraId="06355130" w14:textId="77777777" w:rsidR="00D90200" w:rsidRDefault="00D90200" w:rsidP="0033447A">
      <w:pPr>
        <w:shd w:val="clear" w:color="auto" w:fill="FFFFFF"/>
        <w:spacing w:after="0"/>
        <w:ind w:left="720"/>
        <w:rPr>
          <w:rFonts w:ascii="Arial" w:eastAsia="Arial" w:hAnsi="Arial" w:cs="Arial"/>
          <w:sz w:val="18"/>
          <w:szCs w:val="18"/>
        </w:rPr>
      </w:pPr>
    </w:p>
    <w:p w14:paraId="505D860F" w14:textId="584E705A" w:rsidR="00625C11" w:rsidRDefault="00DB7F49" w:rsidP="00374A3C">
      <w:pPr>
        <w:pBdr>
          <w:top w:val="nil"/>
          <w:left w:val="nil"/>
          <w:bottom w:val="nil"/>
          <w:right w:val="nil"/>
          <w:between w:val="nil"/>
        </w:pBdr>
        <w:rPr>
          <w:rFonts w:ascii="Arial" w:eastAsia="Arial" w:hAnsi="Arial" w:cs="Arial"/>
          <w:color w:val="000000"/>
          <w:sz w:val="22"/>
          <w:szCs w:val="22"/>
        </w:rPr>
      </w:pPr>
      <w:r w:rsidRPr="00374A3C">
        <w:rPr>
          <w:rFonts w:ascii="Arial" w:hAnsi="Arial"/>
          <w:b/>
          <w:sz w:val="22"/>
          <w:szCs w:val="22"/>
        </w:rPr>
        <w:t xml:space="preserve">AMSTERDAM, le </w:t>
      </w:r>
      <w:r w:rsidR="007B12C9" w:rsidRPr="00374A3C">
        <w:rPr>
          <w:rFonts w:ascii="Arial" w:hAnsi="Arial"/>
          <w:b/>
          <w:sz w:val="22"/>
          <w:szCs w:val="22"/>
        </w:rPr>
        <w:t>02 </w:t>
      </w:r>
      <w:r>
        <w:rPr>
          <w:rFonts w:ascii="Arial" w:hAnsi="Arial"/>
          <w:b/>
          <w:color w:val="000000"/>
          <w:sz w:val="22"/>
          <w:szCs w:val="22"/>
        </w:rPr>
        <w:t>juin 2022</w:t>
      </w:r>
      <w:r>
        <w:rPr>
          <w:rFonts w:ascii="Arial" w:hAnsi="Arial"/>
          <w:color w:val="000000"/>
          <w:sz w:val="22"/>
          <w:szCs w:val="22"/>
        </w:rPr>
        <w:t xml:space="preserve"> – </w:t>
      </w:r>
      <w:hyperlink r:id="rId11" w:history="1">
        <w:r>
          <w:rPr>
            <w:rStyle w:val="Hyperlink"/>
            <w:rFonts w:ascii="Arial" w:hAnsi="Arial"/>
            <w:sz w:val="22"/>
            <w:szCs w:val="22"/>
            <w:u w:val="single"/>
            <w:shd w:val="clear" w:color="auto" w:fill="FFFFFF"/>
          </w:rPr>
          <w:t>Stellantis N.V.</w:t>
        </w:r>
      </w:hyperlink>
      <w:r>
        <w:rPr>
          <w:rFonts w:ascii="Arial" w:hAnsi="Arial"/>
          <w:sz w:val="22"/>
          <w:szCs w:val="22"/>
          <w:shd w:val="clear" w:color="auto" w:fill="FFFFFF"/>
        </w:rPr>
        <w:t xml:space="preserve"> </w:t>
      </w:r>
      <w:r>
        <w:rPr>
          <w:rFonts w:ascii="Arial" w:hAnsi="Arial"/>
          <w:color w:val="000000"/>
          <w:sz w:val="22"/>
          <w:szCs w:val="22"/>
        </w:rPr>
        <w:t xml:space="preserve">et Controlled Thermal Resources Ltd. (CTR) ont signé un accord </w:t>
      </w:r>
      <w:r w:rsidR="002C35B1">
        <w:rPr>
          <w:rFonts w:ascii="Arial" w:hAnsi="Arial"/>
          <w:color w:val="000000"/>
          <w:sz w:val="22"/>
          <w:szCs w:val="22"/>
        </w:rPr>
        <w:t xml:space="preserve">engageant </w:t>
      </w:r>
      <w:r>
        <w:rPr>
          <w:rFonts w:ascii="Arial" w:hAnsi="Arial"/>
          <w:color w:val="000000"/>
          <w:sz w:val="22"/>
          <w:szCs w:val="22"/>
        </w:rPr>
        <w:t xml:space="preserve">d’approvisionnement </w:t>
      </w:r>
      <w:r w:rsidR="004B4DF9">
        <w:rPr>
          <w:rFonts w:ascii="Arial" w:hAnsi="Arial"/>
          <w:color w:val="000000"/>
          <w:sz w:val="22"/>
          <w:szCs w:val="22"/>
        </w:rPr>
        <w:t xml:space="preserve">afin </w:t>
      </w:r>
      <w:r>
        <w:rPr>
          <w:rFonts w:ascii="Arial" w:hAnsi="Arial"/>
          <w:color w:val="000000"/>
          <w:sz w:val="22"/>
          <w:szCs w:val="22"/>
        </w:rPr>
        <w:t xml:space="preserve">que </w:t>
      </w:r>
      <w:r w:rsidRPr="002C35B1">
        <w:rPr>
          <w:rFonts w:ascii="Arial" w:hAnsi="Arial"/>
          <w:color w:val="000000"/>
          <w:sz w:val="22"/>
          <w:szCs w:val="22"/>
        </w:rPr>
        <w:t>CTR fournisse</w:t>
      </w:r>
      <w:r>
        <w:rPr>
          <w:rFonts w:ascii="Arial" w:hAnsi="Arial"/>
          <w:color w:val="000000"/>
          <w:sz w:val="22"/>
          <w:szCs w:val="22"/>
        </w:rPr>
        <w:t xml:space="preserve"> de l’hydroxyde de lithium pour </w:t>
      </w:r>
      <w:r w:rsidR="007B12C9">
        <w:rPr>
          <w:rFonts w:ascii="Arial" w:hAnsi="Arial"/>
          <w:color w:val="000000"/>
          <w:sz w:val="22"/>
          <w:szCs w:val="22"/>
        </w:rPr>
        <w:t xml:space="preserve">les </w:t>
      </w:r>
      <w:r>
        <w:rPr>
          <w:rFonts w:ascii="Arial" w:hAnsi="Arial"/>
          <w:color w:val="000000"/>
          <w:sz w:val="22"/>
          <w:szCs w:val="22"/>
        </w:rPr>
        <w:t>batterie</w:t>
      </w:r>
      <w:r w:rsidR="0033447A">
        <w:rPr>
          <w:rFonts w:ascii="Arial" w:hAnsi="Arial"/>
          <w:color w:val="000000"/>
          <w:sz w:val="22"/>
          <w:szCs w:val="22"/>
        </w:rPr>
        <w:t>s</w:t>
      </w:r>
      <w:r>
        <w:rPr>
          <w:rFonts w:ascii="Arial" w:hAnsi="Arial"/>
          <w:color w:val="000000"/>
          <w:sz w:val="22"/>
          <w:szCs w:val="22"/>
        </w:rPr>
        <w:t xml:space="preserve"> </w:t>
      </w:r>
      <w:r w:rsidR="007B12C9">
        <w:rPr>
          <w:rFonts w:ascii="Arial" w:hAnsi="Arial"/>
          <w:color w:val="000000"/>
          <w:sz w:val="22"/>
          <w:szCs w:val="22"/>
        </w:rPr>
        <w:t xml:space="preserve">des </w:t>
      </w:r>
      <w:r>
        <w:rPr>
          <w:rFonts w:ascii="Arial" w:hAnsi="Arial"/>
          <w:color w:val="000000"/>
          <w:sz w:val="22"/>
          <w:szCs w:val="22"/>
        </w:rPr>
        <w:t xml:space="preserve">véhicules électrifiés </w:t>
      </w:r>
      <w:r w:rsidR="007B12C9">
        <w:rPr>
          <w:rFonts w:ascii="Arial" w:hAnsi="Arial"/>
          <w:color w:val="000000"/>
          <w:sz w:val="22"/>
          <w:szCs w:val="22"/>
        </w:rPr>
        <w:t xml:space="preserve">de </w:t>
      </w:r>
      <w:r>
        <w:rPr>
          <w:rFonts w:ascii="Arial" w:hAnsi="Arial"/>
          <w:color w:val="000000"/>
          <w:sz w:val="22"/>
          <w:szCs w:val="22"/>
        </w:rPr>
        <w:t xml:space="preserve">Stellantis produits en Amérique du Nord. </w:t>
      </w:r>
    </w:p>
    <w:p w14:paraId="6DEF7540" w14:textId="379D96B2" w:rsidR="006262D2" w:rsidRPr="003062BC" w:rsidRDefault="00E669FB" w:rsidP="00374A3C">
      <w:pPr>
        <w:spacing w:before="240"/>
        <w:rPr>
          <w:rFonts w:ascii="Arial" w:eastAsia="Times New Roman" w:hAnsi="Arial" w:cs="Arial"/>
          <w:sz w:val="22"/>
          <w:szCs w:val="22"/>
        </w:rPr>
      </w:pPr>
      <w:r>
        <w:rPr>
          <w:rFonts w:ascii="Arial" w:hAnsi="Arial"/>
          <w:sz w:val="22"/>
          <w:szCs w:val="22"/>
        </w:rPr>
        <w:t xml:space="preserve">Le projet Hell’s Kitchen de CTR dans le </w:t>
      </w:r>
      <w:r w:rsidRPr="002C35B1">
        <w:rPr>
          <w:rFonts w:ascii="Arial" w:hAnsi="Arial"/>
          <w:sz w:val="22"/>
          <w:szCs w:val="22"/>
        </w:rPr>
        <w:t>comté</w:t>
      </w:r>
      <w:r>
        <w:rPr>
          <w:rFonts w:ascii="Arial" w:hAnsi="Arial"/>
          <w:sz w:val="22"/>
          <w:szCs w:val="22"/>
        </w:rPr>
        <w:t xml:space="preserve"> d</w:t>
      </w:r>
      <w:r w:rsidR="0064482D">
        <w:rPr>
          <w:rFonts w:ascii="Arial" w:hAnsi="Arial"/>
          <w:sz w:val="22"/>
          <w:szCs w:val="22"/>
        </w:rPr>
        <w:t>’</w:t>
      </w:r>
      <w:r>
        <w:rPr>
          <w:rFonts w:ascii="Arial" w:hAnsi="Arial"/>
          <w:sz w:val="22"/>
          <w:szCs w:val="22"/>
        </w:rPr>
        <w:t>Imperial en Californie utilise</w:t>
      </w:r>
      <w:r w:rsidR="00DA6FD8">
        <w:rPr>
          <w:rFonts w:ascii="Arial" w:hAnsi="Arial"/>
          <w:sz w:val="22"/>
          <w:szCs w:val="22"/>
        </w:rPr>
        <w:t>ra</w:t>
      </w:r>
      <w:r>
        <w:rPr>
          <w:rFonts w:ascii="Arial" w:hAnsi="Arial"/>
          <w:sz w:val="22"/>
          <w:szCs w:val="22"/>
        </w:rPr>
        <w:t xml:space="preserve"> la saumure géothermale pour produire de l’hydroxyde de lithium pour </w:t>
      </w:r>
      <w:r w:rsidR="007B12C9">
        <w:rPr>
          <w:rFonts w:ascii="Arial" w:hAnsi="Arial"/>
          <w:sz w:val="22"/>
          <w:szCs w:val="22"/>
        </w:rPr>
        <w:t xml:space="preserve">les </w:t>
      </w:r>
      <w:r>
        <w:rPr>
          <w:rFonts w:ascii="Arial" w:hAnsi="Arial"/>
          <w:sz w:val="22"/>
          <w:szCs w:val="22"/>
        </w:rPr>
        <w:t>batterie</w:t>
      </w:r>
      <w:r w:rsidR="0033447A">
        <w:rPr>
          <w:rFonts w:ascii="Arial" w:hAnsi="Arial"/>
          <w:sz w:val="22"/>
          <w:szCs w:val="22"/>
        </w:rPr>
        <w:t>s</w:t>
      </w:r>
      <w:r>
        <w:rPr>
          <w:rFonts w:ascii="Arial" w:hAnsi="Arial"/>
          <w:sz w:val="22"/>
          <w:szCs w:val="22"/>
        </w:rPr>
        <w:t xml:space="preserve"> à partir d’énergie renouvelable et de vapeur</w:t>
      </w:r>
      <w:r w:rsidR="002C35B1">
        <w:rPr>
          <w:rFonts w:ascii="Arial" w:hAnsi="Arial"/>
          <w:sz w:val="22"/>
          <w:szCs w:val="22"/>
        </w:rPr>
        <w:t xml:space="preserve"> dans un </w:t>
      </w:r>
      <w:r>
        <w:rPr>
          <w:rFonts w:ascii="Arial" w:hAnsi="Arial"/>
          <w:sz w:val="22"/>
          <w:szCs w:val="22"/>
        </w:rPr>
        <w:t xml:space="preserve">processus intégré en boucle fermée. Il évite ainsi de devoir recourir à des bassins de saumure, des mines à ciel ouvert ou des combustibles fossiles. </w:t>
      </w:r>
    </w:p>
    <w:p w14:paraId="6E6180BA" w14:textId="13937FB2" w:rsidR="00D90200" w:rsidRPr="007F0624" w:rsidRDefault="00DB7F49" w:rsidP="00374A3C">
      <w:pPr>
        <w:pBdr>
          <w:top w:val="nil"/>
          <w:left w:val="nil"/>
          <w:bottom w:val="nil"/>
          <w:right w:val="nil"/>
          <w:between w:val="nil"/>
        </w:pBdr>
        <w:rPr>
          <w:rFonts w:ascii="Arial" w:eastAsia="Arial" w:hAnsi="Arial" w:cs="Arial"/>
          <w:color w:val="000000"/>
          <w:sz w:val="22"/>
          <w:szCs w:val="22"/>
        </w:rPr>
      </w:pPr>
      <w:r>
        <w:rPr>
          <w:rFonts w:ascii="Arial" w:hAnsi="Arial"/>
          <w:sz w:val="22"/>
          <w:szCs w:val="22"/>
        </w:rPr>
        <w:t>« Dans notre lutte contre le réchauffement climatique, nous devons absolument renforcer la chaîne d’approvisionnement de nos véhicules électriques afin de soutenir nos ambitions en matière d’électrification », a déclaré Carlos Tavares, CEO de Stellantis.</w:t>
      </w:r>
      <w:r>
        <w:rPr>
          <w:rFonts w:ascii="Arial" w:hAnsi="Arial"/>
          <w:color w:val="000000"/>
          <w:sz w:val="22"/>
          <w:szCs w:val="22"/>
        </w:rPr>
        <w:t xml:space="preserve"> « Disposer d’une chaîne </w:t>
      </w:r>
      <w:r w:rsidR="007B12C9">
        <w:rPr>
          <w:rFonts w:ascii="Arial" w:hAnsi="Arial"/>
          <w:color w:val="000000"/>
          <w:sz w:val="22"/>
          <w:szCs w:val="22"/>
        </w:rPr>
        <w:t xml:space="preserve">décarbonée </w:t>
      </w:r>
      <w:r>
        <w:rPr>
          <w:rFonts w:ascii="Arial" w:hAnsi="Arial"/>
          <w:color w:val="000000"/>
          <w:sz w:val="22"/>
          <w:szCs w:val="22"/>
        </w:rPr>
        <w:t xml:space="preserve">d’approvisionnement en lithium, robuste et compétitive auprès de différents partenaires dans le monde nous permettra de tenir nos engagements ambitieux pour la production responsable de véhicules électriques. » </w:t>
      </w:r>
    </w:p>
    <w:p w14:paraId="6A0634A4" w14:textId="490ACB4D" w:rsidR="0033447A" w:rsidRDefault="00DB7F49" w:rsidP="0033447A">
      <w:pPr>
        <w:pBdr>
          <w:top w:val="nil"/>
          <w:left w:val="nil"/>
          <w:bottom w:val="nil"/>
          <w:right w:val="nil"/>
          <w:between w:val="nil"/>
        </w:pBdr>
        <w:rPr>
          <w:rFonts w:ascii="Arial" w:hAnsi="Arial"/>
          <w:sz w:val="22"/>
          <w:szCs w:val="22"/>
        </w:rPr>
      </w:pPr>
      <w:r w:rsidRPr="00410755">
        <w:rPr>
          <w:rFonts w:ascii="Arial" w:hAnsi="Arial"/>
          <w:sz w:val="22"/>
          <w:szCs w:val="22"/>
        </w:rPr>
        <w:t xml:space="preserve">« Cet accord </w:t>
      </w:r>
      <w:r w:rsidR="00DA6FD8" w:rsidRPr="004B4DF9">
        <w:rPr>
          <w:rFonts w:ascii="Arial" w:hAnsi="Arial"/>
          <w:sz w:val="22"/>
          <w:szCs w:val="22"/>
        </w:rPr>
        <w:t xml:space="preserve">définitif </w:t>
      </w:r>
      <w:r w:rsidRPr="004B4DF9">
        <w:rPr>
          <w:rFonts w:ascii="Arial" w:hAnsi="Arial"/>
          <w:sz w:val="22"/>
          <w:szCs w:val="22"/>
        </w:rPr>
        <w:t xml:space="preserve">d’approvisionnement avec Stellantis </w:t>
      </w:r>
      <w:r w:rsidR="002C35B1" w:rsidRPr="00374A3C">
        <w:rPr>
          <w:rFonts w:ascii="Arial" w:hAnsi="Arial"/>
          <w:sz w:val="22"/>
          <w:szCs w:val="22"/>
        </w:rPr>
        <w:t xml:space="preserve">établit </w:t>
      </w:r>
      <w:r w:rsidRPr="00410755">
        <w:rPr>
          <w:rFonts w:ascii="Arial" w:hAnsi="Arial"/>
          <w:sz w:val="22"/>
          <w:szCs w:val="22"/>
        </w:rPr>
        <w:t>une nouvelle</w:t>
      </w:r>
      <w:r w:rsidRPr="002C35B1">
        <w:rPr>
          <w:rFonts w:ascii="Arial" w:hAnsi="Arial"/>
          <w:sz w:val="22"/>
          <w:szCs w:val="22"/>
        </w:rPr>
        <w:t xml:space="preserve"> référence pour l’industrie automobile américaine</w:t>
      </w:r>
      <w:r>
        <w:rPr>
          <w:rFonts w:ascii="Arial" w:hAnsi="Arial"/>
          <w:sz w:val="22"/>
          <w:szCs w:val="22"/>
        </w:rPr>
        <w:t> », a déclaré Rod Colwell, CEO de CTR. « Garantir une production de lithium propre issu de ressources renouvelables contribue à renforcer la décarbonation de la chaîne d’approvisionnement des batteries, ce qui, en retour, nous permet de commercialiser des véhicules plus propres avec un impact moindre sur l’environnement. Nous nous réjouissons de cette relation avec Stellantis qui s’annonce solide et fructueuse. »</w:t>
      </w:r>
    </w:p>
    <w:p w14:paraId="47D855F2" w14:textId="77777777" w:rsidR="0033447A" w:rsidRDefault="0033447A">
      <w:pPr>
        <w:rPr>
          <w:rFonts w:ascii="Arial" w:hAnsi="Arial"/>
          <w:sz w:val="22"/>
          <w:szCs w:val="22"/>
        </w:rPr>
      </w:pPr>
      <w:r>
        <w:rPr>
          <w:rFonts w:ascii="Arial" w:hAnsi="Arial"/>
          <w:sz w:val="22"/>
          <w:szCs w:val="22"/>
        </w:rPr>
        <w:br w:type="page"/>
      </w:r>
    </w:p>
    <w:p w14:paraId="68939C37" w14:textId="75994CD8" w:rsidR="00D90200" w:rsidRDefault="00512922" w:rsidP="00374A3C">
      <w:pPr>
        <w:pBdr>
          <w:top w:val="nil"/>
          <w:left w:val="nil"/>
          <w:bottom w:val="nil"/>
          <w:right w:val="nil"/>
          <w:between w:val="nil"/>
        </w:pBdr>
        <w:rPr>
          <w:rFonts w:ascii="Arial" w:eastAsia="Arial" w:hAnsi="Arial" w:cs="Arial"/>
          <w:sz w:val="22"/>
          <w:szCs w:val="22"/>
        </w:rPr>
      </w:pPr>
      <w:r>
        <w:rPr>
          <w:rFonts w:ascii="Arial" w:hAnsi="Arial"/>
          <w:sz w:val="22"/>
          <w:szCs w:val="22"/>
        </w:rPr>
        <w:lastRenderedPageBreak/>
        <w:t>CTR fournira à Stellantis jusqu’à 25 000 tonnes d’hydroxyde de lithium</w:t>
      </w:r>
      <w:r w:rsidR="007B12C9">
        <w:rPr>
          <w:rFonts w:ascii="Arial" w:hAnsi="Arial"/>
          <w:sz w:val="22"/>
          <w:szCs w:val="22"/>
        </w:rPr>
        <w:t xml:space="preserve"> par an durant les </w:t>
      </w:r>
      <w:r>
        <w:rPr>
          <w:rFonts w:ascii="Arial" w:hAnsi="Arial"/>
          <w:sz w:val="22"/>
          <w:szCs w:val="22"/>
        </w:rPr>
        <w:t xml:space="preserve">10 ans de l’accord. Stellantis a annoncé fin 2021 un </w:t>
      </w:r>
      <w:hyperlink r:id="rId12" w:history="1">
        <w:r>
          <w:rPr>
            <w:rStyle w:val="Hyperlink"/>
            <w:rFonts w:ascii="Arial" w:hAnsi="Arial"/>
            <w:sz w:val="22"/>
            <w:szCs w:val="22"/>
            <w:u w:val="single"/>
          </w:rPr>
          <w:t>accord d’approvisionnement similaire</w:t>
        </w:r>
      </w:hyperlink>
      <w:r>
        <w:rPr>
          <w:rFonts w:ascii="Arial" w:hAnsi="Arial"/>
          <w:sz w:val="22"/>
          <w:szCs w:val="22"/>
        </w:rPr>
        <w:t xml:space="preserve"> </w:t>
      </w:r>
      <w:r w:rsidR="002C35B1">
        <w:rPr>
          <w:rFonts w:ascii="Arial" w:hAnsi="Arial"/>
          <w:sz w:val="22"/>
          <w:szCs w:val="22"/>
        </w:rPr>
        <w:t>pour soutenir</w:t>
      </w:r>
      <w:r>
        <w:rPr>
          <w:rFonts w:ascii="Arial" w:hAnsi="Arial"/>
          <w:sz w:val="22"/>
          <w:szCs w:val="22"/>
        </w:rPr>
        <w:t xml:space="preserve"> sa production de véhicules en Europe.</w:t>
      </w:r>
    </w:p>
    <w:p w14:paraId="24A872D4" w14:textId="5D9C62B0" w:rsidR="00123307" w:rsidRDefault="00123307" w:rsidP="00374A3C">
      <w:pPr>
        <w:pBdr>
          <w:top w:val="nil"/>
          <w:left w:val="nil"/>
          <w:bottom w:val="nil"/>
          <w:right w:val="nil"/>
          <w:between w:val="nil"/>
        </w:pBdr>
        <w:rPr>
          <w:rFonts w:ascii="Arial" w:eastAsia="Arial" w:hAnsi="Arial" w:cs="Arial"/>
          <w:color w:val="000000"/>
          <w:sz w:val="22"/>
          <w:szCs w:val="22"/>
        </w:rPr>
      </w:pPr>
      <w:r>
        <w:rPr>
          <w:rFonts w:ascii="Arial" w:hAnsi="Arial"/>
          <w:color w:val="000000"/>
          <w:sz w:val="22"/>
          <w:szCs w:val="22"/>
        </w:rPr>
        <w:t xml:space="preserve">Dans le cadre de son Plan Stratégique </w:t>
      </w:r>
      <w:hyperlink r:id="rId13" w:history="1">
        <w:r>
          <w:rPr>
            <w:rStyle w:val="Hyperlink"/>
            <w:rFonts w:ascii="Arial" w:hAnsi="Arial"/>
            <w:sz w:val="22"/>
            <w:szCs w:val="22"/>
            <w:u w:val="single"/>
          </w:rPr>
          <w:t>Dare Forward 2030</w:t>
        </w:r>
      </w:hyperlink>
      <w:r>
        <w:rPr>
          <w:rFonts w:ascii="Arial" w:hAnsi="Arial"/>
          <w:color w:val="000000"/>
          <w:sz w:val="22"/>
          <w:szCs w:val="22"/>
        </w:rPr>
        <w:t xml:space="preserve">, Stellantis a annoncé vouloir vendre chaque année cinq millions de BEV à l’échelle mondiale en 2030, avec 100 % de véhicules </w:t>
      </w:r>
      <w:r w:rsidR="007B12C9">
        <w:rPr>
          <w:rFonts w:ascii="Arial" w:hAnsi="Arial"/>
          <w:color w:val="000000"/>
          <w:sz w:val="22"/>
          <w:szCs w:val="22"/>
        </w:rPr>
        <w:t xml:space="preserve">particuliers </w:t>
      </w:r>
      <w:r>
        <w:rPr>
          <w:rFonts w:ascii="Arial" w:hAnsi="Arial"/>
          <w:color w:val="000000"/>
          <w:sz w:val="22"/>
          <w:szCs w:val="22"/>
        </w:rPr>
        <w:t xml:space="preserve">électriques vendus en Europe et 50 % de véhicules </w:t>
      </w:r>
      <w:r w:rsidR="007B12C9">
        <w:rPr>
          <w:rFonts w:ascii="Arial" w:hAnsi="Arial"/>
          <w:color w:val="000000"/>
          <w:sz w:val="22"/>
          <w:szCs w:val="22"/>
        </w:rPr>
        <w:t xml:space="preserve">particuliers </w:t>
      </w:r>
      <w:r>
        <w:rPr>
          <w:rFonts w:ascii="Arial" w:hAnsi="Arial"/>
          <w:color w:val="000000"/>
          <w:sz w:val="22"/>
          <w:szCs w:val="22"/>
        </w:rPr>
        <w:t xml:space="preserve">et de </w:t>
      </w:r>
      <w:r w:rsidR="007B12C9">
        <w:rPr>
          <w:rFonts w:ascii="Arial" w:hAnsi="Arial"/>
          <w:color w:val="000000"/>
          <w:sz w:val="22"/>
          <w:szCs w:val="22"/>
        </w:rPr>
        <w:t>pick</w:t>
      </w:r>
      <w:r w:rsidR="004B4DF9">
        <w:rPr>
          <w:rFonts w:ascii="Arial" w:hAnsi="Arial"/>
          <w:color w:val="000000"/>
          <w:sz w:val="22"/>
          <w:szCs w:val="22"/>
        </w:rPr>
        <w:t xml:space="preserve"> </w:t>
      </w:r>
      <w:r w:rsidR="007B12C9">
        <w:rPr>
          <w:rFonts w:ascii="Arial" w:hAnsi="Arial"/>
          <w:color w:val="000000"/>
          <w:sz w:val="22"/>
          <w:szCs w:val="22"/>
        </w:rPr>
        <w:t>up</w:t>
      </w:r>
      <w:r w:rsidR="00C36C93">
        <w:rPr>
          <w:rFonts w:ascii="Arial" w:hAnsi="Arial"/>
          <w:color w:val="000000"/>
          <w:sz w:val="22"/>
          <w:szCs w:val="22"/>
        </w:rPr>
        <w:t>s</w:t>
      </w:r>
      <w:r>
        <w:rPr>
          <w:rFonts w:ascii="Arial" w:hAnsi="Arial"/>
          <w:color w:val="000000"/>
          <w:sz w:val="22"/>
          <w:szCs w:val="22"/>
        </w:rPr>
        <w:t xml:space="preserve"> en Amérique du Nord. Stellantis compte également augmenter de 140 GWh </w:t>
      </w:r>
      <w:r w:rsidR="002C35B1">
        <w:rPr>
          <w:rFonts w:ascii="Arial" w:hAnsi="Arial"/>
          <w:color w:val="000000"/>
          <w:sz w:val="22"/>
          <w:szCs w:val="22"/>
        </w:rPr>
        <w:t xml:space="preserve">le capacitaire prévu </w:t>
      </w:r>
      <w:r>
        <w:rPr>
          <w:rFonts w:ascii="Arial" w:hAnsi="Arial"/>
          <w:color w:val="000000"/>
          <w:sz w:val="22"/>
          <w:szCs w:val="22"/>
        </w:rPr>
        <w:t>de</w:t>
      </w:r>
      <w:r w:rsidR="007B12C9">
        <w:rPr>
          <w:rFonts w:ascii="Arial" w:hAnsi="Arial"/>
          <w:color w:val="000000"/>
          <w:sz w:val="22"/>
          <w:szCs w:val="22"/>
        </w:rPr>
        <w:t xml:space="preserve"> se</w:t>
      </w:r>
      <w:r>
        <w:rPr>
          <w:rFonts w:ascii="Arial" w:hAnsi="Arial"/>
          <w:color w:val="000000"/>
          <w:sz w:val="22"/>
          <w:szCs w:val="22"/>
        </w:rPr>
        <w:t>s batteries pour atteindre environ 400 GWh, avec cinq</w:t>
      </w:r>
      <w:r w:rsidR="007B12C9">
        <w:rPr>
          <w:rFonts w:ascii="Arial" w:hAnsi="Arial"/>
          <w:color w:val="000000"/>
          <w:sz w:val="22"/>
          <w:szCs w:val="22"/>
        </w:rPr>
        <w:t xml:space="preserve"> gigafactories </w:t>
      </w:r>
      <w:r>
        <w:rPr>
          <w:rFonts w:ascii="Arial" w:hAnsi="Arial"/>
          <w:color w:val="000000"/>
          <w:sz w:val="22"/>
          <w:szCs w:val="22"/>
        </w:rPr>
        <w:t xml:space="preserve">prévues en Europe et en Amérique du Nord, ainsi que des contrats d’approvisionnement </w:t>
      </w:r>
      <w:r w:rsidR="00410755">
        <w:rPr>
          <w:rFonts w:ascii="Arial" w:hAnsi="Arial"/>
          <w:color w:val="000000"/>
          <w:sz w:val="22"/>
          <w:szCs w:val="22"/>
        </w:rPr>
        <w:t>complémentaire</w:t>
      </w:r>
      <w:r>
        <w:rPr>
          <w:rFonts w:ascii="Arial" w:hAnsi="Arial"/>
          <w:color w:val="000000"/>
          <w:sz w:val="22"/>
          <w:szCs w:val="22"/>
        </w:rPr>
        <w:t xml:space="preserve">s. </w:t>
      </w:r>
    </w:p>
    <w:p w14:paraId="6F4816BF" w14:textId="74C763EC" w:rsidR="00F75BDD" w:rsidRDefault="00F75BDD" w:rsidP="00374A3C">
      <w:pPr>
        <w:pBdr>
          <w:top w:val="nil"/>
          <w:left w:val="nil"/>
          <w:bottom w:val="nil"/>
          <w:right w:val="nil"/>
          <w:between w:val="nil"/>
        </w:pBdr>
        <w:rPr>
          <w:rFonts w:ascii="Arial" w:eastAsia="Arial" w:hAnsi="Arial" w:cs="Arial"/>
          <w:sz w:val="22"/>
          <w:szCs w:val="22"/>
        </w:rPr>
      </w:pPr>
      <w:r>
        <w:rPr>
          <w:rFonts w:ascii="Arial" w:hAnsi="Arial"/>
          <w:sz w:val="22"/>
          <w:szCs w:val="22"/>
        </w:rPr>
        <w:t xml:space="preserve">CTR produira de l’hydroxyde de lithium et du carbonate de lithium pour </w:t>
      </w:r>
      <w:r w:rsidR="007B12C9">
        <w:rPr>
          <w:rFonts w:ascii="Arial" w:hAnsi="Arial"/>
          <w:sz w:val="22"/>
          <w:szCs w:val="22"/>
        </w:rPr>
        <w:t xml:space="preserve">les </w:t>
      </w:r>
      <w:r>
        <w:rPr>
          <w:rFonts w:ascii="Arial" w:hAnsi="Arial"/>
          <w:sz w:val="22"/>
          <w:szCs w:val="22"/>
        </w:rPr>
        <w:t>batteries ainsi que de l’énergie géothermique dans le comté d</w:t>
      </w:r>
      <w:r w:rsidR="0064482D">
        <w:rPr>
          <w:rFonts w:ascii="Arial" w:hAnsi="Arial"/>
          <w:sz w:val="22"/>
          <w:szCs w:val="22"/>
        </w:rPr>
        <w:t>’</w:t>
      </w:r>
      <w:r>
        <w:rPr>
          <w:rFonts w:ascii="Arial" w:hAnsi="Arial"/>
          <w:sz w:val="22"/>
          <w:szCs w:val="22"/>
        </w:rPr>
        <w:t xml:space="preserve">Imperial en Californie, avec une capacité de production de ressources </w:t>
      </w:r>
      <w:r w:rsidR="002C35B1">
        <w:rPr>
          <w:rFonts w:ascii="Arial" w:hAnsi="Arial"/>
          <w:sz w:val="22"/>
          <w:szCs w:val="22"/>
        </w:rPr>
        <w:t>supérieure à</w:t>
      </w:r>
      <w:r>
        <w:rPr>
          <w:rFonts w:ascii="Arial" w:hAnsi="Arial"/>
          <w:sz w:val="22"/>
          <w:szCs w:val="22"/>
        </w:rPr>
        <w:t xml:space="preserve"> 300 000 tonnes par an.</w:t>
      </w:r>
    </w:p>
    <w:p w14:paraId="2E5CA74B" w14:textId="77777777" w:rsidR="007F0624" w:rsidRPr="00A976CF" w:rsidRDefault="007F0624" w:rsidP="007F0624">
      <w:pPr>
        <w:jc w:val="center"/>
        <w:rPr>
          <w:rFonts w:ascii="Arial" w:eastAsia="Encode Sans" w:hAnsi="Arial" w:cs="Arial"/>
          <w:sz w:val="22"/>
          <w:szCs w:val="22"/>
        </w:rPr>
      </w:pPr>
      <w:r>
        <w:rPr>
          <w:rFonts w:ascii="Arial" w:hAnsi="Arial"/>
          <w:sz w:val="22"/>
          <w:szCs w:val="22"/>
        </w:rPr>
        <w:t># # #</w:t>
      </w:r>
    </w:p>
    <w:p w14:paraId="46D4EF33" w14:textId="77777777" w:rsidR="00211BDA" w:rsidRPr="006613B9" w:rsidRDefault="00211BDA" w:rsidP="00E653B0">
      <w:pPr>
        <w:spacing w:after="0"/>
        <w:rPr>
          <w:rFonts w:ascii="Arial" w:eastAsia="Times New Roman" w:hAnsi="Arial" w:cs="Arial"/>
          <w:b/>
          <w:bCs/>
          <w:sz w:val="20"/>
          <w:szCs w:val="20"/>
        </w:rPr>
      </w:pPr>
      <w:r w:rsidRPr="006613B9">
        <w:rPr>
          <w:rFonts w:ascii="Arial" w:hAnsi="Arial"/>
          <w:b/>
          <w:bCs/>
          <w:sz w:val="20"/>
          <w:szCs w:val="20"/>
        </w:rPr>
        <w:t>À propos de Stellantis</w:t>
      </w:r>
    </w:p>
    <w:p w14:paraId="71E955B6" w14:textId="2FF11A61" w:rsidR="00211BDA" w:rsidRPr="006613B9" w:rsidRDefault="00211BDA">
      <w:pPr>
        <w:spacing w:after="0"/>
        <w:rPr>
          <w:rFonts w:ascii="Arial" w:eastAsia="Times New Roman" w:hAnsi="Arial" w:cs="Arial"/>
          <w:sz w:val="20"/>
          <w:szCs w:val="20"/>
        </w:rPr>
      </w:pPr>
      <w:bookmarkStart w:id="0" w:name="_Hlk104023212"/>
      <w:r w:rsidRPr="006613B9">
        <w:rPr>
          <w:rFonts w:ascii="Arial" w:hAnsi="Arial"/>
          <w:sz w:val="20"/>
          <w:szCs w:val="20"/>
        </w:rPr>
        <w:t xml:space="preserve">Stellantis N.V. (NYSE / MTA / Euronext Paris : STLA)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14" w:history="1">
        <w:r w:rsidR="00C36C93" w:rsidRPr="00C36C93">
          <w:rPr>
            <w:rStyle w:val="Hyperlink"/>
            <w:rFonts w:ascii="Arial" w:hAnsi="Arial"/>
            <w:sz w:val="20"/>
            <w:szCs w:val="20"/>
          </w:rPr>
          <w:t>http://www.stellantis.com/fr</w:t>
        </w:r>
      </w:hyperlink>
      <w:r w:rsidRPr="00C36C93">
        <w:rPr>
          <w:rFonts w:ascii="Arial" w:hAnsi="Arial"/>
          <w:sz w:val="20"/>
          <w:szCs w:val="20"/>
        </w:rPr>
        <w:t>.</w:t>
      </w:r>
      <w:bookmarkEnd w:id="0"/>
    </w:p>
    <w:p w14:paraId="4B1252EB" w14:textId="77777777" w:rsidR="009D782E" w:rsidRPr="006613B9" w:rsidRDefault="009D782E">
      <w:pPr>
        <w:pBdr>
          <w:top w:val="nil"/>
          <w:left w:val="nil"/>
          <w:bottom w:val="nil"/>
          <w:right w:val="nil"/>
          <w:between w:val="nil"/>
        </w:pBdr>
        <w:spacing w:after="0"/>
        <w:jc w:val="left"/>
        <w:rPr>
          <w:rFonts w:ascii="Arial" w:eastAsia="Arial" w:hAnsi="Arial" w:cs="Arial"/>
          <w:i/>
          <w:color w:val="000000"/>
          <w:sz w:val="20"/>
          <w:szCs w:val="20"/>
        </w:rPr>
      </w:pPr>
    </w:p>
    <w:p w14:paraId="454AE94A" w14:textId="0D2BEE70" w:rsidR="009D782E" w:rsidRPr="006613B9" w:rsidRDefault="009D782E">
      <w:pPr>
        <w:pBdr>
          <w:top w:val="nil"/>
          <w:left w:val="nil"/>
          <w:bottom w:val="nil"/>
          <w:right w:val="nil"/>
          <w:between w:val="nil"/>
        </w:pBdr>
        <w:spacing w:after="0"/>
        <w:jc w:val="left"/>
        <w:rPr>
          <w:rFonts w:ascii="Arial" w:eastAsia="Arial" w:hAnsi="Arial" w:cs="Arial"/>
          <w:color w:val="000000"/>
          <w:sz w:val="20"/>
          <w:szCs w:val="20"/>
        </w:rPr>
      </w:pPr>
      <w:bookmarkStart w:id="1" w:name="_heading=h.gjdgxs"/>
      <w:bookmarkEnd w:id="1"/>
      <w:r w:rsidRPr="006613B9">
        <w:rPr>
          <w:rFonts w:ascii="Arial" w:hAnsi="Arial"/>
          <w:b/>
          <w:color w:val="000000"/>
          <w:sz w:val="20"/>
          <w:szCs w:val="20"/>
        </w:rPr>
        <w:t>À propos de CTR</w:t>
      </w:r>
    </w:p>
    <w:p w14:paraId="5A6CF277" w14:textId="76F87C26" w:rsidR="00DF61C4" w:rsidRPr="006613B9" w:rsidRDefault="00DF61C4" w:rsidP="00914E09">
      <w:pPr>
        <w:spacing w:after="0"/>
        <w:rPr>
          <w:rFonts w:ascii="Arial" w:eastAsia="SimSun" w:hAnsi="Arial" w:cs="Arial"/>
          <w:kern w:val="2"/>
          <w:sz w:val="20"/>
          <w:szCs w:val="20"/>
          <w:shd w:val="clear" w:color="auto" w:fill="FFFFFF"/>
        </w:rPr>
      </w:pPr>
      <w:bookmarkStart w:id="2" w:name="_Hlk100564101"/>
      <w:r w:rsidRPr="006613B9">
        <w:rPr>
          <w:rFonts w:ascii="Arial" w:hAnsi="Arial"/>
          <w:sz w:val="20"/>
          <w:szCs w:val="20"/>
          <w:shd w:val="clear" w:color="auto" w:fill="FFFFFF"/>
        </w:rPr>
        <w:t xml:space="preserve">Controlled Thermal Resources </w:t>
      </w:r>
      <w:bookmarkEnd w:id="2"/>
      <w:r w:rsidRPr="006613B9">
        <w:rPr>
          <w:rFonts w:ascii="Arial" w:hAnsi="Arial"/>
          <w:sz w:val="20"/>
          <w:szCs w:val="20"/>
          <w:shd w:val="clear" w:color="auto" w:fill="FFFFFF"/>
        </w:rPr>
        <w:t xml:space="preserve">Limited (« CTR »), par le biais de ses sociétés de projet, se spécialise dans la production de lithium et d’énergies renouvelables avec des projets déjà bien avancés aux États-Unis. Depuis 30 ans, l’équipe de direction de CTR assure le développement et la gestion de différentes opérations de géothermie réussies dans la région de Salton Sea. Leurs connaissances hautement spécialisées de la région se sont avérées essentielles pour l’avancée des projets de CTR.  CTR s’engage à fournir de l’énergie renouvelable et des produits à base de lithium durables et abordables en soutien aux initiatives californienne en matière d’énergie verte, et à offrir la garantie d’une chaîne d’approvisionnement en lithium sûre et socialement responsable. Pour en savoir plus, </w:t>
      </w:r>
      <w:r w:rsidR="00A36A36">
        <w:fldChar w:fldCharType="begin"/>
      </w:r>
      <w:r w:rsidR="00A36A36">
        <w:instrText>HYPERLINK "http://www.cthermal.com"</w:instrText>
      </w:r>
      <w:r w:rsidR="00A36A36">
        <w:fldChar w:fldCharType="separate"/>
      </w:r>
      <w:r w:rsidRPr="006613B9">
        <w:rPr>
          <w:rStyle w:val="Hyperlink"/>
          <w:rFonts w:ascii="Arial" w:hAnsi="Arial"/>
          <w:sz w:val="20"/>
          <w:szCs w:val="20"/>
          <w:shd w:val="clear" w:color="auto" w:fill="FFFFFF"/>
        </w:rPr>
        <w:t>www.cthermal.com</w:t>
      </w:r>
      <w:r w:rsidR="00A36A36">
        <w:rPr>
          <w:rStyle w:val="Hyperlink"/>
          <w:rFonts w:ascii="Arial" w:hAnsi="Arial"/>
          <w:sz w:val="20"/>
          <w:szCs w:val="20"/>
          <w:shd w:val="clear" w:color="auto" w:fill="FFFFFF"/>
        </w:rPr>
        <w:fldChar w:fldCharType="end"/>
      </w:r>
      <w:r w:rsidRPr="006613B9">
        <w:rPr>
          <w:rFonts w:ascii="Arial" w:hAnsi="Arial"/>
          <w:sz w:val="20"/>
          <w:szCs w:val="20"/>
          <w:shd w:val="clear" w:color="auto" w:fill="FFFFFF"/>
        </w:rPr>
        <w:t xml:space="preserve">. </w:t>
      </w:r>
    </w:p>
    <w:p w14:paraId="3E3FFB40" w14:textId="1FE4D8D5" w:rsidR="00D90200" w:rsidRPr="006613B9" w:rsidRDefault="00D90200">
      <w:pPr>
        <w:spacing w:after="0"/>
        <w:jc w:val="left"/>
        <w:rPr>
          <w:b/>
          <w:i/>
          <w:sz w:val="20"/>
          <w:szCs w:val="20"/>
        </w:rPr>
      </w:pPr>
    </w:p>
    <w:p w14:paraId="295F216C" w14:textId="77777777" w:rsidR="00DF61C4" w:rsidRPr="006613B9" w:rsidRDefault="00DF61C4">
      <w:pPr>
        <w:spacing w:after="0"/>
        <w:jc w:val="left"/>
        <w:rPr>
          <w:b/>
          <w:i/>
          <w:sz w:val="20"/>
          <w:szCs w:val="20"/>
        </w:rPr>
      </w:pPr>
    </w:p>
    <w:p w14:paraId="09667F5E" w14:textId="77777777" w:rsidR="00211BDA" w:rsidRPr="006613B9" w:rsidRDefault="00211BDA" w:rsidP="00211BDA">
      <w:pPr>
        <w:spacing w:after="0"/>
        <w:rPr>
          <w:rFonts w:ascii="Arial" w:eastAsia="Arial" w:hAnsi="Arial" w:cs="Arial"/>
          <w:b/>
          <w:sz w:val="20"/>
          <w:szCs w:val="20"/>
        </w:rPr>
      </w:pPr>
      <w:r w:rsidRPr="006613B9">
        <w:rPr>
          <w:rFonts w:ascii="Arial" w:hAnsi="Arial"/>
          <w:b/>
          <w:sz w:val="20"/>
          <w:szCs w:val="20"/>
        </w:rPr>
        <w:t>Contacts :</w:t>
      </w:r>
    </w:p>
    <w:p w14:paraId="3C30E1AF" w14:textId="77777777" w:rsidR="00211BDA" w:rsidRPr="006613B9" w:rsidRDefault="00211BDA" w:rsidP="00211BDA">
      <w:pPr>
        <w:spacing w:after="0"/>
        <w:rPr>
          <w:rFonts w:ascii="Arial" w:eastAsiaTheme="minorEastAsia" w:hAnsi="Arial" w:cs="Arial"/>
          <w:sz w:val="20"/>
          <w:szCs w:val="20"/>
        </w:rPr>
      </w:pPr>
    </w:p>
    <w:p w14:paraId="7ED2C733" w14:textId="77777777" w:rsidR="00211BDA" w:rsidRPr="006613B9" w:rsidRDefault="00211BDA" w:rsidP="00211BDA">
      <w:pPr>
        <w:spacing w:after="0"/>
        <w:rPr>
          <w:rFonts w:ascii="Arial" w:hAnsi="Arial" w:cs="Arial"/>
          <w:b/>
          <w:bCs/>
          <w:sz w:val="20"/>
          <w:szCs w:val="20"/>
        </w:rPr>
      </w:pPr>
      <w:r w:rsidRPr="006613B9">
        <w:rPr>
          <w:rFonts w:ascii="Arial" w:hAnsi="Arial"/>
          <w:b/>
          <w:bCs/>
          <w:sz w:val="20"/>
          <w:szCs w:val="20"/>
        </w:rPr>
        <w:t>Stellantis</w:t>
      </w:r>
    </w:p>
    <w:p w14:paraId="7730F5DF" w14:textId="77777777" w:rsidR="00211BDA" w:rsidRPr="006613B9" w:rsidRDefault="00211BDA" w:rsidP="00211BDA">
      <w:pPr>
        <w:spacing w:after="0"/>
        <w:rPr>
          <w:rFonts w:ascii="Arial" w:hAnsi="Arial" w:cs="Arial"/>
          <w:sz w:val="20"/>
          <w:szCs w:val="20"/>
        </w:rPr>
      </w:pPr>
    </w:p>
    <w:p w14:paraId="2C556014" w14:textId="77777777" w:rsidR="00211BDA" w:rsidRPr="006613B9" w:rsidRDefault="00211BDA" w:rsidP="00211BDA">
      <w:pPr>
        <w:tabs>
          <w:tab w:val="left" w:pos="2592"/>
        </w:tabs>
        <w:spacing w:after="0"/>
        <w:rPr>
          <w:rFonts w:ascii="Arial" w:eastAsia="Arial" w:hAnsi="Arial" w:cs="Arial"/>
          <w:b/>
          <w:bCs/>
          <w:sz w:val="20"/>
          <w:szCs w:val="20"/>
        </w:rPr>
      </w:pPr>
      <w:r w:rsidRPr="006613B9">
        <w:rPr>
          <w:rFonts w:ascii="Arial" w:hAnsi="Arial"/>
          <w:b/>
          <w:bCs/>
          <w:sz w:val="20"/>
          <w:szCs w:val="20"/>
        </w:rPr>
        <w:t xml:space="preserve">Fernão Silveira </w:t>
      </w:r>
    </w:p>
    <w:p w14:paraId="6253A0AD" w14:textId="77777777" w:rsidR="00211BDA" w:rsidRPr="006613B9" w:rsidRDefault="00211BDA" w:rsidP="00211BDA">
      <w:pPr>
        <w:tabs>
          <w:tab w:val="left" w:pos="2592"/>
        </w:tabs>
        <w:spacing w:after="0"/>
        <w:rPr>
          <w:rFonts w:ascii="Arial" w:eastAsia="Arial" w:hAnsi="Arial" w:cs="Arial"/>
          <w:sz w:val="20"/>
          <w:szCs w:val="20"/>
          <w:lang w:val="en-US"/>
        </w:rPr>
      </w:pPr>
      <w:r w:rsidRPr="006613B9">
        <w:rPr>
          <w:rFonts w:ascii="Arial" w:hAnsi="Arial"/>
          <w:sz w:val="20"/>
          <w:szCs w:val="20"/>
          <w:lang w:val="en-US"/>
        </w:rPr>
        <w:t>Global Communications / Stellantis</w:t>
      </w:r>
    </w:p>
    <w:p w14:paraId="3D47FCA4" w14:textId="77777777" w:rsidR="00211BDA" w:rsidRPr="006613B9" w:rsidRDefault="00211BDA" w:rsidP="00211BDA">
      <w:pPr>
        <w:tabs>
          <w:tab w:val="left" w:pos="2592"/>
        </w:tabs>
        <w:spacing w:after="0"/>
        <w:rPr>
          <w:rFonts w:ascii="Arial" w:eastAsia="Arial" w:hAnsi="Arial" w:cs="Arial"/>
          <w:sz w:val="20"/>
          <w:szCs w:val="20"/>
          <w:lang w:val="en-US"/>
        </w:rPr>
      </w:pPr>
      <w:r w:rsidRPr="006613B9">
        <w:rPr>
          <w:rFonts w:ascii="Arial" w:hAnsi="Arial"/>
          <w:sz w:val="20"/>
          <w:szCs w:val="20"/>
          <w:lang w:val="en-US"/>
        </w:rPr>
        <w:t xml:space="preserve">fernao.silveira@stellantis.com </w:t>
      </w:r>
    </w:p>
    <w:p w14:paraId="0DB3F9B8" w14:textId="77777777" w:rsidR="00211BDA" w:rsidRPr="006613B9" w:rsidRDefault="00211BDA" w:rsidP="00211BDA">
      <w:pPr>
        <w:tabs>
          <w:tab w:val="left" w:pos="2592"/>
        </w:tabs>
        <w:spacing w:after="0"/>
        <w:rPr>
          <w:rFonts w:ascii="Arial" w:eastAsia="Arial" w:hAnsi="Arial" w:cs="Arial"/>
          <w:sz w:val="20"/>
          <w:szCs w:val="20"/>
          <w:lang w:val="en-US"/>
        </w:rPr>
      </w:pPr>
      <w:r w:rsidRPr="006613B9">
        <w:rPr>
          <w:rFonts w:ascii="Arial" w:hAnsi="Arial"/>
          <w:sz w:val="20"/>
          <w:szCs w:val="20"/>
          <w:lang w:val="en-US"/>
        </w:rPr>
        <w:t>+31 6 43 25 43 41</w:t>
      </w:r>
    </w:p>
    <w:p w14:paraId="4C7FCF06" w14:textId="77777777" w:rsidR="00211BDA" w:rsidRPr="006613B9" w:rsidRDefault="00211BDA" w:rsidP="00211BDA">
      <w:pPr>
        <w:tabs>
          <w:tab w:val="left" w:pos="2592"/>
        </w:tabs>
        <w:spacing w:after="0"/>
        <w:rPr>
          <w:rFonts w:ascii="Arial" w:eastAsia="Arial" w:hAnsi="Arial" w:cs="Arial"/>
          <w:sz w:val="20"/>
          <w:szCs w:val="20"/>
          <w:lang w:val="en-US"/>
        </w:rPr>
      </w:pPr>
    </w:p>
    <w:p w14:paraId="5E360872" w14:textId="77777777" w:rsidR="00211BDA" w:rsidRPr="006613B9" w:rsidRDefault="00211BDA" w:rsidP="00211BDA">
      <w:pPr>
        <w:tabs>
          <w:tab w:val="left" w:pos="2592"/>
        </w:tabs>
        <w:spacing w:after="0"/>
        <w:rPr>
          <w:rFonts w:ascii="Arial" w:eastAsia="Arial" w:hAnsi="Arial" w:cs="Arial"/>
          <w:b/>
          <w:bCs/>
          <w:sz w:val="20"/>
          <w:szCs w:val="20"/>
          <w:lang w:val="en-US"/>
        </w:rPr>
      </w:pPr>
      <w:r w:rsidRPr="006613B9">
        <w:rPr>
          <w:rFonts w:ascii="Arial" w:hAnsi="Arial"/>
          <w:b/>
          <w:bCs/>
          <w:sz w:val="20"/>
          <w:szCs w:val="20"/>
          <w:lang w:val="en-US"/>
        </w:rPr>
        <w:t>Shawn Morgan</w:t>
      </w:r>
    </w:p>
    <w:p w14:paraId="59EEF380" w14:textId="77777777" w:rsidR="00211BDA" w:rsidRPr="006613B9" w:rsidRDefault="00211BDA" w:rsidP="00211BDA">
      <w:pPr>
        <w:tabs>
          <w:tab w:val="left" w:pos="2592"/>
        </w:tabs>
        <w:spacing w:after="0"/>
        <w:rPr>
          <w:rFonts w:ascii="Arial" w:eastAsia="Arial" w:hAnsi="Arial" w:cs="Arial"/>
          <w:sz w:val="20"/>
          <w:szCs w:val="20"/>
          <w:lang w:val="en-US"/>
        </w:rPr>
      </w:pPr>
      <w:r w:rsidRPr="006613B9">
        <w:rPr>
          <w:rFonts w:ascii="Arial" w:hAnsi="Arial"/>
          <w:sz w:val="20"/>
          <w:szCs w:val="20"/>
          <w:lang w:val="en-US"/>
        </w:rPr>
        <w:t>North America Communications / Stellantis</w:t>
      </w:r>
    </w:p>
    <w:p w14:paraId="3F005988" w14:textId="77777777" w:rsidR="00211BDA" w:rsidRPr="006613B9" w:rsidRDefault="00211BDA" w:rsidP="00211BDA">
      <w:pPr>
        <w:tabs>
          <w:tab w:val="left" w:pos="2592"/>
        </w:tabs>
        <w:spacing w:after="0"/>
        <w:rPr>
          <w:rFonts w:ascii="Arial" w:eastAsia="Arial" w:hAnsi="Arial" w:cs="Arial"/>
          <w:sz w:val="20"/>
          <w:szCs w:val="20"/>
          <w:lang w:val="en-US"/>
        </w:rPr>
      </w:pPr>
      <w:r w:rsidRPr="006613B9">
        <w:rPr>
          <w:rFonts w:ascii="Arial" w:hAnsi="Arial"/>
          <w:sz w:val="20"/>
          <w:szCs w:val="20"/>
          <w:lang w:val="en-US"/>
        </w:rPr>
        <w:t>shawn.morgan@stellantis.com</w:t>
      </w:r>
    </w:p>
    <w:p w14:paraId="0B777CB1" w14:textId="0BC9FB0E" w:rsidR="00211BDA" w:rsidRPr="006613B9" w:rsidRDefault="00211BDA" w:rsidP="00211BDA">
      <w:pPr>
        <w:tabs>
          <w:tab w:val="left" w:pos="2592"/>
        </w:tabs>
        <w:spacing w:after="0"/>
        <w:rPr>
          <w:rFonts w:ascii="Arial" w:eastAsia="Arial" w:hAnsi="Arial" w:cs="Arial"/>
          <w:sz w:val="20"/>
          <w:szCs w:val="20"/>
          <w:lang w:val="en-US"/>
        </w:rPr>
      </w:pPr>
      <w:r w:rsidRPr="006613B9">
        <w:rPr>
          <w:rFonts w:ascii="Arial" w:hAnsi="Arial"/>
          <w:sz w:val="20"/>
          <w:szCs w:val="20"/>
          <w:lang w:val="en-US"/>
        </w:rPr>
        <w:t>+1 (248) 760-2621</w:t>
      </w:r>
    </w:p>
    <w:p w14:paraId="5EB10C58" w14:textId="257A521B" w:rsidR="00A66CDC" w:rsidRPr="006613B9" w:rsidRDefault="00A66CDC">
      <w:pPr>
        <w:rPr>
          <w:rFonts w:ascii="Arial" w:eastAsia="Arial" w:hAnsi="Arial" w:cs="Arial"/>
          <w:sz w:val="20"/>
          <w:szCs w:val="20"/>
          <w:lang w:val="en-US"/>
        </w:rPr>
      </w:pPr>
      <w:r w:rsidRPr="006613B9">
        <w:rPr>
          <w:rFonts w:ascii="Arial" w:eastAsia="Arial" w:hAnsi="Arial" w:cs="Arial"/>
          <w:sz w:val="20"/>
          <w:szCs w:val="20"/>
          <w:lang w:val="en-US"/>
        </w:rPr>
        <w:br w:type="page"/>
      </w:r>
    </w:p>
    <w:p w14:paraId="1851D909" w14:textId="77777777" w:rsidR="00206526" w:rsidRPr="006613B9" w:rsidRDefault="00206526" w:rsidP="00206526">
      <w:pPr>
        <w:tabs>
          <w:tab w:val="left" w:pos="2592"/>
        </w:tabs>
        <w:spacing w:after="0"/>
        <w:rPr>
          <w:rFonts w:ascii="Arial" w:eastAsia="Arial" w:hAnsi="Arial" w:cs="Arial"/>
          <w:b/>
          <w:bCs/>
          <w:sz w:val="20"/>
          <w:szCs w:val="20"/>
          <w:lang w:val="en-US"/>
        </w:rPr>
      </w:pPr>
      <w:bookmarkStart w:id="3" w:name="_Hlk104885869"/>
      <w:r w:rsidRPr="006613B9">
        <w:rPr>
          <w:rFonts w:ascii="Arial" w:hAnsi="Arial"/>
          <w:b/>
          <w:bCs/>
          <w:sz w:val="20"/>
          <w:szCs w:val="20"/>
          <w:lang w:val="en-US"/>
        </w:rPr>
        <w:lastRenderedPageBreak/>
        <w:t xml:space="preserve">Controlled Thermal Resources </w:t>
      </w:r>
    </w:p>
    <w:p w14:paraId="16FFE100" w14:textId="77777777" w:rsidR="00206526" w:rsidRPr="006613B9" w:rsidRDefault="00206526" w:rsidP="00206526">
      <w:pPr>
        <w:tabs>
          <w:tab w:val="left" w:pos="2592"/>
        </w:tabs>
        <w:spacing w:after="0"/>
        <w:rPr>
          <w:rFonts w:ascii="Arial" w:eastAsia="Arial" w:hAnsi="Arial" w:cs="Arial"/>
          <w:sz w:val="20"/>
          <w:szCs w:val="20"/>
          <w:lang w:val="en-US"/>
        </w:rPr>
      </w:pPr>
    </w:p>
    <w:p w14:paraId="71676F59" w14:textId="77777777" w:rsidR="00206526" w:rsidRPr="006613B9" w:rsidRDefault="00206526" w:rsidP="00206526">
      <w:pPr>
        <w:tabs>
          <w:tab w:val="left" w:pos="2592"/>
        </w:tabs>
        <w:spacing w:after="0"/>
        <w:rPr>
          <w:rFonts w:ascii="Arial" w:eastAsia="Arial" w:hAnsi="Arial" w:cs="Arial"/>
          <w:b/>
          <w:bCs/>
          <w:sz w:val="20"/>
          <w:szCs w:val="20"/>
          <w:lang w:val="en-US"/>
        </w:rPr>
      </w:pPr>
      <w:r w:rsidRPr="006613B9">
        <w:rPr>
          <w:rFonts w:ascii="Arial" w:hAnsi="Arial"/>
          <w:b/>
          <w:bCs/>
          <w:sz w:val="20"/>
          <w:szCs w:val="20"/>
          <w:lang w:val="en-US"/>
        </w:rPr>
        <w:t>Lauren Rose</w:t>
      </w:r>
    </w:p>
    <w:p w14:paraId="2827ABEF" w14:textId="77777777" w:rsidR="00206526" w:rsidRPr="006613B9" w:rsidRDefault="00206526" w:rsidP="00206526">
      <w:pPr>
        <w:tabs>
          <w:tab w:val="left" w:pos="2592"/>
        </w:tabs>
        <w:spacing w:after="0"/>
        <w:rPr>
          <w:rFonts w:ascii="Arial" w:eastAsia="Arial" w:hAnsi="Arial" w:cs="Arial"/>
          <w:sz w:val="20"/>
          <w:szCs w:val="20"/>
          <w:lang w:val="en-US"/>
        </w:rPr>
      </w:pPr>
      <w:r w:rsidRPr="006613B9">
        <w:rPr>
          <w:rFonts w:ascii="Arial" w:hAnsi="Arial"/>
          <w:sz w:val="20"/>
          <w:szCs w:val="20"/>
          <w:lang w:val="en-US"/>
        </w:rPr>
        <w:t>Strategy and Communications Lead</w:t>
      </w:r>
    </w:p>
    <w:p w14:paraId="14FBBA61" w14:textId="651416EE" w:rsidR="00206526" w:rsidRPr="006613B9" w:rsidRDefault="00FB58AF" w:rsidP="00206526">
      <w:pPr>
        <w:tabs>
          <w:tab w:val="left" w:pos="2592"/>
        </w:tabs>
        <w:spacing w:after="0"/>
        <w:rPr>
          <w:rFonts w:ascii="Arial" w:eastAsia="Arial" w:hAnsi="Arial" w:cs="Arial"/>
          <w:sz w:val="20"/>
          <w:szCs w:val="20"/>
        </w:rPr>
      </w:pPr>
      <w:r w:rsidRPr="006613B9">
        <w:rPr>
          <w:rFonts w:ascii="Arial" w:hAnsi="Arial"/>
          <w:sz w:val="20"/>
          <w:szCs w:val="20"/>
        </w:rPr>
        <w:t>lauren.rose@cthermal.com</w:t>
      </w:r>
    </w:p>
    <w:p w14:paraId="1829EAD1" w14:textId="4EC099AD" w:rsidR="00206526" w:rsidRPr="006613B9" w:rsidRDefault="000B0968" w:rsidP="00206526">
      <w:pPr>
        <w:tabs>
          <w:tab w:val="left" w:pos="2592"/>
        </w:tabs>
        <w:spacing w:after="0"/>
        <w:rPr>
          <w:rFonts w:ascii="Arial" w:eastAsia="Arial" w:hAnsi="Arial" w:cs="Arial"/>
          <w:sz w:val="20"/>
          <w:szCs w:val="20"/>
        </w:rPr>
      </w:pPr>
      <w:r w:rsidRPr="006613B9">
        <w:rPr>
          <w:rFonts w:ascii="Arial" w:hAnsi="Arial"/>
          <w:sz w:val="20"/>
          <w:szCs w:val="20"/>
        </w:rPr>
        <w:t>+61 438 123 177</w:t>
      </w:r>
    </w:p>
    <w:bookmarkEnd w:id="3"/>
    <w:p w14:paraId="6EA0D2D4" w14:textId="77777777" w:rsidR="00C00E9B" w:rsidRPr="006613B9" w:rsidRDefault="00C00E9B" w:rsidP="00C00E9B">
      <w:pPr>
        <w:spacing w:after="0"/>
        <w:rPr>
          <w:rFonts w:ascii="Arial" w:eastAsiaTheme="minorEastAsia" w:hAnsi="Arial" w:cs="Arial"/>
          <w:sz w:val="20"/>
          <w:szCs w:val="20"/>
        </w:rPr>
      </w:pPr>
    </w:p>
    <w:p w14:paraId="2618A018" w14:textId="344B51EF" w:rsidR="00D90200" w:rsidRDefault="00D90200">
      <w:pPr>
        <w:spacing w:after="0"/>
        <w:jc w:val="left"/>
        <w:rPr>
          <w:b/>
          <w:i/>
          <w:sz w:val="16"/>
          <w:szCs w:val="16"/>
        </w:rPr>
      </w:pPr>
    </w:p>
    <w:p w14:paraId="48931531" w14:textId="4DA0CAB2" w:rsidR="009D782E" w:rsidRDefault="009D782E">
      <w:pPr>
        <w:spacing w:after="0"/>
        <w:jc w:val="left"/>
        <w:rPr>
          <w:b/>
          <w:i/>
          <w:sz w:val="16"/>
          <w:szCs w:val="16"/>
        </w:rPr>
      </w:pPr>
    </w:p>
    <w:p w14:paraId="2C8CFCF6" w14:textId="77777777" w:rsidR="009D782E" w:rsidRDefault="009D782E">
      <w:pPr>
        <w:spacing w:after="0"/>
        <w:jc w:val="left"/>
        <w:rPr>
          <w:b/>
          <w:i/>
          <w:sz w:val="16"/>
          <w:szCs w:val="16"/>
        </w:rPr>
      </w:pPr>
    </w:p>
    <w:p w14:paraId="55C981F4" w14:textId="77777777" w:rsidR="00914E09" w:rsidRDefault="00914E09" w:rsidP="00914E09">
      <w:pPr>
        <w:rPr>
          <w:rFonts w:ascii="Arial" w:hAnsi="Arial" w:cs="Arial"/>
          <w:b/>
          <w:bCs/>
          <w:sz w:val="18"/>
          <w:szCs w:val="18"/>
        </w:rPr>
      </w:pPr>
    </w:p>
    <w:p w14:paraId="340D9FA5" w14:textId="77777777" w:rsidR="00914E09" w:rsidRDefault="00914E09" w:rsidP="00914E09">
      <w:pPr>
        <w:rPr>
          <w:rFonts w:ascii="Arial" w:hAnsi="Arial" w:cs="Arial"/>
          <w:b/>
          <w:bCs/>
          <w:sz w:val="18"/>
          <w:szCs w:val="18"/>
        </w:rPr>
      </w:pPr>
    </w:p>
    <w:p w14:paraId="4ACCBD54" w14:textId="77777777" w:rsidR="00374A3C" w:rsidRDefault="00374A3C">
      <w:pPr>
        <w:rPr>
          <w:rFonts w:ascii="Arial" w:hAnsi="Arial"/>
          <w:b/>
          <w:bCs/>
          <w:sz w:val="18"/>
          <w:szCs w:val="18"/>
        </w:rPr>
      </w:pPr>
      <w:r>
        <w:rPr>
          <w:rFonts w:ascii="Arial" w:hAnsi="Arial"/>
          <w:b/>
          <w:bCs/>
          <w:sz w:val="18"/>
          <w:szCs w:val="18"/>
        </w:rPr>
        <w:br w:type="page"/>
      </w:r>
    </w:p>
    <w:p w14:paraId="1486F7E1" w14:textId="58F1AED3" w:rsidR="00211BDA" w:rsidRDefault="00211BDA" w:rsidP="00914E09">
      <w:pPr>
        <w:rPr>
          <w:rFonts w:ascii="Arial" w:hAnsi="Arial" w:cs="Arial"/>
          <w:b/>
          <w:bCs/>
          <w:sz w:val="18"/>
          <w:szCs w:val="18"/>
        </w:rPr>
      </w:pPr>
      <w:r>
        <w:rPr>
          <w:rFonts w:ascii="Arial" w:hAnsi="Arial"/>
          <w:b/>
          <w:bCs/>
          <w:sz w:val="18"/>
          <w:szCs w:val="18"/>
        </w:rPr>
        <w:lastRenderedPageBreak/>
        <w:t>DÉCLARATIONS PROSPECTIVES</w:t>
      </w:r>
    </w:p>
    <w:p w14:paraId="18E03D4B" w14:textId="77777777" w:rsidR="00211BDA" w:rsidRDefault="00211BDA" w:rsidP="00211BDA">
      <w:pPr>
        <w:spacing w:before="240"/>
        <w:rPr>
          <w:rFonts w:ascii="Arial" w:eastAsia="Encode Sans" w:hAnsi="Arial" w:cs="Arial"/>
          <w:i/>
          <w:sz w:val="18"/>
          <w:szCs w:val="18"/>
        </w:rPr>
      </w:pPr>
      <w:r>
        <w:rPr>
          <w:rFonts w:ascii="Arial" w:hAnsi="Arial"/>
          <w:i/>
          <w:sz w:val="18"/>
          <w:szCs w:val="18"/>
        </w:rPr>
        <w:t xml:space="preserve">Cette communication contient des déclarations prospectives. En particulier, les déclarations concernant les événements futurs et les résultats opérationnels anticipés, les stratégies commerciales, les bénéfices escomptés </w:t>
      </w:r>
      <w:proofErr w:type="gramStart"/>
      <w:r>
        <w:rPr>
          <w:rFonts w:ascii="Arial" w:hAnsi="Arial"/>
          <w:i/>
          <w:sz w:val="18"/>
          <w:szCs w:val="18"/>
        </w:rPr>
        <w:t>suite à</w:t>
      </w:r>
      <w:proofErr w:type="gramEnd"/>
      <w:r>
        <w:rPr>
          <w:rFonts w:ascii="Arial" w:hAnsi="Arial"/>
          <w:i/>
          <w:sz w:val="18"/>
          <w:szCs w:val="18"/>
        </w:rPr>
        <w:t xml:space="preserve"> la transaction proposée, les futurs résultats opérationnels et financiers, la date de clôture prévue pour la transaction proposée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Les déclarations prospectives ne constituent pas des garanties de performance future. Elles reposent au contraire sur l’état actuel des connaissances de Stellantis ainsi que sur ses projections et attentes </w:t>
      </w:r>
      <w:proofErr w:type="gramStart"/>
      <w:r>
        <w:rPr>
          <w:rFonts w:ascii="Arial" w:hAnsi="Arial"/>
          <w:i/>
          <w:sz w:val="18"/>
          <w:szCs w:val="18"/>
        </w:rPr>
        <w:t>futures vis-à-vis</w:t>
      </w:r>
      <w:proofErr w:type="gramEnd"/>
      <w:r>
        <w:rPr>
          <w:rFonts w:ascii="Arial" w:hAnsi="Arial"/>
          <w:i/>
          <w:sz w:val="18"/>
          <w:szCs w:val="18"/>
        </w:rPr>
        <w:t xml:space="preserve"> d’événements à venir, et de par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p>
    <w:p w14:paraId="6D9C35D1" w14:textId="77777777" w:rsidR="00211BDA" w:rsidRDefault="00211BDA" w:rsidP="00211BDA">
      <w:pPr>
        <w:spacing w:before="240"/>
        <w:rPr>
          <w:rFonts w:ascii="Arial" w:eastAsia="Encode Sans" w:hAnsi="Arial" w:cs="Arial"/>
          <w:i/>
          <w:sz w:val="18"/>
          <w:szCs w:val="18"/>
        </w:rPr>
      </w:pPr>
      <w:r>
        <w:rPr>
          <w:rFonts w:ascii="Arial" w:hAnsi="Arial"/>
          <w:i/>
          <w:sz w:val="18"/>
          <w:szCs w:val="18"/>
        </w:rPr>
        <w:t>Les résultats réels peuvent différer sensiblement de ceux exprimés dans les déclarations prospectives en raison de divers facteurs, notamment : l’impact de la pandémie de COVID-19, la capacité de Stellantis à lancer avec succès de nouveaux produits et à maintenir les volumes de livraison de véhicules ; les changements sur les marchés financiers mondiaux, l'environnement économique général et les changements dans la demande de produits automobiles, qui est soumise à des cycles ; les changements dans les conditions économiques et politiques locales, les changements dans la politique commerciale et l'imposition de tarifs mondiaux et régionaux ou de tarifs ciblant l'industrie automobile, la promulgation de réformes fiscales ou d'autres changements dans les lois et réglementations fiscales ; la capacité de Stellantis à développer certaines de ses marques à l’échelle mondiale ; sa capacité à offrir des produits innovants et attrayants ; sa capacité à développer, fabriquer et vendre des véhicules dotés de caractéristiques avancées, notamment une électrification, une connectivité et des caractéristiques de conduite autonome accrues ; divers types de réclamations, de poursuites, d'enquêtes gouvernementales et d'autres éventualités, y compris la responsabilité du fait des produits et les réclamations au titre de la garantie, ainsi que les réclamations, enquêtes et poursuites en matière d'environnement ; les dépenses d'exploitation importantes liées à la conformité aux réglementations en matière d'environnement, de santé et de sécurité ; le niveau de concurrence intense dans l'industrie automobile, qui peut augmenter en raison de la consolidation, l'exposition aux déficits de financement des régimes de retraite à prestations définies de Stellantis ; la capacité à fournir ou à organiser l'accès à un financement adéquat pour les concessionnaires et les clients au détail et les risques associés à la création et aux opérations des sociétés de services financiers ; la capacité à accéder à des fonds pour exécuter les plans d'affaires de Stellantis et améliorer ses activités, sa situation financière et ses résultats d'exploitation ; un dysfonctionnement, une perturbation ou une violation de sécurité importants compromettant les systèmes de technologie de l'information ou les systèmes de contrôle électronique contenus dans les véhicules de Stellantis ; la capacité de Stellantis à réaliser les bénéfices anticipés des accords de coentreprise ; les perturbations résultant de l'instabilité politique, sociale et économique ; les risques associés à nos relations avec les employés, les concessionnaires et les fournisseurs ; les augmentations de coûts, les perturbations de l'approvisionnement ou les pénuries de matières premières, de pièces, de composants et de systèmes utilisés dans les véhicules de Stellantis ; le développement dans les relations de travail et industrielles et les évolutions dans les lois du travail applicables ; les fluctuations des taux de change, les changements de taux d'intérêt, le risque de crédit et les autres risques du marché ; les troubles politiques et civils ; les tremblements de terre ou autres catastrophes ; et d'autres risques et incertitudes.</w:t>
      </w:r>
    </w:p>
    <w:p w14:paraId="1CC98F62" w14:textId="77777777" w:rsidR="00211BDA" w:rsidRDefault="00211BDA" w:rsidP="00211BDA">
      <w:pPr>
        <w:spacing w:before="240"/>
        <w:rPr>
          <w:rFonts w:ascii="Arial" w:eastAsia="Encode Sans" w:hAnsi="Arial" w:cs="Arial"/>
          <w:i/>
          <w:sz w:val="18"/>
          <w:szCs w:val="18"/>
        </w:rPr>
      </w:pPr>
      <w:r>
        <w:rPr>
          <w:rFonts w:ascii="Arial" w:hAnsi="Arial"/>
          <w:i/>
          <w:sz w:val="18"/>
          <w:szCs w:val="18"/>
        </w:rPr>
        <w:t>Toutes les déclarations prospectives contenues dans cette communication sont valables à la date des présentes, et Stellantis ne prend aucun engagement de mettre à jour ou de réviser publiquement lesdites déclarations prospectives. De plus amples informations concernant Stellantis et ses activités, y compris les facteurs susceptibles d'impacter de manière significative les résultats financiers de Stellantis, sont incluses dans les rapports et dossiers de Stellantis déposés auprès de l’U.S. Securities and Exchange Commission et de l'AFM.</w:t>
      </w:r>
    </w:p>
    <w:p w14:paraId="5D67444A" w14:textId="77777777" w:rsidR="00D90200" w:rsidRDefault="00D90200">
      <w:pPr>
        <w:spacing w:after="0"/>
        <w:jc w:val="left"/>
        <w:rPr>
          <w:b/>
          <w:i/>
          <w:sz w:val="16"/>
          <w:szCs w:val="16"/>
        </w:rPr>
      </w:pPr>
    </w:p>
    <w:sectPr w:rsidR="00D90200">
      <w:footerReference w:type="default" r:id="rId15"/>
      <w:headerReference w:type="first" r:id="rId16"/>
      <w:pgSz w:w="12242" w:h="15842"/>
      <w:pgMar w:top="1134" w:right="1928" w:bottom="1134" w:left="1928" w:header="1021" w:footer="4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1E9CE" w14:textId="77777777" w:rsidR="000D1C70" w:rsidRDefault="000D1C70">
      <w:pPr>
        <w:spacing w:after="0"/>
      </w:pPr>
      <w:r>
        <w:separator/>
      </w:r>
    </w:p>
  </w:endnote>
  <w:endnote w:type="continuationSeparator" w:id="0">
    <w:p w14:paraId="68C9DA66" w14:textId="77777777" w:rsidR="000D1C70" w:rsidRDefault="000D1C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code Sans Expanded">
    <w:altName w:val="Times New Roman"/>
    <w:panose1 w:val="00000000000000000000"/>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20FE" w14:textId="785AD2F4" w:rsidR="00D90200" w:rsidRDefault="00D90200">
    <w:pPr>
      <w:pBdr>
        <w:top w:val="nil"/>
        <w:left w:val="nil"/>
        <w:bottom w:val="nil"/>
        <w:right w:val="nil"/>
        <w:between w:val="nil"/>
      </w:pBdr>
      <w:spacing w:before="120" w:line="288" w:lineRule="auto"/>
      <w:jc w:val="center"/>
      <w:rPr>
        <w:color w:val="24378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BE0EE" w14:textId="77777777" w:rsidR="000D1C70" w:rsidRDefault="000D1C70">
      <w:pPr>
        <w:spacing w:after="0"/>
      </w:pPr>
      <w:r>
        <w:separator/>
      </w:r>
    </w:p>
  </w:footnote>
  <w:footnote w:type="continuationSeparator" w:id="0">
    <w:p w14:paraId="1B584DA7" w14:textId="77777777" w:rsidR="000D1C70" w:rsidRDefault="000D1C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92BB" w14:textId="29014D3A" w:rsidR="00D90200" w:rsidRDefault="00211BDA">
    <w:pPr>
      <w:pBdr>
        <w:top w:val="nil"/>
        <w:left w:val="nil"/>
        <w:bottom w:val="nil"/>
        <w:right w:val="nil"/>
        <w:between w:val="nil"/>
      </w:pBdr>
      <w:tabs>
        <w:tab w:val="left" w:pos="6096"/>
      </w:tabs>
      <w:jc w:val="left"/>
      <w:rPr>
        <w:color w:val="243782"/>
      </w:rPr>
    </w:pPr>
    <w:r>
      <w:rPr>
        <w:noProof/>
        <w:color w:val="243782"/>
      </w:rPr>
      <w:drawing>
        <wp:inline distT="0" distB="0" distL="0" distR="0" wp14:anchorId="1CA8AFFA" wp14:editId="0FBE9163">
          <wp:extent cx="2113728" cy="542925"/>
          <wp:effectExtent l="0" t="0" r="1270" b="0"/>
          <wp:docPr id="3" name="Picture 3"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15633" cy="543414"/>
                  </a:xfrm>
                  <a:prstGeom prst="rect">
                    <a:avLst/>
                  </a:prstGeom>
                </pic:spPr>
              </pic:pic>
            </a:graphicData>
          </a:graphic>
        </wp:inline>
      </w:drawing>
    </w:r>
    <w:r>
      <w:rPr>
        <w:color w:val="243782"/>
      </w:rPr>
      <w:t xml:space="preserve">                                     </w:t>
    </w:r>
    <w:r>
      <w:rPr>
        <w:noProof/>
      </w:rPr>
      <w:drawing>
        <wp:inline distT="0" distB="0" distL="0" distR="0" wp14:anchorId="44A778ED" wp14:editId="2222B833">
          <wp:extent cx="1543050" cy="544833"/>
          <wp:effectExtent l="0" t="0" r="0" b="762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565690" cy="5528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6712"/>
    <w:multiLevelType w:val="multilevel"/>
    <w:tmpl w:val="C0DC2E0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1E7116"/>
    <w:multiLevelType w:val="multilevel"/>
    <w:tmpl w:val="32F691E6"/>
    <w:lvl w:ilvl="0">
      <w:start w:val="1"/>
      <w:numFmt w:val="decimal"/>
      <w:pStyle w:val="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BC63BD7"/>
    <w:multiLevelType w:val="hybridMultilevel"/>
    <w:tmpl w:val="67C4583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00"/>
    <w:rsid w:val="000127F3"/>
    <w:rsid w:val="000403C6"/>
    <w:rsid w:val="0006441F"/>
    <w:rsid w:val="000B0968"/>
    <w:rsid w:val="000B2E42"/>
    <w:rsid w:val="000D0AC3"/>
    <w:rsid w:val="000D1C70"/>
    <w:rsid w:val="00100E33"/>
    <w:rsid w:val="00123307"/>
    <w:rsid w:val="00162B39"/>
    <w:rsid w:val="0019432C"/>
    <w:rsid w:val="00195133"/>
    <w:rsid w:val="001A14C2"/>
    <w:rsid w:val="001A3B61"/>
    <w:rsid w:val="001C1D40"/>
    <w:rsid w:val="001D10B3"/>
    <w:rsid w:val="001E145E"/>
    <w:rsid w:val="00202659"/>
    <w:rsid w:val="00206526"/>
    <w:rsid w:val="002074AC"/>
    <w:rsid w:val="00211BDA"/>
    <w:rsid w:val="00214934"/>
    <w:rsid w:val="002232A1"/>
    <w:rsid w:val="00247709"/>
    <w:rsid w:val="002B72BF"/>
    <w:rsid w:val="002C35B1"/>
    <w:rsid w:val="002C77BE"/>
    <w:rsid w:val="002D43AD"/>
    <w:rsid w:val="002D67E6"/>
    <w:rsid w:val="002D6E8E"/>
    <w:rsid w:val="003062BC"/>
    <w:rsid w:val="00306BC9"/>
    <w:rsid w:val="0033447A"/>
    <w:rsid w:val="00374A3C"/>
    <w:rsid w:val="00374F28"/>
    <w:rsid w:val="0037579C"/>
    <w:rsid w:val="003A75F9"/>
    <w:rsid w:val="003C0EBE"/>
    <w:rsid w:val="003D21DF"/>
    <w:rsid w:val="00410755"/>
    <w:rsid w:val="00492DDE"/>
    <w:rsid w:val="004B4DF9"/>
    <w:rsid w:val="004C37B7"/>
    <w:rsid w:val="004C48ED"/>
    <w:rsid w:val="004F0A2C"/>
    <w:rsid w:val="004F2150"/>
    <w:rsid w:val="004F3BE9"/>
    <w:rsid w:val="004F7329"/>
    <w:rsid w:val="005073F1"/>
    <w:rsid w:val="00512922"/>
    <w:rsid w:val="00516057"/>
    <w:rsid w:val="00547AF9"/>
    <w:rsid w:val="0055767E"/>
    <w:rsid w:val="00572D4A"/>
    <w:rsid w:val="0058367F"/>
    <w:rsid w:val="005E4EB5"/>
    <w:rsid w:val="00603F18"/>
    <w:rsid w:val="0061766E"/>
    <w:rsid w:val="00625C11"/>
    <w:rsid w:val="006262D2"/>
    <w:rsid w:val="00631BCB"/>
    <w:rsid w:val="0064482D"/>
    <w:rsid w:val="006613B9"/>
    <w:rsid w:val="006616BE"/>
    <w:rsid w:val="00680D18"/>
    <w:rsid w:val="006863D0"/>
    <w:rsid w:val="006B0CEC"/>
    <w:rsid w:val="006B2EB2"/>
    <w:rsid w:val="0071381F"/>
    <w:rsid w:val="007335A2"/>
    <w:rsid w:val="007376E7"/>
    <w:rsid w:val="0076578D"/>
    <w:rsid w:val="00786615"/>
    <w:rsid w:val="007A17A2"/>
    <w:rsid w:val="007B12C9"/>
    <w:rsid w:val="007F0624"/>
    <w:rsid w:val="007F30E2"/>
    <w:rsid w:val="008170F0"/>
    <w:rsid w:val="00837A76"/>
    <w:rsid w:val="008535C7"/>
    <w:rsid w:val="008A0E8A"/>
    <w:rsid w:val="008B0A0F"/>
    <w:rsid w:val="008D26D0"/>
    <w:rsid w:val="00907495"/>
    <w:rsid w:val="00914E09"/>
    <w:rsid w:val="00925DB9"/>
    <w:rsid w:val="00980D9E"/>
    <w:rsid w:val="00991B50"/>
    <w:rsid w:val="0099793C"/>
    <w:rsid w:val="009A2719"/>
    <w:rsid w:val="009B2260"/>
    <w:rsid w:val="009B3485"/>
    <w:rsid w:val="009D083B"/>
    <w:rsid w:val="009D5DC6"/>
    <w:rsid w:val="009D782E"/>
    <w:rsid w:val="009D7CB7"/>
    <w:rsid w:val="00A237F3"/>
    <w:rsid w:val="00A31678"/>
    <w:rsid w:val="00A36A36"/>
    <w:rsid w:val="00A66CDC"/>
    <w:rsid w:val="00A906F0"/>
    <w:rsid w:val="00A9686E"/>
    <w:rsid w:val="00A976CF"/>
    <w:rsid w:val="00B27345"/>
    <w:rsid w:val="00B31E73"/>
    <w:rsid w:val="00B46A84"/>
    <w:rsid w:val="00B54574"/>
    <w:rsid w:val="00B57822"/>
    <w:rsid w:val="00BC4685"/>
    <w:rsid w:val="00BD74C3"/>
    <w:rsid w:val="00BE126A"/>
    <w:rsid w:val="00C00E9B"/>
    <w:rsid w:val="00C334EF"/>
    <w:rsid w:val="00C36C93"/>
    <w:rsid w:val="00C42C0B"/>
    <w:rsid w:val="00C520FA"/>
    <w:rsid w:val="00CA3AFC"/>
    <w:rsid w:val="00CA420F"/>
    <w:rsid w:val="00CB19A5"/>
    <w:rsid w:val="00CC15FE"/>
    <w:rsid w:val="00CC5C47"/>
    <w:rsid w:val="00CD319D"/>
    <w:rsid w:val="00D019D7"/>
    <w:rsid w:val="00D3455C"/>
    <w:rsid w:val="00D40E54"/>
    <w:rsid w:val="00D90200"/>
    <w:rsid w:val="00DA6FD8"/>
    <w:rsid w:val="00DB7F49"/>
    <w:rsid w:val="00DF61C4"/>
    <w:rsid w:val="00E11EDF"/>
    <w:rsid w:val="00E13473"/>
    <w:rsid w:val="00E15211"/>
    <w:rsid w:val="00E36F4A"/>
    <w:rsid w:val="00E653B0"/>
    <w:rsid w:val="00E669FB"/>
    <w:rsid w:val="00E76235"/>
    <w:rsid w:val="00E97FB7"/>
    <w:rsid w:val="00EC46E6"/>
    <w:rsid w:val="00EE3906"/>
    <w:rsid w:val="00F455C0"/>
    <w:rsid w:val="00F5359D"/>
    <w:rsid w:val="00F55FA4"/>
    <w:rsid w:val="00F62C02"/>
    <w:rsid w:val="00F72EB4"/>
    <w:rsid w:val="00F75BDD"/>
    <w:rsid w:val="00F76B60"/>
    <w:rsid w:val="00F76C4A"/>
    <w:rsid w:val="00F77D35"/>
    <w:rsid w:val="00F9493A"/>
    <w:rsid w:val="00FB58AF"/>
    <w:rsid w:val="00FE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B32A46"/>
  <w15:docId w15:val="{DC5260CA-F10F-4366-B52B-A1AA950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Expanded" w:eastAsia="Encode Sans Expanded" w:hAnsi="Encode Sans Expanded" w:cs="Encode Sans Expanded"/>
        <w:sz w:val="24"/>
        <w:szCs w:val="24"/>
        <w:lang w:val="fr-FR"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9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fr-FR"/>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fr-FR"/>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fr-FR"/>
    </w:rPr>
  </w:style>
  <w:style w:type="paragraph" w:styleId="Revision">
    <w:name w:val="Revision"/>
    <w:hidden/>
    <w:uiPriority w:val="99"/>
    <w:semiHidden/>
    <w:rsid w:val="000155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Mentionnonrsolue1">
    <w:name w:val="Mention non résolue1"/>
    <w:basedOn w:val="DefaultParagraphFont"/>
    <w:uiPriority w:val="99"/>
    <w:semiHidden/>
    <w:unhideWhenUsed/>
    <w:rsid w:val="00123307"/>
    <w:rPr>
      <w:color w:val="605E5C"/>
      <w:shd w:val="clear" w:color="auto" w:fill="E1DFDD"/>
    </w:rPr>
  </w:style>
  <w:style w:type="paragraph" w:styleId="NormalWeb">
    <w:name w:val="Normal (Web)"/>
    <w:basedOn w:val="Normal"/>
    <w:uiPriority w:val="99"/>
    <w:semiHidden/>
    <w:unhideWhenUsed/>
    <w:rsid w:val="00E669FB"/>
    <w:pPr>
      <w:spacing w:before="100" w:beforeAutospacing="1" w:after="100" w:afterAutospacing="1"/>
      <w:jc w:val="left"/>
    </w:pPr>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33447A"/>
    <w:rPr>
      <w:color w:val="605E5C"/>
      <w:shd w:val="clear" w:color="auto" w:fill="E1DFDD"/>
    </w:rPr>
  </w:style>
  <w:style w:type="character" w:styleId="FollowedHyperlink">
    <w:name w:val="FollowedHyperlink"/>
    <w:basedOn w:val="DefaultParagraphFont"/>
    <w:uiPriority w:val="99"/>
    <w:semiHidden/>
    <w:unhideWhenUsed/>
    <w:rsid w:val="0064482D"/>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28118">
      <w:bodyDiv w:val="1"/>
      <w:marLeft w:val="0"/>
      <w:marRight w:val="0"/>
      <w:marTop w:val="0"/>
      <w:marBottom w:val="0"/>
      <w:divBdr>
        <w:top w:val="none" w:sz="0" w:space="0" w:color="auto"/>
        <w:left w:val="none" w:sz="0" w:space="0" w:color="auto"/>
        <w:bottom w:val="none" w:sz="0" w:space="0" w:color="auto"/>
        <w:right w:val="none" w:sz="0" w:space="0" w:color="auto"/>
      </w:divBdr>
    </w:div>
    <w:div w:id="1075473956">
      <w:bodyDiv w:val="1"/>
      <w:marLeft w:val="0"/>
      <w:marRight w:val="0"/>
      <w:marTop w:val="0"/>
      <w:marBottom w:val="0"/>
      <w:divBdr>
        <w:top w:val="none" w:sz="0" w:space="0" w:color="auto"/>
        <w:left w:val="none" w:sz="0" w:space="0" w:color="auto"/>
        <w:bottom w:val="none" w:sz="0" w:space="0" w:color="auto"/>
        <w:right w:val="none" w:sz="0" w:space="0" w:color="auto"/>
      </w:divBdr>
    </w:div>
    <w:div w:id="1097557782">
      <w:bodyDiv w:val="1"/>
      <w:marLeft w:val="0"/>
      <w:marRight w:val="0"/>
      <w:marTop w:val="0"/>
      <w:marBottom w:val="0"/>
      <w:divBdr>
        <w:top w:val="none" w:sz="0" w:space="0" w:color="auto"/>
        <w:left w:val="none" w:sz="0" w:space="0" w:color="auto"/>
        <w:bottom w:val="none" w:sz="0" w:space="0" w:color="auto"/>
        <w:right w:val="none" w:sz="0" w:space="0" w:color="auto"/>
      </w:divBdr>
    </w:div>
    <w:div w:id="1653093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ellantis.com/fr/finance/evenements/strategic-pla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ellantis.com/fr/actualite/communiques-de-presse/2021/novembre/stellantis-signe-un-accord-d-approvisionnement-en-lithium-avec-vulcan-energ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ellantis.com/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eSKiqmgnFWjNIePMn31xKA93Gpg==">AMUW2mUG7u/lDcnSZzv9FjaaY9FhnfvkmGs44xZwCWevG2wGa33fmjm1/+SwQaPggkO+3VU5R6MLZmEE06nn4xbEqrTZc/nbSoJPz4V2OdiB+N6Xz+ItyKy2e67tE3MtiX7dW++zlzEdw/K4GF8BkAV2nssumPmRTzeLytoJ0FKDP8iDojFh/XwfYTTR5Ani7NuaQ+G2U4o2iS5mkhzGkqP4OF5wnPcxbIUE2FtmSA05mAjDwQj6fpylsukA6IOc8nQCfyQsPRh52x0WOGb1jZTSejoZR/DfiRRLZoyhf1zRzDCFhzGVPevmdp5GGmNdDBj73L2i7D1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EF1232E791626D42A4209D08785B3EB2" ma:contentTypeVersion="10" ma:contentTypeDescription="Create a new document." ma:contentTypeScope="" ma:versionID="d694f9228558fe537cd3104b7819eff4">
  <xsd:schema xmlns:xsd="http://www.w3.org/2001/XMLSchema" xmlns:xs="http://www.w3.org/2001/XMLSchema" xmlns:p="http://schemas.microsoft.com/office/2006/metadata/properties" xmlns:ns3="ed291038-68af-44f8-9ebf-8e02159c5ab4" xmlns:ns4="07ab2334-74fa-4654-9f51-48ec6318f44c" targetNamespace="http://schemas.microsoft.com/office/2006/metadata/properties" ma:root="true" ma:fieldsID="d68cb19a36c0d559fb5d4b029ee2bb4e" ns3:_="" ns4:_="">
    <xsd:import namespace="ed291038-68af-44f8-9ebf-8e02159c5ab4"/>
    <xsd:import namespace="07ab2334-74fa-4654-9f51-48ec6318f4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91038-68af-44f8-9ebf-8e02159c5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b2334-74fa-4654-9f51-48ec6318f4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D9E67-E9AB-41C9-A428-35E0A2710DB0}">
  <ds:schemaRefs>
    <ds:schemaRef ds:uri="http://schemas.microsoft.com/sharepoint/v3/contenttype/forms"/>
  </ds:schemaRefs>
</ds:datastoreItem>
</file>

<file path=customXml/itemProps2.xml><?xml version="1.0" encoding="utf-8"?>
<ds:datastoreItem xmlns:ds="http://schemas.openxmlformats.org/officeDocument/2006/customXml" ds:itemID="{BAC72769-84AF-4548-A1A2-8D05E3C84C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B9966D5-1E9A-4F75-A709-47669068B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91038-68af-44f8-9ebf-8e02159c5ab4"/>
    <ds:schemaRef ds:uri="07ab2334-74fa-4654-9f51-48ec6318f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1644</Words>
  <Characters>9376</Characters>
  <Application>Microsoft Office Word</Application>
  <DocSecurity>0</DocSecurity>
  <Lines>78</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FCA US</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Kaileen (FCA)</dc:creator>
  <cp:lastModifiedBy>PAUL CRAIG JOHNSTON</cp:lastModifiedBy>
  <cp:revision>6</cp:revision>
  <dcterms:created xsi:type="dcterms:W3CDTF">2022-06-02T10:01:00Z</dcterms:created>
  <dcterms:modified xsi:type="dcterms:W3CDTF">2022-06-02T10:51:00Z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ContentTypeId">
    <vt:lpwstr>0x010100EF1232E791626D42A4209D08785B3EB2</vt:lpwstr>
  </property>
  <property fmtid="{D5CDD505-2E9C-101B-9397-08002B2CF9AE}" pid="5" name="MSIP_Label_2fd53d93-3f4c-4b90-b511-bd6bdbb4fba9_Enabled">
    <vt:lpwstr>true</vt:lpwstr>
  </property>
  <property fmtid="{D5CDD505-2E9C-101B-9397-08002B2CF9AE}" pid="6" name="MSIP_Label_2fd53d93-3f4c-4b90-b511-bd6bdbb4fba9_SetDate">
    <vt:lpwstr>2022-06-01T19:04:00Z</vt:lpwstr>
  </property>
  <property fmtid="{D5CDD505-2E9C-101B-9397-08002B2CF9AE}" pid="7" name="MSIP_Label_2fd53d93-3f4c-4b90-b511-bd6bdbb4fba9_Method">
    <vt:lpwstr>Standard</vt:lpwstr>
  </property>
  <property fmtid="{D5CDD505-2E9C-101B-9397-08002B2CF9AE}" pid="8" name="MSIP_Label_2fd53d93-3f4c-4b90-b511-bd6bdbb4fba9_Name">
    <vt:lpwstr>2fd53d93-3f4c-4b90-b511-bd6bdbb4fba9</vt:lpwstr>
  </property>
  <property fmtid="{D5CDD505-2E9C-101B-9397-08002B2CF9AE}" pid="9" name="MSIP_Label_2fd53d93-3f4c-4b90-b511-bd6bdbb4fba9_SiteId">
    <vt:lpwstr>d852d5cd-724c-4128-8812-ffa5db3f8507</vt:lpwstr>
  </property>
  <property fmtid="{D5CDD505-2E9C-101B-9397-08002B2CF9AE}" pid="10" name="MSIP_Label_2fd53d93-3f4c-4b90-b511-bd6bdbb4fba9_ActionId">
    <vt:lpwstr>892d4411-7a4e-4d2f-8167-480da1a24d59</vt:lpwstr>
  </property>
  <property fmtid="{D5CDD505-2E9C-101B-9397-08002B2CF9AE}" pid="11" name="MSIP_Label_2fd53d93-3f4c-4b90-b511-bd6bdbb4fba9_ContentBits">
    <vt:lpwstr>0</vt:lpwstr>
  </property>
</Properties>
</file>