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63AC" w14:textId="77777777" w:rsidR="00C00E9B" w:rsidRDefault="00C00E9B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DB2639" w14:textId="4E11275B" w:rsidR="00D90200" w:rsidRPr="00F20168" w:rsidRDefault="00DB7F49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F20168">
        <w:rPr>
          <w:rFonts w:ascii="Arial" w:hAnsi="Arial" w:cs="Arial"/>
          <w:b/>
          <w:color w:val="000000"/>
          <w:sz w:val="28"/>
          <w:szCs w:val="28"/>
        </w:rPr>
        <w:t xml:space="preserve">Stellantis </w:t>
      </w:r>
      <w:r w:rsidR="00A947CE" w:rsidRPr="00F20168">
        <w:rPr>
          <w:rFonts w:ascii="Arial" w:hAnsi="Arial" w:cs="Arial"/>
          <w:b/>
          <w:color w:val="000000"/>
          <w:sz w:val="28"/>
          <w:szCs w:val="28"/>
        </w:rPr>
        <w:t xml:space="preserve">stringe un accordo </w:t>
      </w:r>
      <w:r w:rsidR="0032275A" w:rsidRPr="00F20168">
        <w:rPr>
          <w:rFonts w:ascii="Arial" w:hAnsi="Arial" w:cs="Arial"/>
          <w:b/>
          <w:color w:val="000000"/>
          <w:sz w:val="28"/>
          <w:szCs w:val="28"/>
        </w:rPr>
        <w:t xml:space="preserve">con </w:t>
      </w:r>
      <w:r w:rsidR="00A947CE" w:rsidRPr="00F20168">
        <w:rPr>
          <w:rFonts w:ascii="Arial" w:hAnsi="Arial" w:cs="Arial"/>
          <w:b/>
          <w:color w:val="000000"/>
          <w:sz w:val="28"/>
          <w:szCs w:val="28"/>
        </w:rPr>
        <w:t>Controlled Thermal Resources per la</w:t>
      </w:r>
      <w:r w:rsidRPr="00F20168">
        <w:rPr>
          <w:rFonts w:ascii="Arial" w:hAnsi="Arial" w:cs="Arial"/>
          <w:b/>
          <w:color w:val="000000"/>
          <w:sz w:val="28"/>
          <w:szCs w:val="28"/>
        </w:rPr>
        <w:t xml:space="preserve"> fornitura di litio a basse emissioni </w:t>
      </w:r>
      <w:r w:rsidR="00A947CE" w:rsidRPr="00F20168">
        <w:rPr>
          <w:rFonts w:ascii="Arial" w:hAnsi="Arial" w:cs="Arial"/>
          <w:b/>
          <w:color w:val="000000"/>
          <w:sz w:val="28"/>
          <w:szCs w:val="28"/>
        </w:rPr>
        <w:t>finalizzata</w:t>
      </w:r>
      <w:r w:rsidRPr="00F2016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947CE" w:rsidRPr="00F20168">
        <w:rPr>
          <w:rFonts w:ascii="Arial" w:hAnsi="Arial" w:cs="Arial"/>
          <w:b/>
          <w:color w:val="000000"/>
          <w:sz w:val="28"/>
          <w:szCs w:val="28"/>
        </w:rPr>
        <w:t>al</w:t>
      </w:r>
      <w:r w:rsidRPr="00F20168">
        <w:rPr>
          <w:rFonts w:ascii="Arial" w:hAnsi="Arial" w:cs="Arial"/>
          <w:b/>
          <w:color w:val="000000"/>
          <w:sz w:val="28"/>
          <w:szCs w:val="28"/>
        </w:rPr>
        <w:t>la produzione di veicoli elettrici in Nord America</w:t>
      </w:r>
    </w:p>
    <w:p w14:paraId="1A564787" w14:textId="437DA207" w:rsidR="00D90200" w:rsidRPr="00F20168" w:rsidRDefault="00DB7F49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F20168">
        <w:rPr>
          <w:rFonts w:ascii="Arial" w:hAnsi="Arial" w:cs="Arial"/>
        </w:rPr>
        <w:t>L</w:t>
      </w:r>
      <w:r w:rsidR="00A73691">
        <w:rPr>
          <w:rFonts w:ascii="Arial" w:hAnsi="Arial" w:cs="Arial"/>
        </w:rPr>
        <w:t>’</w:t>
      </w:r>
      <w:r w:rsidRPr="00F20168">
        <w:rPr>
          <w:rFonts w:ascii="Arial" w:hAnsi="Arial" w:cs="Arial"/>
        </w:rPr>
        <w:t xml:space="preserve">accordo </w:t>
      </w:r>
      <w:r w:rsidR="00367D26" w:rsidRPr="00F20168">
        <w:rPr>
          <w:rFonts w:ascii="Arial" w:hAnsi="Arial" w:cs="Arial"/>
        </w:rPr>
        <w:t xml:space="preserve">incrementa </w:t>
      </w:r>
      <w:r w:rsidRPr="00F20168">
        <w:rPr>
          <w:rFonts w:ascii="Arial" w:hAnsi="Arial" w:cs="Arial"/>
        </w:rPr>
        <w:t>la fornitura decarbonizzata di materi</w:t>
      </w:r>
      <w:r w:rsidR="0017252B" w:rsidRPr="00F20168">
        <w:rPr>
          <w:rFonts w:ascii="Arial" w:hAnsi="Arial" w:cs="Arial"/>
        </w:rPr>
        <w:t>e</w:t>
      </w:r>
      <w:r w:rsidRPr="00F20168">
        <w:rPr>
          <w:rFonts w:ascii="Arial" w:hAnsi="Arial" w:cs="Arial"/>
        </w:rPr>
        <w:t xml:space="preserve"> prim</w:t>
      </w:r>
      <w:r w:rsidR="0017252B" w:rsidRPr="00F20168">
        <w:rPr>
          <w:rFonts w:ascii="Arial" w:hAnsi="Arial" w:cs="Arial"/>
        </w:rPr>
        <w:t>e</w:t>
      </w:r>
      <w:r w:rsidRPr="00F20168">
        <w:rPr>
          <w:rFonts w:ascii="Arial" w:hAnsi="Arial" w:cs="Arial"/>
        </w:rPr>
        <w:t xml:space="preserve"> essenzial</w:t>
      </w:r>
      <w:r w:rsidR="0017252B" w:rsidRPr="00F20168">
        <w:rPr>
          <w:rFonts w:ascii="Arial" w:hAnsi="Arial" w:cs="Arial"/>
        </w:rPr>
        <w:t>i</w:t>
      </w:r>
      <w:r w:rsidRPr="00F20168">
        <w:rPr>
          <w:rFonts w:ascii="Arial" w:hAnsi="Arial" w:cs="Arial"/>
        </w:rPr>
        <w:t xml:space="preserve"> per i veicoli ettrificati</w:t>
      </w:r>
    </w:p>
    <w:p w14:paraId="7B02D251" w14:textId="4380C5B0" w:rsidR="00D90200" w:rsidRPr="00F20168" w:rsidRDefault="00FE2429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F20168">
        <w:rPr>
          <w:rFonts w:ascii="Arial" w:hAnsi="Arial" w:cs="Arial"/>
        </w:rPr>
        <w:t>L</w:t>
      </w:r>
      <w:r w:rsidR="00AD4E2C" w:rsidRPr="00F20168">
        <w:rPr>
          <w:rFonts w:ascii="Arial" w:hAnsi="Arial" w:cs="Arial"/>
        </w:rPr>
        <w:t xml:space="preserve">a fornitura di </w:t>
      </w:r>
      <w:r w:rsidRPr="00F20168">
        <w:rPr>
          <w:rFonts w:ascii="Arial" w:hAnsi="Arial" w:cs="Arial"/>
        </w:rPr>
        <w:t xml:space="preserve">idrossido di litio sostenibile supporterà </w:t>
      </w:r>
      <w:r w:rsidR="0075588E" w:rsidRPr="00F20168">
        <w:rPr>
          <w:rFonts w:ascii="Arial" w:hAnsi="Arial" w:cs="Arial"/>
        </w:rPr>
        <w:t>la capacità produttiva</w:t>
      </w:r>
      <w:r w:rsidRPr="00F20168">
        <w:rPr>
          <w:rFonts w:ascii="Arial" w:hAnsi="Arial" w:cs="Arial"/>
        </w:rPr>
        <w:t xml:space="preserve"> di Stellantis U.S., che prevede il lancio di oltre 25 veicoli elettrici a batteria (BEV) completamente nuovi e il 50% delle vendite rappresentate da BEV entro il 2030</w:t>
      </w:r>
    </w:p>
    <w:p w14:paraId="65CDACCF" w14:textId="6268FB60" w:rsidR="00B57822" w:rsidRPr="00F20168" w:rsidRDefault="006863D0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F20168">
        <w:rPr>
          <w:rFonts w:ascii="Arial" w:hAnsi="Arial" w:cs="Arial"/>
        </w:rPr>
        <w:t xml:space="preserve">L’accordo di fornitura vincolante </w:t>
      </w:r>
      <w:r w:rsidR="0017252B" w:rsidRPr="00F20168">
        <w:rPr>
          <w:rFonts w:ascii="Arial" w:hAnsi="Arial" w:cs="Arial"/>
        </w:rPr>
        <w:t>stabilisce</w:t>
      </w:r>
      <w:r w:rsidRPr="00F20168">
        <w:rPr>
          <w:rFonts w:ascii="Arial" w:hAnsi="Arial" w:cs="Arial"/>
        </w:rPr>
        <w:t xml:space="preserve"> nuovi parametri di sostenibilità per la filiera statunitense delle batterie</w:t>
      </w:r>
    </w:p>
    <w:p w14:paraId="364B6A2F" w14:textId="77777777" w:rsidR="00D90200" w:rsidRPr="00F20168" w:rsidRDefault="00D90200">
      <w:pPr>
        <w:spacing w:after="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6355130" w14:textId="77777777" w:rsidR="00D90200" w:rsidRPr="00F20168" w:rsidRDefault="00D90200">
      <w:pPr>
        <w:shd w:val="clear" w:color="auto" w:fill="FFFFFF"/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14:paraId="505D860F" w14:textId="36192B4C" w:rsidR="00625C11" w:rsidRPr="00F20168" w:rsidRDefault="00DB7F49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20168">
        <w:rPr>
          <w:rFonts w:ascii="Arial" w:hAnsi="Arial" w:cs="Arial"/>
          <w:b/>
          <w:bCs/>
          <w:color w:val="000000"/>
        </w:rPr>
        <w:t>AMSTERDAM</w:t>
      </w:r>
      <w:r w:rsidRPr="00F20168">
        <w:rPr>
          <w:rFonts w:ascii="Arial" w:hAnsi="Arial" w:cs="Arial"/>
        </w:rPr>
        <w:t xml:space="preserve">, </w:t>
      </w:r>
      <w:r w:rsidR="0017252B" w:rsidRPr="00F20168">
        <w:rPr>
          <w:rFonts w:ascii="Arial" w:hAnsi="Arial" w:cs="Arial"/>
          <w:b/>
          <w:bCs/>
          <w:color w:val="000000"/>
        </w:rPr>
        <w:t xml:space="preserve">02 giugno </w:t>
      </w:r>
      <w:r w:rsidRPr="00F20168">
        <w:rPr>
          <w:rFonts w:ascii="Arial" w:hAnsi="Arial" w:cs="Arial"/>
          <w:b/>
          <w:bCs/>
        </w:rPr>
        <w:t>2022 -</w:t>
      </w:r>
      <w:r w:rsidRPr="00F20168">
        <w:rPr>
          <w:rFonts w:ascii="Arial" w:hAnsi="Arial" w:cs="Arial"/>
        </w:rPr>
        <w:t xml:space="preserve"> </w:t>
      </w:r>
      <w:hyperlink r:id="rId11" w:history="1">
        <w:r w:rsidRPr="00F20168">
          <w:rPr>
            <w:rStyle w:val="Hyperlink"/>
            <w:rFonts w:ascii="Arial" w:hAnsi="Arial" w:cs="Arial"/>
            <w:sz w:val="22"/>
            <w:szCs w:val="22"/>
            <w:u w:val="single"/>
            <w:shd w:val="clear" w:color="auto" w:fill="FFFFFF"/>
          </w:rPr>
          <w:t>Stellantis N.V.</w:t>
        </w:r>
      </w:hyperlink>
      <w:r w:rsidRPr="00F2016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0168">
        <w:rPr>
          <w:rFonts w:ascii="Arial" w:hAnsi="Arial" w:cs="Arial"/>
          <w:color w:val="000000"/>
          <w:sz w:val="22"/>
          <w:szCs w:val="22"/>
        </w:rPr>
        <w:t>e Controlled Thermal Resources Ltd. (CTR) hanno annunciato oggi la firma di un accordo vincolante</w:t>
      </w:r>
      <w:r w:rsidR="0017252B" w:rsidRPr="00F20168">
        <w:rPr>
          <w:rFonts w:ascii="Arial" w:hAnsi="Arial" w:cs="Arial"/>
          <w:color w:val="000000"/>
          <w:sz w:val="22"/>
          <w:szCs w:val="22"/>
        </w:rPr>
        <w:t xml:space="preserve"> per la fornitura da parte di </w:t>
      </w:r>
      <w:r w:rsidRPr="00F20168">
        <w:rPr>
          <w:rFonts w:ascii="Arial" w:hAnsi="Arial" w:cs="Arial"/>
          <w:color w:val="000000"/>
          <w:sz w:val="22"/>
          <w:szCs w:val="22"/>
        </w:rPr>
        <w:t xml:space="preserve">CTR </w:t>
      </w:r>
      <w:r w:rsidR="0017252B" w:rsidRPr="00F20168">
        <w:rPr>
          <w:rFonts w:ascii="Arial" w:hAnsi="Arial" w:cs="Arial"/>
          <w:color w:val="000000"/>
          <w:sz w:val="22"/>
          <w:szCs w:val="22"/>
        </w:rPr>
        <w:t>di</w:t>
      </w:r>
      <w:r w:rsidRPr="00F20168">
        <w:rPr>
          <w:rFonts w:ascii="Arial" w:hAnsi="Arial" w:cs="Arial"/>
          <w:color w:val="000000"/>
          <w:sz w:val="22"/>
          <w:szCs w:val="22"/>
        </w:rPr>
        <w:t xml:space="preserve"> idrossido di litio per batterie da utilizzare per la produzione d</w:t>
      </w:r>
      <w:r w:rsidR="0017252B" w:rsidRPr="00F20168">
        <w:rPr>
          <w:rFonts w:ascii="Arial" w:hAnsi="Arial" w:cs="Arial"/>
          <w:color w:val="000000"/>
          <w:sz w:val="22"/>
          <w:szCs w:val="22"/>
        </w:rPr>
        <w:t>e</w:t>
      </w:r>
      <w:r w:rsidRPr="00F20168">
        <w:rPr>
          <w:rFonts w:ascii="Arial" w:hAnsi="Arial" w:cs="Arial"/>
          <w:color w:val="000000"/>
          <w:sz w:val="22"/>
          <w:szCs w:val="22"/>
        </w:rPr>
        <w:t xml:space="preserve">i veicoli elettrificati di Stellantis in Nord America. </w:t>
      </w:r>
    </w:p>
    <w:p w14:paraId="6DEF7540" w14:textId="4F59C8AA" w:rsidR="006262D2" w:rsidRPr="00F20168" w:rsidRDefault="001470A8" w:rsidP="001470A8">
      <w:pPr>
        <w:spacing w:before="240"/>
        <w:rPr>
          <w:rFonts w:ascii="Arial" w:eastAsia="Times New Roman" w:hAnsi="Arial" w:cs="Arial"/>
          <w:sz w:val="22"/>
          <w:szCs w:val="22"/>
        </w:rPr>
      </w:pPr>
      <w:r w:rsidRPr="00F20168">
        <w:rPr>
          <w:rFonts w:ascii="Arial" w:hAnsi="Arial" w:cs="Arial"/>
          <w:sz w:val="22"/>
          <w:szCs w:val="22"/>
        </w:rPr>
        <w:t>Il progetto Hell</w:t>
      </w:r>
      <w:r w:rsidR="00A73691">
        <w:rPr>
          <w:rFonts w:ascii="Arial" w:hAnsi="Arial" w:cs="Arial"/>
          <w:sz w:val="22"/>
          <w:szCs w:val="22"/>
        </w:rPr>
        <w:t>’</w:t>
      </w:r>
      <w:r w:rsidRPr="00F20168">
        <w:rPr>
          <w:rFonts w:ascii="Arial" w:hAnsi="Arial" w:cs="Arial"/>
          <w:sz w:val="22"/>
          <w:szCs w:val="22"/>
        </w:rPr>
        <w:t>s Kitchen di CTR, nella contea californiana di Imperial, recupererà il litio dalle salamoie geotermiche utilizzando energia rinnovabile e vapore per produrre litio per batterie in un processo integrato a ciclo chiuso, eliminando la necessità di bacini di evaporazione delle salamoie, di miniere a cielo aperto e di processi di lavorazione alimentati da combustibili fossili.</w:t>
      </w:r>
    </w:p>
    <w:p w14:paraId="6E6180BA" w14:textId="1FF0563E" w:rsidR="00D90200" w:rsidRPr="00F20168" w:rsidRDefault="00DB7F49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20168">
        <w:rPr>
          <w:rFonts w:ascii="Arial" w:hAnsi="Arial" w:cs="Arial"/>
          <w:color w:val="000000"/>
          <w:sz w:val="22"/>
          <w:szCs w:val="22"/>
        </w:rPr>
        <w:t xml:space="preserve">“Nella lotta contro il riscaldamento globale, il rafforzamento della filiera per i veicoli elettrici a batteria è assolutamente cruciale per sostenere le nostre ambizioni di elettrificazione,” ha dichiarato </w:t>
      </w:r>
      <w:r w:rsidRPr="00F20168">
        <w:rPr>
          <w:rFonts w:ascii="Arial" w:hAnsi="Arial" w:cs="Arial"/>
          <w:sz w:val="22"/>
          <w:szCs w:val="22"/>
        </w:rPr>
        <w:t>Carlos Tavares, CEO Stellantis.</w:t>
      </w:r>
      <w:r w:rsidRPr="00F20168">
        <w:rPr>
          <w:rFonts w:ascii="Arial" w:hAnsi="Arial" w:cs="Arial"/>
          <w:color w:val="000000"/>
          <w:sz w:val="22"/>
          <w:szCs w:val="22"/>
        </w:rPr>
        <w:t xml:space="preserve"> “Garantendoci una fornitura di litio </w:t>
      </w:r>
      <w:r w:rsidR="000D3611" w:rsidRPr="00F20168">
        <w:rPr>
          <w:rFonts w:ascii="Arial" w:hAnsi="Arial" w:cs="Arial"/>
          <w:color w:val="000000"/>
          <w:sz w:val="22"/>
          <w:szCs w:val="22"/>
        </w:rPr>
        <w:t>rilevante</w:t>
      </w:r>
      <w:r w:rsidRPr="00F20168">
        <w:rPr>
          <w:rFonts w:ascii="Arial" w:hAnsi="Arial" w:cs="Arial"/>
          <w:color w:val="000000"/>
          <w:sz w:val="22"/>
          <w:szCs w:val="22"/>
        </w:rPr>
        <w:t xml:space="preserve">, competitiva e a basse emissioni di carbonio da vari partner in tutto il mondo saremo in grado di realizzare i nostri piani per la produzione di veicoli elettrici in modo responsabile.”   </w:t>
      </w:r>
    </w:p>
    <w:p w14:paraId="6A0634A4" w14:textId="7D995039" w:rsidR="00F75BDD" w:rsidRPr="00F20168" w:rsidRDefault="00DB7F49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20168">
        <w:rPr>
          <w:rFonts w:ascii="Arial" w:hAnsi="Arial" w:cs="Arial"/>
          <w:sz w:val="22"/>
          <w:szCs w:val="22"/>
        </w:rPr>
        <w:t xml:space="preserve">“Questo accordo di fornitura con Stellantis fissa nuovi parametri per il settore automotive negli Stati Uniti,” ha dichiarato Rod Colwell, CEO CTR. “La fornitura di litio </w:t>
      </w:r>
      <w:r w:rsidR="007B1EB9" w:rsidRPr="00F20168">
        <w:rPr>
          <w:rFonts w:ascii="Arial" w:hAnsi="Arial" w:cs="Arial"/>
          <w:sz w:val="22"/>
          <w:szCs w:val="22"/>
        </w:rPr>
        <w:t>pulito</w:t>
      </w:r>
      <w:r w:rsidRPr="00F20168">
        <w:rPr>
          <w:rFonts w:ascii="Arial" w:hAnsi="Arial" w:cs="Arial"/>
          <w:sz w:val="22"/>
          <w:szCs w:val="22"/>
        </w:rPr>
        <w:t>, prodotto con energie ricavate da una risorsa rinnovabile, contribuisce a decarbonizzare ulteriormente la catena di approvvigionamento</w:t>
      </w:r>
      <w:r w:rsidR="00BE3C8A" w:rsidRPr="00F20168">
        <w:rPr>
          <w:rFonts w:ascii="Arial" w:hAnsi="Arial" w:cs="Arial"/>
          <w:sz w:val="22"/>
          <w:szCs w:val="22"/>
        </w:rPr>
        <w:t xml:space="preserve"> delle batterie</w:t>
      </w:r>
      <w:r w:rsidR="007F309A" w:rsidRPr="00F20168">
        <w:rPr>
          <w:rFonts w:ascii="Arial" w:hAnsi="Arial" w:cs="Arial"/>
          <w:sz w:val="22"/>
          <w:szCs w:val="22"/>
        </w:rPr>
        <w:t>. Tutto ciò</w:t>
      </w:r>
      <w:r w:rsidRPr="00F20168">
        <w:rPr>
          <w:rFonts w:ascii="Arial" w:hAnsi="Arial" w:cs="Arial"/>
          <w:sz w:val="22"/>
          <w:szCs w:val="22"/>
        </w:rPr>
        <w:t xml:space="preserve"> </w:t>
      </w:r>
      <w:r w:rsidR="007F309A" w:rsidRPr="00F20168">
        <w:rPr>
          <w:rFonts w:ascii="Arial" w:hAnsi="Arial" w:cs="Arial"/>
          <w:sz w:val="22"/>
          <w:szCs w:val="22"/>
        </w:rPr>
        <w:t>consente</w:t>
      </w:r>
      <w:r w:rsidRPr="00F20168">
        <w:rPr>
          <w:rFonts w:ascii="Arial" w:hAnsi="Arial" w:cs="Arial"/>
          <w:sz w:val="22"/>
          <w:szCs w:val="22"/>
        </w:rPr>
        <w:t xml:space="preserve"> di produrre automobili </w:t>
      </w:r>
      <w:r w:rsidR="00BE3C8A" w:rsidRPr="00F20168">
        <w:rPr>
          <w:rFonts w:ascii="Arial" w:hAnsi="Arial" w:cs="Arial"/>
          <w:sz w:val="22"/>
          <w:szCs w:val="22"/>
        </w:rPr>
        <w:t>in modo più sostenibile e</w:t>
      </w:r>
      <w:r w:rsidRPr="00F20168">
        <w:rPr>
          <w:rFonts w:ascii="Arial" w:hAnsi="Arial" w:cs="Arial"/>
          <w:sz w:val="22"/>
          <w:szCs w:val="22"/>
        </w:rPr>
        <w:t xml:space="preserve"> con un minore impatto ambientale. Siamo </w:t>
      </w:r>
      <w:r w:rsidR="0079631D" w:rsidRPr="00F20168">
        <w:rPr>
          <w:rFonts w:ascii="Arial" w:hAnsi="Arial" w:cs="Arial"/>
          <w:sz w:val="22"/>
          <w:szCs w:val="22"/>
        </w:rPr>
        <w:t xml:space="preserve">certi </w:t>
      </w:r>
      <w:r w:rsidRPr="00F20168">
        <w:rPr>
          <w:rFonts w:ascii="Arial" w:hAnsi="Arial" w:cs="Arial"/>
          <w:sz w:val="22"/>
          <w:szCs w:val="22"/>
        </w:rPr>
        <w:t xml:space="preserve">che la relazione con Stellantis </w:t>
      </w:r>
      <w:r w:rsidR="0079631D" w:rsidRPr="00F20168">
        <w:rPr>
          <w:rFonts w:ascii="Arial" w:hAnsi="Arial" w:cs="Arial"/>
          <w:sz w:val="22"/>
          <w:szCs w:val="22"/>
        </w:rPr>
        <w:t xml:space="preserve">si rivelerà </w:t>
      </w:r>
      <w:r w:rsidRPr="00F20168">
        <w:rPr>
          <w:rFonts w:ascii="Arial" w:hAnsi="Arial" w:cs="Arial"/>
          <w:sz w:val="22"/>
          <w:szCs w:val="22"/>
        </w:rPr>
        <w:t>solida e produttiva.”</w:t>
      </w:r>
    </w:p>
    <w:p w14:paraId="68939C37" w14:textId="6F35028B" w:rsidR="00D90200" w:rsidRPr="00F20168" w:rsidRDefault="00753B71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20168">
        <w:rPr>
          <w:rFonts w:ascii="Arial" w:hAnsi="Arial" w:cs="Arial"/>
          <w:sz w:val="22"/>
          <w:szCs w:val="22"/>
        </w:rPr>
        <w:t>L</w:t>
      </w:r>
      <w:r w:rsidR="00CE4470" w:rsidRPr="00F20168">
        <w:rPr>
          <w:rFonts w:ascii="Arial" w:hAnsi="Arial" w:cs="Arial"/>
          <w:sz w:val="22"/>
          <w:szCs w:val="22"/>
        </w:rPr>
        <w:t xml:space="preserve">’accordo, di durata decennale, </w:t>
      </w:r>
      <w:r w:rsidRPr="00F20168">
        <w:rPr>
          <w:rFonts w:ascii="Arial" w:hAnsi="Arial" w:cs="Arial"/>
          <w:sz w:val="22"/>
          <w:szCs w:val="22"/>
        </w:rPr>
        <w:t xml:space="preserve">prevede che </w:t>
      </w:r>
      <w:r w:rsidR="00512922" w:rsidRPr="00F20168">
        <w:rPr>
          <w:rFonts w:ascii="Arial" w:hAnsi="Arial" w:cs="Arial"/>
          <w:sz w:val="22"/>
          <w:szCs w:val="22"/>
        </w:rPr>
        <w:t>CTR for</w:t>
      </w:r>
      <w:r w:rsidRPr="00F20168">
        <w:rPr>
          <w:rFonts w:ascii="Arial" w:hAnsi="Arial" w:cs="Arial"/>
          <w:sz w:val="22"/>
          <w:szCs w:val="22"/>
        </w:rPr>
        <w:t>nisca a</w:t>
      </w:r>
      <w:r w:rsidR="00512922" w:rsidRPr="00F20168">
        <w:rPr>
          <w:rFonts w:ascii="Arial" w:hAnsi="Arial" w:cs="Arial"/>
          <w:sz w:val="22"/>
          <w:szCs w:val="22"/>
        </w:rPr>
        <w:t xml:space="preserve"> Stellantis fino a 25.000 tonnellate di idrossido </w:t>
      </w:r>
      <w:r w:rsidR="001470A8" w:rsidRPr="00F20168">
        <w:rPr>
          <w:rFonts w:ascii="Arial" w:hAnsi="Arial" w:cs="Arial"/>
          <w:sz w:val="22"/>
          <w:szCs w:val="22"/>
        </w:rPr>
        <w:t xml:space="preserve">di litio </w:t>
      </w:r>
      <w:r w:rsidR="000756AF" w:rsidRPr="00F20168">
        <w:rPr>
          <w:rFonts w:ascii="Arial" w:hAnsi="Arial" w:cs="Arial"/>
          <w:sz w:val="22"/>
          <w:szCs w:val="22"/>
        </w:rPr>
        <w:t>all’anno</w:t>
      </w:r>
      <w:r w:rsidR="00512922" w:rsidRPr="00F20168">
        <w:rPr>
          <w:rFonts w:ascii="Arial" w:hAnsi="Arial" w:cs="Arial"/>
          <w:sz w:val="22"/>
          <w:szCs w:val="22"/>
        </w:rPr>
        <w:t xml:space="preserve">. A fine 2021 Stellantis ha annunciato un </w:t>
      </w:r>
      <w:hyperlink r:id="rId12" w:history="1">
        <w:r w:rsidR="00512922" w:rsidRPr="00F20168">
          <w:rPr>
            <w:rStyle w:val="Hyperlink"/>
            <w:rFonts w:ascii="Arial" w:hAnsi="Arial" w:cs="Arial"/>
            <w:sz w:val="22"/>
            <w:szCs w:val="22"/>
            <w:u w:val="single"/>
          </w:rPr>
          <w:t>accordo di fornitura simile</w:t>
        </w:r>
      </w:hyperlink>
      <w:r w:rsidR="00512922" w:rsidRPr="00F20168">
        <w:rPr>
          <w:rFonts w:ascii="Arial" w:hAnsi="Arial" w:cs="Arial"/>
          <w:sz w:val="22"/>
          <w:szCs w:val="22"/>
        </w:rPr>
        <w:t xml:space="preserve"> a supporto della sua produzione di veicoli in Europa.</w:t>
      </w:r>
    </w:p>
    <w:p w14:paraId="24A872D4" w14:textId="3A52D785" w:rsidR="00123307" w:rsidRPr="00F20168" w:rsidRDefault="00753B71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20168">
        <w:rPr>
          <w:rFonts w:ascii="Arial" w:hAnsi="Arial" w:cs="Arial"/>
          <w:color w:val="000000"/>
          <w:sz w:val="22"/>
          <w:szCs w:val="22"/>
        </w:rPr>
        <w:lastRenderedPageBreak/>
        <w:t>Nell’ambito d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el piano strategico </w:t>
      </w:r>
      <w:hyperlink r:id="rId13" w:history="1">
        <w:r w:rsidR="00123307" w:rsidRPr="00F20168">
          <w:rPr>
            <w:rStyle w:val="Hyperlink"/>
            <w:rFonts w:ascii="Arial" w:hAnsi="Arial" w:cs="Arial"/>
            <w:sz w:val="22"/>
            <w:szCs w:val="22"/>
            <w:u w:val="single"/>
          </w:rPr>
          <w:t>Dare Forward 2030</w:t>
        </w:r>
      </w:hyperlink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, Stellantis ha annunciato </w:t>
      </w:r>
      <w:r w:rsidR="00EE3A29" w:rsidRPr="00F20168">
        <w:rPr>
          <w:rFonts w:ascii="Arial" w:hAnsi="Arial" w:cs="Arial"/>
          <w:color w:val="000000"/>
          <w:sz w:val="22"/>
          <w:szCs w:val="22"/>
        </w:rPr>
        <w:t xml:space="preserve">programmi 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>per realizzare globalmente vendite annuali di v</w:t>
      </w:r>
      <w:r w:rsidR="00660512" w:rsidRPr="00F20168">
        <w:rPr>
          <w:rFonts w:ascii="Arial" w:hAnsi="Arial" w:cs="Arial"/>
          <w:color w:val="000000"/>
          <w:sz w:val="22"/>
          <w:szCs w:val="22"/>
        </w:rPr>
        <w:t>etture elettriche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 a batteria </w:t>
      </w:r>
      <w:r w:rsidR="00371F13" w:rsidRPr="00F20168">
        <w:rPr>
          <w:rFonts w:ascii="Arial" w:hAnsi="Arial" w:cs="Arial"/>
          <w:color w:val="000000"/>
          <w:sz w:val="22"/>
          <w:szCs w:val="22"/>
        </w:rPr>
        <w:t xml:space="preserve">pari a cinque milioni </w:t>
      </w:r>
      <w:r w:rsidR="0071385B" w:rsidRPr="00F20168">
        <w:rPr>
          <w:rFonts w:ascii="Arial" w:hAnsi="Arial" w:cs="Arial"/>
          <w:color w:val="000000"/>
          <w:sz w:val="22"/>
          <w:szCs w:val="22"/>
        </w:rPr>
        <w:t xml:space="preserve">entro il 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2030, raggiungendo con i BEV il 100% del mix di vendite di </w:t>
      </w:r>
      <w:r w:rsidR="00660512" w:rsidRPr="00F20168">
        <w:rPr>
          <w:rFonts w:ascii="Arial" w:hAnsi="Arial" w:cs="Arial"/>
          <w:color w:val="000000"/>
          <w:sz w:val="22"/>
          <w:szCs w:val="22"/>
        </w:rPr>
        <w:t xml:space="preserve">veicoli 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in Europa e il 50% di autovetture e veicoli commerciali leggeri in Nord America. Stellantis ha inoltre aumentato la capacità pianificata di batterie </w:t>
      </w:r>
      <w:r w:rsidR="00EE3A29" w:rsidRPr="00F20168">
        <w:rPr>
          <w:rFonts w:ascii="Arial" w:hAnsi="Arial" w:cs="Arial"/>
          <w:color w:val="000000"/>
          <w:sz w:val="22"/>
          <w:szCs w:val="22"/>
        </w:rPr>
        <w:t xml:space="preserve">da 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>140 GWh a circa 400 GWh</w:t>
      </w:r>
      <w:r w:rsidR="008A4871" w:rsidRPr="00F20168">
        <w:rPr>
          <w:rFonts w:ascii="Arial" w:hAnsi="Arial" w:cs="Arial"/>
          <w:color w:val="000000"/>
          <w:sz w:val="22"/>
          <w:szCs w:val="22"/>
        </w:rPr>
        <w:t xml:space="preserve">. L’incremento verrà 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>supportat</w:t>
      </w:r>
      <w:r w:rsidR="008A4871" w:rsidRPr="00F20168">
        <w:rPr>
          <w:rFonts w:ascii="Arial" w:hAnsi="Arial" w:cs="Arial"/>
          <w:color w:val="000000"/>
          <w:sz w:val="22"/>
          <w:szCs w:val="22"/>
        </w:rPr>
        <w:t>o</w:t>
      </w:r>
      <w:r w:rsidR="00123307" w:rsidRPr="00F20168">
        <w:rPr>
          <w:rFonts w:ascii="Arial" w:hAnsi="Arial" w:cs="Arial"/>
          <w:color w:val="000000"/>
          <w:sz w:val="22"/>
          <w:szCs w:val="22"/>
        </w:rPr>
        <w:t xml:space="preserve"> da cinque impianti di produzione di batterie in Europa e Nord America e da contratti di fornitura aggiuntivi. </w:t>
      </w:r>
    </w:p>
    <w:p w14:paraId="6F4816BF" w14:textId="49791760" w:rsidR="00F75BDD" w:rsidRPr="00F20168" w:rsidRDefault="00F75BDD" w:rsidP="001470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20168">
        <w:rPr>
          <w:rFonts w:ascii="Arial" w:hAnsi="Arial" w:cs="Arial"/>
          <w:sz w:val="22"/>
          <w:szCs w:val="22"/>
        </w:rPr>
        <w:t>CTR produrrà idrossido di litio e carbonato di litio per batterie insieme a energia geotermica nella contea di Imperial, in California, con una capacità del giacimento di oltre 300.000 tonnellate l’anno.</w:t>
      </w:r>
    </w:p>
    <w:p w14:paraId="2E5CA74B" w14:textId="77777777" w:rsidR="007F0624" w:rsidRPr="00F20168" w:rsidRDefault="007F0624" w:rsidP="007F0624">
      <w:pPr>
        <w:jc w:val="center"/>
        <w:rPr>
          <w:rFonts w:ascii="Arial" w:eastAsia="Encode Sans" w:hAnsi="Arial" w:cs="Arial"/>
          <w:sz w:val="22"/>
          <w:szCs w:val="22"/>
        </w:rPr>
      </w:pPr>
      <w:r w:rsidRPr="00F20168">
        <w:rPr>
          <w:rFonts w:ascii="Arial" w:hAnsi="Arial" w:cs="Arial"/>
          <w:sz w:val="22"/>
          <w:szCs w:val="22"/>
        </w:rPr>
        <w:t># # #</w:t>
      </w:r>
    </w:p>
    <w:p w14:paraId="46D4EF33" w14:textId="77777777" w:rsidR="00211BDA" w:rsidRPr="00F20168" w:rsidRDefault="00211BDA" w:rsidP="00E653B0">
      <w:pPr>
        <w:spacing w:after="0"/>
        <w:rPr>
          <w:rFonts w:ascii="Arial" w:eastAsia="Times New Roman" w:hAnsi="Arial" w:cs="Arial"/>
          <w:b/>
          <w:bCs/>
          <w:sz w:val="20"/>
          <w:szCs w:val="16"/>
        </w:rPr>
      </w:pPr>
      <w:r w:rsidRPr="00F20168">
        <w:rPr>
          <w:rFonts w:ascii="Arial" w:hAnsi="Arial" w:cs="Arial"/>
          <w:b/>
          <w:bCs/>
          <w:sz w:val="20"/>
          <w:szCs w:val="16"/>
        </w:rPr>
        <w:t>Stellantis</w:t>
      </w:r>
    </w:p>
    <w:p w14:paraId="71E955B6" w14:textId="51D0F72B" w:rsidR="00211BDA" w:rsidRPr="00F20168" w:rsidRDefault="00211BDA">
      <w:pPr>
        <w:spacing w:after="0"/>
        <w:rPr>
          <w:rFonts w:ascii="Arial" w:eastAsia="Times New Roman" w:hAnsi="Arial" w:cs="Arial"/>
          <w:sz w:val="20"/>
          <w:szCs w:val="16"/>
        </w:rPr>
      </w:pPr>
      <w:bookmarkStart w:id="0" w:name="_Hlk104023212"/>
      <w:r w:rsidRPr="00F20168">
        <w:rPr>
          <w:rFonts w:ascii="Arial" w:hAnsi="Arial" w:cs="Arial"/>
          <w:sz w:val="20"/>
          <w:szCs w:val="16"/>
        </w:rPr>
        <w:t xml:space="preserve">Stellantis N.V. (NYSE / MTA / Euronext Paris: STLA) è leader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</w:t>
      </w:r>
      <w:r w:rsidR="002862E0" w:rsidRPr="00F20168">
        <w:rPr>
          <w:rFonts w:ascii="Arial" w:hAnsi="Arial" w:cs="Arial"/>
          <w:sz w:val="20"/>
          <w:szCs w:val="16"/>
        </w:rPr>
        <w:t xml:space="preserve">nostri </w:t>
      </w:r>
      <w:r w:rsidRPr="00F20168">
        <w:rPr>
          <w:rFonts w:ascii="Arial" w:hAnsi="Arial" w:cs="Arial"/>
          <w:sz w:val="20"/>
          <w:szCs w:val="16"/>
        </w:rPr>
        <w:t>clienti, offrendo prodotti e servizi innovativi. Grazie alla diversità che ci alimenta, guidiamo il modo in cui il mondo si muove puntando a diventare l</w:t>
      </w:r>
      <w:r w:rsidR="005D6B51" w:rsidRPr="00F20168">
        <w:rPr>
          <w:rFonts w:ascii="Arial" w:hAnsi="Arial" w:cs="Arial"/>
          <w:sz w:val="20"/>
          <w:szCs w:val="16"/>
        </w:rPr>
        <w:t>’</w:t>
      </w:r>
      <w:r w:rsidRPr="00F20168">
        <w:rPr>
          <w:rFonts w:ascii="Arial" w:hAnsi="Arial" w:cs="Arial"/>
          <w:sz w:val="20"/>
          <w:szCs w:val="16"/>
        </w:rPr>
        <w:t>azienda tech di mobilità</w:t>
      </w:r>
      <w:r w:rsidR="005D6B51" w:rsidRPr="00F20168">
        <w:rPr>
          <w:rFonts w:ascii="Arial" w:hAnsi="Arial" w:cs="Arial"/>
          <w:sz w:val="20"/>
          <w:szCs w:val="16"/>
        </w:rPr>
        <w:t xml:space="preserve"> più </w:t>
      </w:r>
      <w:r w:rsidR="003D2BE0" w:rsidRPr="00F20168">
        <w:rPr>
          <w:rFonts w:ascii="Arial" w:hAnsi="Arial" w:cs="Arial"/>
          <w:sz w:val="20"/>
          <w:szCs w:val="16"/>
        </w:rPr>
        <w:t>significativa,</w:t>
      </w:r>
      <w:r w:rsidRPr="00F20168">
        <w:rPr>
          <w:rFonts w:ascii="Arial" w:hAnsi="Arial" w:cs="Arial"/>
          <w:sz w:val="20"/>
          <w:szCs w:val="16"/>
        </w:rPr>
        <w:t xml:space="preserve"> non la più grande</w:t>
      </w:r>
      <w:r w:rsidR="00377F4F" w:rsidRPr="00F20168">
        <w:rPr>
          <w:rFonts w:ascii="Arial" w:hAnsi="Arial" w:cs="Arial"/>
          <w:sz w:val="20"/>
          <w:szCs w:val="16"/>
        </w:rPr>
        <w:t>, e c</w:t>
      </w:r>
      <w:r w:rsidR="002862E0" w:rsidRPr="00F20168">
        <w:rPr>
          <w:rFonts w:ascii="Arial" w:hAnsi="Arial" w:cs="Arial"/>
          <w:sz w:val="20"/>
          <w:szCs w:val="16"/>
        </w:rPr>
        <w:t>i poniamo l’obiettivo di</w:t>
      </w:r>
      <w:r w:rsidR="005D6B51" w:rsidRPr="00F20168">
        <w:rPr>
          <w:rFonts w:ascii="Arial" w:hAnsi="Arial" w:cs="Arial"/>
          <w:sz w:val="20"/>
          <w:szCs w:val="16"/>
        </w:rPr>
        <w:t xml:space="preserve"> </w:t>
      </w:r>
      <w:r w:rsidRPr="00F20168">
        <w:rPr>
          <w:rFonts w:ascii="Arial" w:hAnsi="Arial" w:cs="Arial"/>
          <w:sz w:val="20"/>
          <w:szCs w:val="16"/>
        </w:rPr>
        <w:t>crea</w:t>
      </w:r>
      <w:r w:rsidR="002862E0" w:rsidRPr="00F20168">
        <w:rPr>
          <w:rFonts w:ascii="Arial" w:hAnsi="Arial" w:cs="Arial"/>
          <w:sz w:val="20"/>
          <w:szCs w:val="16"/>
        </w:rPr>
        <w:t>re</w:t>
      </w:r>
      <w:r w:rsidRPr="00F20168">
        <w:rPr>
          <w:rFonts w:ascii="Arial" w:hAnsi="Arial" w:cs="Arial"/>
          <w:sz w:val="20"/>
          <w:szCs w:val="16"/>
        </w:rPr>
        <w:t xml:space="preserve"> valore aggiunto per tutti gli stakeholder e le comunità </w:t>
      </w:r>
      <w:r w:rsidR="007205C5" w:rsidRPr="00F20168">
        <w:rPr>
          <w:rFonts w:ascii="Arial" w:hAnsi="Arial" w:cs="Arial"/>
          <w:sz w:val="20"/>
          <w:szCs w:val="16"/>
        </w:rPr>
        <w:t xml:space="preserve">in cui </w:t>
      </w:r>
      <w:r w:rsidR="000C4EB8" w:rsidRPr="00F20168">
        <w:rPr>
          <w:rFonts w:ascii="Arial" w:hAnsi="Arial" w:cs="Arial"/>
          <w:sz w:val="20"/>
          <w:szCs w:val="16"/>
        </w:rPr>
        <w:t>operiamo</w:t>
      </w:r>
      <w:r w:rsidRPr="00F20168">
        <w:rPr>
          <w:rFonts w:ascii="Arial" w:hAnsi="Arial" w:cs="Arial"/>
          <w:sz w:val="20"/>
          <w:szCs w:val="16"/>
        </w:rPr>
        <w:t>. Per maggiori informazioni, visitare www.stellantis.com.</w:t>
      </w:r>
      <w:bookmarkEnd w:id="0"/>
    </w:p>
    <w:p w14:paraId="4B1252EB" w14:textId="77777777" w:rsidR="009D782E" w:rsidRPr="00F20168" w:rsidRDefault="009D782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54AE94A" w14:textId="0D2BEE70" w:rsidR="009D782E" w:rsidRPr="00F20168" w:rsidRDefault="009D782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/>
      <w:bookmarkEnd w:id="1"/>
      <w:r w:rsidRPr="00F20168">
        <w:rPr>
          <w:rFonts w:ascii="Arial" w:hAnsi="Arial" w:cs="Arial"/>
          <w:b/>
          <w:color w:val="000000"/>
          <w:sz w:val="20"/>
          <w:szCs w:val="20"/>
        </w:rPr>
        <w:t>CTR</w:t>
      </w:r>
    </w:p>
    <w:p w14:paraId="5A6CF277" w14:textId="76833A2D" w:rsidR="00DF61C4" w:rsidRPr="00F20168" w:rsidRDefault="00DF61C4" w:rsidP="00914E09">
      <w:pPr>
        <w:spacing w:after="0"/>
        <w:rPr>
          <w:rFonts w:ascii="Arial" w:eastAsia="SimSun" w:hAnsi="Arial" w:cs="Arial"/>
          <w:kern w:val="2"/>
          <w:sz w:val="20"/>
          <w:szCs w:val="20"/>
          <w:shd w:val="clear" w:color="auto" w:fill="FFFFFF"/>
        </w:rPr>
      </w:pPr>
      <w:bookmarkStart w:id="2" w:name="_Hlk100564101"/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Controlled Thermal Resources </w:t>
      </w:r>
      <w:bookmarkEnd w:id="2"/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Limited (“CTR”), attraverso le sue società di progetto, è specializzata nella produzione di minerali di litio ed energie rinnovabili con </w:t>
      </w:r>
      <w:r w:rsidR="00C8555B"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programmi 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di sviluppo avanzati negli Stati Uniti. Il management di CTR ha ottenuto ottimi risultati nello sviluppo e nella gestione di centrali geotermiche nella regione del Salton Sea negli ultimi 30 anni. Il know-how altamente specializzato in </w:t>
      </w:r>
      <w:r w:rsidR="00C105C7"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questo 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territorio è stato fondamentale per l’avanzamento dei </w:t>
      </w:r>
      <w:r w:rsidR="000F4189"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numerosi 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>progetti</w:t>
      </w:r>
      <w:r w:rsidR="000F4189"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 avviati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D37BB9"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L’azienda 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>è impegnata a fornire energia rinnovabile e prodotti di litio sostenibili e a basso costo a supporto delle iniziative della California nel campo delle energie pulite</w:t>
      </w:r>
      <w:r w:rsidR="001D3083" w:rsidRPr="00F20168">
        <w:rPr>
          <w:rFonts w:ascii="Arial" w:hAnsi="Arial" w:cs="Arial"/>
          <w:sz w:val="20"/>
          <w:szCs w:val="20"/>
          <w:shd w:val="clear" w:color="auto" w:fill="FFFFFF"/>
        </w:rPr>
        <w:t>. L’obiettivo è</w:t>
      </w:r>
      <w:r w:rsidRPr="00F20168">
        <w:rPr>
          <w:rFonts w:ascii="Arial" w:hAnsi="Arial" w:cs="Arial"/>
          <w:sz w:val="20"/>
          <w:szCs w:val="20"/>
          <w:shd w:val="clear" w:color="auto" w:fill="FFFFFF"/>
        </w:rPr>
        <w:t xml:space="preserve"> garantire una catena di approvvigionamento sicura e socialmente responsabile per i prodotti di litio. Per maggiori informazioni, visitare www.cthermal.com. </w:t>
      </w:r>
    </w:p>
    <w:p w14:paraId="3E3FFB40" w14:textId="1FE4D8D5" w:rsidR="00D90200" w:rsidRPr="00F20168" w:rsidRDefault="00D90200">
      <w:pPr>
        <w:spacing w:after="0"/>
        <w:jc w:val="left"/>
        <w:rPr>
          <w:rFonts w:ascii="Arial" w:hAnsi="Arial" w:cs="Arial"/>
          <w:b/>
          <w:i/>
          <w:sz w:val="16"/>
          <w:szCs w:val="16"/>
        </w:rPr>
      </w:pPr>
    </w:p>
    <w:p w14:paraId="295F216C" w14:textId="77777777" w:rsidR="00DF61C4" w:rsidRPr="00F20168" w:rsidRDefault="00DF61C4">
      <w:pPr>
        <w:spacing w:after="0"/>
        <w:jc w:val="left"/>
        <w:rPr>
          <w:rFonts w:ascii="Arial" w:hAnsi="Arial" w:cs="Arial"/>
          <w:b/>
          <w:i/>
          <w:sz w:val="16"/>
          <w:szCs w:val="16"/>
        </w:rPr>
      </w:pPr>
    </w:p>
    <w:p w14:paraId="09667F5E" w14:textId="77777777" w:rsidR="00211BDA" w:rsidRPr="00F20168" w:rsidRDefault="00211BDA" w:rsidP="00211BDA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F20168">
        <w:rPr>
          <w:rFonts w:ascii="Arial" w:hAnsi="Arial" w:cs="Arial"/>
          <w:b/>
          <w:sz w:val="22"/>
          <w:szCs w:val="22"/>
        </w:rPr>
        <w:t>Contatti:</w:t>
      </w:r>
    </w:p>
    <w:p w14:paraId="3C30E1AF" w14:textId="77777777" w:rsidR="00211BDA" w:rsidRPr="00F20168" w:rsidRDefault="00211BDA" w:rsidP="00211BDA">
      <w:pPr>
        <w:spacing w:after="0"/>
        <w:rPr>
          <w:rFonts w:ascii="Arial" w:eastAsiaTheme="minorEastAsia" w:hAnsi="Arial" w:cs="Arial"/>
          <w:sz w:val="18"/>
          <w:szCs w:val="18"/>
        </w:rPr>
      </w:pPr>
    </w:p>
    <w:p w14:paraId="7ED2C733" w14:textId="77777777" w:rsidR="00211BDA" w:rsidRPr="00F20168" w:rsidRDefault="00211BDA" w:rsidP="00211BDA">
      <w:pPr>
        <w:spacing w:after="0"/>
        <w:rPr>
          <w:rFonts w:ascii="Arial" w:hAnsi="Arial" w:cs="Arial"/>
          <w:b/>
          <w:bCs/>
          <w:sz w:val="20"/>
          <w:szCs w:val="16"/>
        </w:rPr>
      </w:pPr>
      <w:r w:rsidRPr="00F20168">
        <w:rPr>
          <w:rFonts w:ascii="Arial" w:hAnsi="Arial" w:cs="Arial"/>
          <w:b/>
          <w:bCs/>
          <w:sz w:val="20"/>
          <w:szCs w:val="16"/>
        </w:rPr>
        <w:t>Stellantis</w:t>
      </w:r>
    </w:p>
    <w:p w14:paraId="7730F5DF" w14:textId="77777777" w:rsidR="00211BDA" w:rsidRPr="00F20168" w:rsidRDefault="00211BDA" w:rsidP="00211BDA">
      <w:pPr>
        <w:spacing w:after="0"/>
        <w:rPr>
          <w:rFonts w:ascii="Arial" w:hAnsi="Arial" w:cs="Arial"/>
          <w:sz w:val="20"/>
          <w:szCs w:val="16"/>
        </w:rPr>
      </w:pPr>
    </w:p>
    <w:p w14:paraId="2C556014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b/>
          <w:bCs/>
          <w:sz w:val="20"/>
          <w:szCs w:val="16"/>
        </w:rPr>
      </w:pPr>
      <w:r w:rsidRPr="00F20168">
        <w:rPr>
          <w:rFonts w:ascii="Arial" w:hAnsi="Arial" w:cs="Arial"/>
          <w:b/>
          <w:bCs/>
          <w:sz w:val="20"/>
          <w:szCs w:val="16"/>
        </w:rPr>
        <w:t xml:space="preserve">Fernão Silveira </w:t>
      </w:r>
    </w:p>
    <w:p w14:paraId="6253A0AD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</w:rPr>
      </w:pPr>
      <w:r w:rsidRPr="00F20168">
        <w:rPr>
          <w:rFonts w:ascii="Arial" w:hAnsi="Arial" w:cs="Arial"/>
          <w:sz w:val="20"/>
          <w:szCs w:val="16"/>
        </w:rPr>
        <w:t>Comunicazioni globali / Stellantis</w:t>
      </w:r>
    </w:p>
    <w:p w14:paraId="3D47FCA4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</w:rPr>
      </w:pPr>
      <w:r w:rsidRPr="00F20168">
        <w:rPr>
          <w:rFonts w:ascii="Arial" w:hAnsi="Arial" w:cs="Arial"/>
          <w:sz w:val="20"/>
          <w:szCs w:val="16"/>
        </w:rPr>
        <w:t xml:space="preserve">fernao.silveira@stellantis.com </w:t>
      </w:r>
    </w:p>
    <w:p w14:paraId="0DB3F9B8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  <w:r w:rsidRPr="00F20168">
        <w:rPr>
          <w:rFonts w:ascii="Arial" w:hAnsi="Arial" w:cs="Arial"/>
          <w:sz w:val="20"/>
          <w:szCs w:val="16"/>
          <w:lang w:val="en-US"/>
        </w:rPr>
        <w:t>+31 6 43 25 43 41</w:t>
      </w:r>
    </w:p>
    <w:p w14:paraId="4C7FCF06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</w:p>
    <w:p w14:paraId="5E360872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b/>
          <w:bCs/>
          <w:sz w:val="20"/>
          <w:szCs w:val="16"/>
          <w:lang w:val="en-US"/>
        </w:rPr>
      </w:pPr>
      <w:r w:rsidRPr="00F20168">
        <w:rPr>
          <w:rFonts w:ascii="Arial" w:hAnsi="Arial" w:cs="Arial"/>
          <w:b/>
          <w:bCs/>
          <w:sz w:val="20"/>
          <w:szCs w:val="16"/>
          <w:lang w:val="en-US"/>
        </w:rPr>
        <w:t>Shawn Morgan</w:t>
      </w:r>
    </w:p>
    <w:p w14:paraId="59EEF380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  <w:r w:rsidRPr="00F20168">
        <w:rPr>
          <w:rFonts w:ascii="Arial" w:hAnsi="Arial" w:cs="Arial"/>
          <w:sz w:val="20"/>
          <w:szCs w:val="16"/>
          <w:lang w:val="en-US"/>
        </w:rPr>
        <w:t>North America Communications / Stellantis</w:t>
      </w:r>
    </w:p>
    <w:p w14:paraId="3F005988" w14:textId="77777777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  <w:r w:rsidRPr="00F20168">
        <w:rPr>
          <w:rFonts w:ascii="Arial" w:hAnsi="Arial" w:cs="Arial"/>
          <w:sz w:val="20"/>
          <w:szCs w:val="16"/>
          <w:lang w:val="en-US"/>
        </w:rPr>
        <w:t>shawn.morgan@stellantis.com</w:t>
      </w:r>
    </w:p>
    <w:p w14:paraId="0B777CB1" w14:textId="0BC9FB0E" w:rsidR="00211BDA" w:rsidRPr="00F20168" w:rsidRDefault="00211BDA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  <w:r w:rsidRPr="00F20168">
        <w:rPr>
          <w:rFonts w:ascii="Arial" w:hAnsi="Arial" w:cs="Arial"/>
          <w:sz w:val="20"/>
          <w:szCs w:val="16"/>
          <w:lang w:val="en-US"/>
        </w:rPr>
        <w:t>+1 (248) 760-2621</w:t>
      </w:r>
    </w:p>
    <w:p w14:paraId="5EB10C58" w14:textId="49337804" w:rsidR="00C00E9B" w:rsidRPr="00F20168" w:rsidRDefault="00C00E9B" w:rsidP="00211BDA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16"/>
          <w:lang w:val="en-US"/>
        </w:rPr>
      </w:pPr>
    </w:p>
    <w:p w14:paraId="3222D6AA" w14:textId="77777777" w:rsidR="0054747E" w:rsidRDefault="0054747E" w:rsidP="00206526">
      <w:pPr>
        <w:tabs>
          <w:tab w:val="left" w:pos="2592"/>
        </w:tabs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3" w:name="_Hlk104885869"/>
    </w:p>
    <w:p w14:paraId="7970228D" w14:textId="77777777" w:rsidR="0054747E" w:rsidRDefault="0054747E" w:rsidP="00206526">
      <w:pPr>
        <w:tabs>
          <w:tab w:val="left" w:pos="2592"/>
        </w:tabs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51D909" w14:textId="5DEA8012" w:rsidR="00206526" w:rsidRPr="00F20168" w:rsidRDefault="00206526" w:rsidP="00206526">
      <w:pPr>
        <w:tabs>
          <w:tab w:val="left" w:pos="2592"/>
        </w:tabs>
        <w:spacing w:after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20168">
        <w:rPr>
          <w:rFonts w:ascii="Arial" w:hAnsi="Arial" w:cs="Arial"/>
          <w:b/>
          <w:bCs/>
          <w:sz w:val="20"/>
          <w:szCs w:val="20"/>
          <w:lang w:val="en-US"/>
        </w:rPr>
        <w:t xml:space="preserve">Controlled Thermal Resources </w:t>
      </w:r>
    </w:p>
    <w:p w14:paraId="16FFE100" w14:textId="77777777" w:rsidR="00206526" w:rsidRPr="00F20168" w:rsidRDefault="00206526" w:rsidP="00206526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14:paraId="71676F59" w14:textId="77777777" w:rsidR="00206526" w:rsidRPr="00F20168" w:rsidRDefault="00206526" w:rsidP="00206526">
      <w:pPr>
        <w:tabs>
          <w:tab w:val="left" w:pos="2592"/>
        </w:tabs>
        <w:spacing w:after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20168">
        <w:rPr>
          <w:rFonts w:ascii="Arial" w:hAnsi="Arial" w:cs="Arial"/>
          <w:b/>
          <w:bCs/>
          <w:sz w:val="20"/>
          <w:szCs w:val="20"/>
          <w:lang w:val="en-US"/>
        </w:rPr>
        <w:t>Lauren Rose</w:t>
      </w:r>
    </w:p>
    <w:p w14:paraId="2827ABEF" w14:textId="77777777" w:rsidR="00206526" w:rsidRPr="00F20168" w:rsidRDefault="00206526" w:rsidP="00206526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20"/>
          <w:lang w:val="en-US"/>
        </w:rPr>
      </w:pPr>
      <w:r w:rsidRPr="00F20168">
        <w:rPr>
          <w:rFonts w:ascii="Arial" w:hAnsi="Arial" w:cs="Arial"/>
          <w:sz w:val="20"/>
          <w:szCs w:val="20"/>
          <w:lang w:val="en-US"/>
        </w:rPr>
        <w:t>Strategy and Communications Lead</w:t>
      </w:r>
    </w:p>
    <w:p w14:paraId="14FBBA61" w14:textId="651416EE" w:rsidR="00206526" w:rsidRPr="00F20168" w:rsidRDefault="00FB58AF" w:rsidP="00206526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20"/>
        </w:rPr>
      </w:pPr>
      <w:r w:rsidRPr="00F20168">
        <w:rPr>
          <w:rFonts w:ascii="Arial" w:hAnsi="Arial" w:cs="Arial"/>
          <w:sz w:val="20"/>
          <w:szCs w:val="20"/>
        </w:rPr>
        <w:t>lauren.rose@cthermal.com</w:t>
      </w:r>
    </w:p>
    <w:p w14:paraId="1829EAD1" w14:textId="4EC099AD" w:rsidR="00206526" w:rsidRPr="00F20168" w:rsidRDefault="000B0968" w:rsidP="00206526">
      <w:pPr>
        <w:tabs>
          <w:tab w:val="left" w:pos="2592"/>
        </w:tabs>
        <w:spacing w:after="0"/>
        <w:rPr>
          <w:rFonts w:ascii="Arial" w:eastAsia="Arial" w:hAnsi="Arial" w:cs="Arial"/>
          <w:sz w:val="20"/>
          <w:szCs w:val="20"/>
        </w:rPr>
      </w:pPr>
      <w:r w:rsidRPr="00F20168">
        <w:rPr>
          <w:rFonts w:ascii="Arial" w:hAnsi="Arial" w:cs="Arial"/>
          <w:sz w:val="20"/>
          <w:szCs w:val="20"/>
        </w:rPr>
        <w:t>+61 438 123 177</w:t>
      </w:r>
    </w:p>
    <w:bookmarkEnd w:id="3"/>
    <w:p w14:paraId="6EA0D2D4" w14:textId="77777777" w:rsidR="00C00E9B" w:rsidRPr="00F20168" w:rsidRDefault="00C00E9B" w:rsidP="00C00E9B">
      <w:pPr>
        <w:spacing w:after="0"/>
        <w:rPr>
          <w:rFonts w:ascii="Arial" w:eastAsiaTheme="minorEastAsia" w:hAnsi="Arial" w:cs="Arial"/>
          <w:sz w:val="18"/>
          <w:szCs w:val="18"/>
        </w:rPr>
      </w:pPr>
    </w:p>
    <w:p w14:paraId="2618A018" w14:textId="344B51EF" w:rsidR="00D90200" w:rsidRPr="00F20168" w:rsidRDefault="00D90200">
      <w:pPr>
        <w:spacing w:after="0"/>
        <w:jc w:val="left"/>
        <w:rPr>
          <w:rFonts w:ascii="Arial" w:hAnsi="Arial" w:cs="Arial"/>
          <w:b/>
          <w:i/>
          <w:sz w:val="16"/>
          <w:szCs w:val="16"/>
        </w:rPr>
      </w:pPr>
    </w:p>
    <w:p w14:paraId="1486F7E1" w14:textId="0AABD37F" w:rsidR="00211BDA" w:rsidRPr="00F20168" w:rsidRDefault="00F20168" w:rsidP="00914E0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211BDA" w:rsidRPr="00F20168">
        <w:rPr>
          <w:rFonts w:ascii="Arial" w:hAnsi="Arial" w:cs="Arial"/>
          <w:b/>
          <w:bCs/>
          <w:sz w:val="18"/>
          <w:szCs w:val="18"/>
        </w:rPr>
        <w:t>ICHIARAZIONI PREVISIONALI</w:t>
      </w:r>
    </w:p>
    <w:p w14:paraId="18E03D4B" w14:textId="1B95919E" w:rsidR="00211BDA" w:rsidRPr="00F20168" w:rsidRDefault="00211BDA" w:rsidP="00211BDA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 w:rsidRPr="00F20168">
        <w:rPr>
          <w:rFonts w:ascii="Arial" w:hAnsi="Arial" w:cs="Arial"/>
          <w:i/>
          <w:sz w:val="18"/>
          <w:szCs w:val="18"/>
        </w:rPr>
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</w:t>
      </w:r>
      <w:r w:rsidR="00A1441E" w:rsidRPr="00F20168">
        <w:rPr>
          <w:rFonts w:ascii="Arial" w:hAnsi="Arial" w:cs="Arial"/>
          <w:i/>
          <w:sz w:val="18"/>
          <w:szCs w:val="18"/>
        </w:rPr>
        <w:t xml:space="preserve">costituiscono </w:t>
      </w:r>
      <w:r w:rsidRPr="00F20168">
        <w:rPr>
          <w:rFonts w:ascii="Arial" w:hAnsi="Arial" w:cs="Arial"/>
          <w:i/>
          <w:sz w:val="18"/>
          <w:szCs w:val="18"/>
        </w:rPr>
        <w:t xml:space="preserve">dichiarazioni previsionali. Tali dichiarazioni possono includere termini come “possono”, “saranno”, "prevedono", "potrebbero", "dovrebbero", "intendono", "stimano", "anticipano", "credono", "rimangono", "sulla buona strada", "progettano", "obiettivo", "previsione", "proiezione", "prospettiva", "prospettive", "piano" </w:t>
      </w:r>
      <w:r w:rsidR="0036702A" w:rsidRPr="00F20168">
        <w:rPr>
          <w:rFonts w:ascii="Arial" w:hAnsi="Arial" w:cs="Arial"/>
          <w:i/>
          <w:sz w:val="18"/>
          <w:szCs w:val="18"/>
        </w:rPr>
        <w:t xml:space="preserve">e </w:t>
      </w:r>
      <w:r w:rsidRPr="00F20168">
        <w:rPr>
          <w:rFonts w:ascii="Arial" w:hAnsi="Arial" w:cs="Arial"/>
          <w:i/>
          <w:sz w:val="18"/>
          <w:szCs w:val="18"/>
        </w:rPr>
        <w:t xml:space="preserve">simili. Le dichiarazioni previsionali non </w:t>
      </w:r>
      <w:r w:rsidR="008D3EFD" w:rsidRPr="00F20168">
        <w:rPr>
          <w:rFonts w:ascii="Arial" w:hAnsi="Arial" w:cs="Arial"/>
          <w:i/>
          <w:sz w:val="18"/>
          <w:szCs w:val="18"/>
        </w:rPr>
        <w:t xml:space="preserve">rappresentano garanzia </w:t>
      </w:r>
      <w:r w:rsidRPr="00F20168">
        <w:rPr>
          <w:rFonts w:ascii="Arial" w:hAnsi="Arial" w:cs="Arial"/>
          <w:i/>
          <w:sz w:val="18"/>
          <w:szCs w:val="18"/>
        </w:rPr>
        <w:t>di prestazioni future. Piuttosto, si basano sullo stato attuale delle conoscenze di Stellantis, su aspettative future 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6D9C35D1" w14:textId="644831B0" w:rsidR="00211BDA" w:rsidRPr="00F20168" w:rsidRDefault="00211BDA" w:rsidP="00211BDA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 w:rsidRPr="00F20168">
        <w:rPr>
          <w:rFonts w:ascii="Arial" w:hAnsi="Arial" w:cs="Arial"/>
          <w:i/>
          <w:sz w:val="18"/>
          <w:szCs w:val="18"/>
        </w:rPr>
        <w:t>I risultati effettivi potrebbero differire materialmente da quelli espressi nelle dichiarazioni previsionali quale risultato di una molteplicità di fattori</w:t>
      </w:r>
      <w:r w:rsidR="00236C48" w:rsidRPr="00F20168">
        <w:rPr>
          <w:rFonts w:ascii="Arial" w:hAnsi="Arial" w:cs="Arial"/>
          <w:i/>
          <w:sz w:val="18"/>
          <w:szCs w:val="18"/>
        </w:rPr>
        <w:t>. Tra questi rientrano</w:t>
      </w:r>
      <w:r w:rsidRPr="00F20168">
        <w:rPr>
          <w:rFonts w:ascii="Arial" w:hAnsi="Arial" w:cs="Arial"/>
          <w:i/>
          <w:sz w:val="18"/>
          <w:szCs w:val="18"/>
        </w:rPr>
        <w:t xml:space="preserve">: impatto della pandemia da COVID-19, capacità di Stellantis di lanciare nuovi prodotti con successo e di mantenere i volumi di consegna dei veicoli; cambiamenti nei mercati finanziari globali, nel contesto economico generale e </w:t>
      </w:r>
      <w:r w:rsidR="00295632" w:rsidRPr="00F20168">
        <w:rPr>
          <w:rFonts w:ascii="Arial" w:hAnsi="Arial" w:cs="Arial"/>
          <w:i/>
          <w:sz w:val="18"/>
          <w:szCs w:val="18"/>
        </w:rPr>
        <w:t xml:space="preserve">variazioni </w:t>
      </w:r>
      <w:r w:rsidRPr="00F20168">
        <w:rPr>
          <w:rFonts w:ascii="Arial" w:hAnsi="Arial" w:cs="Arial"/>
          <w:i/>
          <w:sz w:val="18"/>
          <w:szCs w:val="18"/>
        </w:rPr>
        <w:t xml:space="preserve">nella domanda di prodotti automobilistici, </w:t>
      </w:r>
      <w:r w:rsidR="00295632" w:rsidRPr="00F20168">
        <w:rPr>
          <w:rFonts w:ascii="Arial" w:hAnsi="Arial" w:cs="Arial"/>
          <w:i/>
          <w:sz w:val="18"/>
          <w:szCs w:val="18"/>
        </w:rPr>
        <w:t xml:space="preserve">per sua natura </w:t>
      </w:r>
      <w:r w:rsidRPr="00F20168">
        <w:rPr>
          <w:rFonts w:ascii="Arial" w:hAnsi="Arial" w:cs="Arial"/>
          <w:i/>
          <w:sz w:val="18"/>
          <w:szCs w:val="18"/>
        </w:rPr>
        <w:t>soggetta a ciclicità; cambiamenti delle condizioni economiche e politiche locali, cambiamenti delle politiche commerciali e l’imposizione di dazi a livello globale e regionale o dazi mirati all’industria automobilistica, attuazione di riforme fiscali o altre variazioni nelle normative e regolamentazioni fiscali; capacità di Stellantis di espandere a livello globale alcuni dei suoi marchi; capacità di offrire prodotti innovativi e attraenti;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dell’ambiente, della salute e della sicurezza;</w:t>
      </w:r>
      <w:r w:rsidR="00B7793D" w:rsidRPr="00F20168">
        <w:rPr>
          <w:rFonts w:ascii="Arial" w:hAnsi="Arial" w:cs="Arial"/>
          <w:i/>
          <w:sz w:val="18"/>
          <w:szCs w:val="18"/>
        </w:rPr>
        <w:t xml:space="preserve"> </w:t>
      </w:r>
      <w:r w:rsidRPr="00F20168">
        <w:rPr>
          <w:rFonts w:ascii="Arial" w:hAnsi="Arial" w:cs="Arial"/>
          <w:i/>
          <w:sz w:val="18"/>
          <w:szCs w:val="18"/>
        </w:rPr>
        <w:t>elevato livello di concorrenza nel settore automobilistico, che potrebbe aumentare a causa di consolidamenti; potenziale carenza nel finanziamento dei piani pensionistici di Stellantis; capacità di fornire o organizzare accesso a finanziamenti adeguati per i concessionari e i clienti finali e i rischi associati alla costituzione e alle operazioni di società di servizi finanziari; capacità di accedere a finanziamenti per realizzare i piani industriali di Stellantis e migliorare le attività, la situazione finanziaria e i risultati operativi; significativo malfunzionamento, interruzione o violazione della sicurezza che possa compromettere i sistemi di information technology o i sistemi di controllo elettronico contenuti nei veicoli di Stellantis; capacità di Stellantis di realizzare i benefici previsti dagli accordi di joint venture; interruzioni dovute a instabilità politica, sociale ed economica; rischi associati alle relazioni con dipendenti, concessionari e fornitori; aumenti dei costi, interruzioni di forniture o carenza di materie prime, parti, componenti e sistemi utilizzati nei veicoli di Stellantis; sviluppi in relazioni sindacali, industriali e nella normativa del lavoro; fluttuazioni dei tassi di cambio, variazioni dai tassi di interesse, rischio di credito e altri rischi di mercato; tensioni politiche e sociali; terremoti o altri disastri; altri rischi e incertezze.</w:t>
      </w:r>
    </w:p>
    <w:p w14:paraId="1CC98F62" w14:textId="67C677E5" w:rsidR="00211BDA" w:rsidRDefault="00211BDA" w:rsidP="00211BDA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Tutte le dichiarazioni previsionali riportate nella presente comunicazione si riferiscono solo alla data di questo documento</w:t>
      </w:r>
      <w:r w:rsidR="00B52443">
        <w:rPr>
          <w:rFonts w:ascii="Arial" w:hAnsi="Arial"/>
          <w:i/>
          <w:sz w:val="18"/>
          <w:szCs w:val="18"/>
        </w:rPr>
        <w:t>.</w:t>
      </w:r>
      <w:r>
        <w:rPr>
          <w:rFonts w:ascii="Arial" w:hAnsi="Arial"/>
          <w:i/>
          <w:sz w:val="18"/>
          <w:szCs w:val="18"/>
        </w:rPr>
        <w:t xml:space="preserve"> Stellantis declina qualsiasi obbligo di aggiornarle o rivederle pubblicamente. Ulteriori informazioni su Stellantis e le sue attività, inclusi i fattori che potrebbero materialmente influenzar</w:t>
      </w:r>
      <w:r w:rsidR="00401160">
        <w:rPr>
          <w:rFonts w:ascii="Arial" w:hAnsi="Arial"/>
          <w:i/>
          <w:sz w:val="18"/>
          <w:szCs w:val="18"/>
        </w:rPr>
        <w:t>n</w:t>
      </w:r>
      <w:r>
        <w:rPr>
          <w:rFonts w:ascii="Arial" w:hAnsi="Arial"/>
          <w:i/>
          <w:sz w:val="18"/>
          <w:szCs w:val="18"/>
        </w:rPr>
        <w:t>e i risultati finanziar</w:t>
      </w:r>
      <w:r w:rsidR="00401160">
        <w:rPr>
          <w:rFonts w:ascii="Arial" w:hAnsi="Arial"/>
          <w:i/>
          <w:sz w:val="18"/>
          <w:szCs w:val="18"/>
        </w:rPr>
        <w:t>i</w:t>
      </w:r>
      <w:r>
        <w:rPr>
          <w:rFonts w:ascii="Arial" w:hAnsi="Arial"/>
          <w:i/>
          <w:sz w:val="18"/>
          <w:szCs w:val="18"/>
        </w:rPr>
        <w:t>, sono contenute nelle relazioni e nei documenti di Stellantis depositati presso la U.S. Securities and Exchange Commission e AFM.</w:t>
      </w:r>
    </w:p>
    <w:p w14:paraId="5D67444A" w14:textId="77777777" w:rsidR="00D90200" w:rsidRDefault="00D90200">
      <w:pPr>
        <w:spacing w:after="0"/>
        <w:jc w:val="left"/>
        <w:rPr>
          <w:b/>
          <w:i/>
          <w:sz w:val="16"/>
          <w:szCs w:val="16"/>
        </w:rPr>
      </w:pPr>
    </w:p>
    <w:sectPr w:rsidR="00D90200">
      <w:footerReference w:type="default" r:id="rId14"/>
      <w:headerReference w:type="first" r:id="rId15"/>
      <w:pgSz w:w="12242" w:h="15842"/>
      <w:pgMar w:top="1134" w:right="1928" w:bottom="1134" w:left="1928" w:header="1021" w:footer="4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BA35" w14:textId="77777777" w:rsidR="00112C73" w:rsidRDefault="00112C73">
      <w:pPr>
        <w:spacing w:after="0"/>
      </w:pPr>
      <w:r>
        <w:separator/>
      </w:r>
    </w:p>
  </w:endnote>
  <w:endnote w:type="continuationSeparator" w:id="0">
    <w:p w14:paraId="121E5FE2" w14:textId="77777777" w:rsidR="00112C73" w:rsidRDefault="00112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20FE" w14:textId="785AD2F4" w:rsidR="00D90200" w:rsidRDefault="00D90200">
    <w:pPr>
      <w:pBdr>
        <w:top w:val="nil"/>
        <w:left w:val="nil"/>
        <w:bottom w:val="nil"/>
        <w:right w:val="nil"/>
        <w:between w:val="nil"/>
      </w:pBdr>
      <w:spacing w:before="120" w:line="288" w:lineRule="auto"/>
      <w:jc w:val="center"/>
      <w:rPr>
        <w:color w:val="24378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6ABD" w14:textId="77777777" w:rsidR="00112C73" w:rsidRDefault="00112C73">
      <w:pPr>
        <w:spacing w:after="0"/>
      </w:pPr>
      <w:r>
        <w:separator/>
      </w:r>
    </w:p>
  </w:footnote>
  <w:footnote w:type="continuationSeparator" w:id="0">
    <w:p w14:paraId="6BBDE98D" w14:textId="77777777" w:rsidR="00112C73" w:rsidRDefault="00112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2BB" w14:textId="29014D3A" w:rsidR="00D90200" w:rsidRDefault="00211BDA">
    <w:pPr>
      <w:pBdr>
        <w:top w:val="nil"/>
        <w:left w:val="nil"/>
        <w:bottom w:val="nil"/>
        <w:right w:val="nil"/>
        <w:between w:val="nil"/>
      </w:pBdr>
      <w:tabs>
        <w:tab w:val="left" w:pos="6096"/>
      </w:tabs>
      <w:jc w:val="left"/>
      <w:rPr>
        <w:color w:val="243782"/>
      </w:rPr>
    </w:pPr>
    <w:r>
      <w:rPr>
        <w:noProof/>
        <w:color w:val="243782"/>
        <w:lang w:val="en-US"/>
      </w:rPr>
      <w:drawing>
        <wp:inline distT="0" distB="0" distL="0" distR="0" wp14:anchorId="1CA8AFFA" wp14:editId="0FBE9163">
          <wp:extent cx="2113728" cy="542925"/>
          <wp:effectExtent l="0" t="0" r="1270" b="0"/>
          <wp:docPr id="3" name="Picture 3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633" cy="54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43782"/>
      </w:rPr>
      <w:t xml:space="preserve">                                     </w:t>
    </w:r>
    <w:r>
      <w:rPr>
        <w:noProof/>
        <w:lang w:val="en-US"/>
      </w:rPr>
      <w:drawing>
        <wp:inline distT="0" distB="0" distL="0" distR="0" wp14:anchorId="44A778ED" wp14:editId="2222B833">
          <wp:extent cx="1543050" cy="544833"/>
          <wp:effectExtent l="0" t="0" r="0" b="762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90" cy="55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712"/>
    <w:multiLevelType w:val="multilevel"/>
    <w:tmpl w:val="C0DC2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E7116"/>
    <w:multiLevelType w:val="multilevel"/>
    <w:tmpl w:val="32F691E6"/>
    <w:lvl w:ilvl="0">
      <w:start w:val="1"/>
      <w:numFmt w:val="decimal"/>
      <w:pStyle w:val="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C63BD7"/>
    <w:multiLevelType w:val="hybridMultilevel"/>
    <w:tmpl w:val="67C458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00"/>
    <w:rsid w:val="000127F3"/>
    <w:rsid w:val="0002444B"/>
    <w:rsid w:val="000360CB"/>
    <w:rsid w:val="000403C6"/>
    <w:rsid w:val="0006441F"/>
    <w:rsid w:val="000756AF"/>
    <w:rsid w:val="000A3534"/>
    <w:rsid w:val="000B0968"/>
    <w:rsid w:val="000B2E42"/>
    <w:rsid w:val="000C4EB8"/>
    <w:rsid w:val="000D0AC3"/>
    <w:rsid w:val="000D3611"/>
    <w:rsid w:val="000D3615"/>
    <w:rsid w:val="000E5CC7"/>
    <w:rsid w:val="000F4189"/>
    <w:rsid w:val="00100E33"/>
    <w:rsid w:val="0010630E"/>
    <w:rsid w:val="00112C73"/>
    <w:rsid w:val="00123307"/>
    <w:rsid w:val="001470A8"/>
    <w:rsid w:val="00153AD3"/>
    <w:rsid w:val="00157D6E"/>
    <w:rsid w:val="00162B39"/>
    <w:rsid w:val="0017252B"/>
    <w:rsid w:val="0019432C"/>
    <w:rsid w:val="00195133"/>
    <w:rsid w:val="001A14C2"/>
    <w:rsid w:val="001A3B61"/>
    <w:rsid w:val="001C1D40"/>
    <w:rsid w:val="001D10B3"/>
    <w:rsid w:val="001D3083"/>
    <w:rsid w:val="001E145E"/>
    <w:rsid w:val="00202659"/>
    <w:rsid w:val="00206526"/>
    <w:rsid w:val="002074AC"/>
    <w:rsid w:val="00211BDA"/>
    <w:rsid w:val="00214934"/>
    <w:rsid w:val="002232A1"/>
    <w:rsid w:val="00236C48"/>
    <w:rsid w:val="00247709"/>
    <w:rsid w:val="002724DB"/>
    <w:rsid w:val="002862E0"/>
    <w:rsid w:val="00295632"/>
    <w:rsid w:val="002B72BF"/>
    <w:rsid w:val="002C77BE"/>
    <w:rsid w:val="002D43AD"/>
    <w:rsid w:val="002D67E6"/>
    <w:rsid w:val="002D6E8E"/>
    <w:rsid w:val="002D7339"/>
    <w:rsid w:val="003062BC"/>
    <w:rsid w:val="00306BC9"/>
    <w:rsid w:val="0032275A"/>
    <w:rsid w:val="00323569"/>
    <w:rsid w:val="0036702A"/>
    <w:rsid w:val="00367D26"/>
    <w:rsid w:val="00371F13"/>
    <w:rsid w:val="00374F28"/>
    <w:rsid w:val="0037579C"/>
    <w:rsid w:val="00377F4F"/>
    <w:rsid w:val="00383684"/>
    <w:rsid w:val="003C0EBE"/>
    <w:rsid w:val="003D21DF"/>
    <w:rsid w:val="003D2BE0"/>
    <w:rsid w:val="00401160"/>
    <w:rsid w:val="00434C0C"/>
    <w:rsid w:val="00492DDE"/>
    <w:rsid w:val="004C37B7"/>
    <w:rsid w:val="004C48ED"/>
    <w:rsid w:val="004F0A2C"/>
    <w:rsid w:val="004F2150"/>
    <w:rsid w:val="004F3BE9"/>
    <w:rsid w:val="004F7329"/>
    <w:rsid w:val="005073F1"/>
    <w:rsid w:val="00512922"/>
    <w:rsid w:val="00516057"/>
    <w:rsid w:val="0054747E"/>
    <w:rsid w:val="00547AF9"/>
    <w:rsid w:val="0055767E"/>
    <w:rsid w:val="00572D4A"/>
    <w:rsid w:val="0058367F"/>
    <w:rsid w:val="005D6B51"/>
    <w:rsid w:val="005E4EB5"/>
    <w:rsid w:val="005E6294"/>
    <w:rsid w:val="00603F18"/>
    <w:rsid w:val="00607FC7"/>
    <w:rsid w:val="0061766E"/>
    <w:rsid w:val="00625C11"/>
    <w:rsid w:val="006262D2"/>
    <w:rsid w:val="00631BCB"/>
    <w:rsid w:val="00660512"/>
    <w:rsid w:val="006616BE"/>
    <w:rsid w:val="00680D18"/>
    <w:rsid w:val="006863D0"/>
    <w:rsid w:val="006B0CEC"/>
    <w:rsid w:val="006B2EB2"/>
    <w:rsid w:val="006D6684"/>
    <w:rsid w:val="0071381F"/>
    <w:rsid w:val="0071385B"/>
    <w:rsid w:val="007205C5"/>
    <w:rsid w:val="007376E7"/>
    <w:rsid w:val="00753B71"/>
    <w:rsid w:val="0075588E"/>
    <w:rsid w:val="0076578D"/>
    <w:rsid w:val="00771D55"/>
    <w:rsid w:val="00772DC5"/>
    <w:rsid w:val="00786615"/>
    <w:rsid w:val="0079631D"/>
    <w:rsid w:val="007A17A2"/>
    <w:rsid w:val="007B1EB9"/>
    <w:rsid w:val="007F0624"/>
    <w:rsid w:val="007F309A"/>
    <w:rsid w:val="007F30E2"/>
    <w:rsid w:val="008170F0"/>
    <w:rsid w:val="00837A76"/>
    <w:rsid w:val="008535C7"/>
    <w:rsid w:val="008A0E8A"/>
    <w:rsid w:val="008A4871"/>
    <w:rsid w:val="008B0A0F"/>
    <w:rsid w:val="008D26D0"/>
    <w:rsid w:val="008D3EFD"/>
    <w:rsid w:val="00907495"/>
    <w:rsid w:val="00914E09"/>
    <w:rsid w:val="00925DB9"/>
    <w:rsid w:val="0095633D"/>
    <w:rsid w:val="00980D9E"/>
    <w:rsid w:val="00991B50"/>
    <w:rsid w:val="0099793C"/>
    <w:rsid w:val="009A2719"/>
    <w:rsid w:val="009B2260"/>
    <w:rsid w:val="009B3485"/>
    <w:rsid w:val="009D083B"/>
    <w:rsid w:val="009D5DC6"/>
    <w:rsid w:val="009D782E"/>
    <w:rsid w:val="009D7CB7"/>
    <w:rsid w:val="00A1441E"/>
    <w:rsid w:val="00A237F3"/>
    <w:rsid w:val="00A31678"/>
    <w:rsid w:val="00A605EF"/>
    <w:rsid w:val="00A73691"/>
    <w:rsid w:val="00A906F0"/>
    <w:rsid w:val="00A947CE"/>
    <w:rsid w:val="00A9686E"/>
    <w:rsid w:val="00A976CF"/>
    <w:rsid w:val="00AD281D"/>
    <w:rsid w:val="00AD4E2C"/>
    <w:rsid w:val="00B27345"/>
    <w:rsid w:val="00B31E73"/>
    <w:rsid w:val="00B46A84"/>
    <w:rsid w:val="00B52443"/>
    <w:rsid w:val="00B54574"/>
    <w:rsid w:val="00B57822"/>
    <w:rsid w:val="00B7793D"/>
    <w:rsid w:val="00BA7F21"/>
    <w:rsid w:val="00BC4685"/>
    <w:rsid w:val="00BD74C3"/>
    <w:rsid w:val="00BE04F1"/>
    <w:rsid w:val="00BE126A"/>
    <w:rsid w:val="00BE3C8A"/>
    <w:rsid w:val="00C00E9B"/>
    <w:rsid w:val="00C105C7"/>
    <w:rsid w:val="00C334EF"/>
    <w:rsid w:val="00C35124"/>
    <w:rsid w:val="00C42B88"/>
    <w:rsid w:val="00C42C0B"/>
    <w:rsid w:val="00C520FA"/>
    <w:rsid w:val="00C8555B"/>
    <w:rsid w:val="00CA3AFC"/>
    <w:rsid w:val="00CA420F"/>
    <w:rsid w:val="00CB19A5"/>
    <w:rsid w:val="00CC15FE"/>
    <w:rsid w:val="00CC5C47"/>
    <w:rsid w:val="00CD319D"/>
    <w:rsid w:val="00CE4470"/>
    <w:rsid w:val="00CF47C1"/>
    <w:rsid w:val="00D019D7"/>
    <w:rsid w:val="00D3455C"/>
    <w:rsid w:val="00D37BB9"/>
    <w:rsid w:val="00D40E54"/>
    <w:rsid w:val="00D67CF1"/>
    <w:rsid w:val="00D70500"/>
    <w:rsid w:val="00D90200"/>
    <w:rsid w:val="00DB0E29"/>
    <w:rsid w:val="00DB7F49"/>
    <w:rsid w:val="00DF61C4"/>
    <w:rsid w:val="00E11EDF"/>
    <w:rsid w:val="00E13473"/>
    <w:rsid w:val="00E15211"/>
    <w:rsid w:val="00E16FDB"/>
    <w:rsid w:val="00E36F4A"/>
    <w:rsid w:val="00E52FEA"/>
    <w:rsid w:val="00E653B0"/>
    <w:rsid w:val="00E669FB"/>
    <w:rsid w:val="00E76235"/>
    <w:rsid w:val="00E76891"/>
    <w:rsid w:val="00E97FB7"/>
    <w:rsid w:val="00EC46E6"/>
    <w:rsid w:val="00EE3906"/>
    <w:rsid w:val="00EE3A29"/>
    <w:rsid w:val="00EF6CCC"/>
    <w:rsid w:val="00F17619"/>
    <w:rsid w:val="00F20168"/>
    <w:rsid w:val="00F455C0"/>
    <w:rsid w:val="00F5359D"/>
    <w:rsid w:val="00F55FA4"/>
    <w:rsid w:val="00F62C02"/>
    <w:rsid w:val="00F72EB4"/>
    <w:rsid w:val="00F75BDD"/>
    <w:rsid w:val="00F76B60"/>
    <w:rsid w:val="00F76C4A"/>
    <w:rsid w:val="00F77D35"/>
    <w:rsid w:val="00F9493A"/>
    <w:rsid w:val="00FB58AF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32A46"/>
  <w15:docId w15:val="{DC5260CA-F10F-4366-B52B-A1AA950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Expanded" w:eastAsia="Encode Sans Expanded" w:hAnsi="Encode Sans Expanded" w:cs="Encode Sans Expanded"/>
        <w:sz w:val="24"/>
        <w:szCs w:val="24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9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2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01553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233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69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3691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ellantis.com/it/investors/eventi/strategic-pl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ellantis.com/it/news/comunicati-stampa/2021/novembre/stellantis-sigla-un-accordo-con-vulcan-energy-per-la-fornitura-di-liti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32E791626D42A4209D08785B3EB2" ma:contentTypeVersion="10" ma:contentTypeDescription="Create a new document." ma:contentTypeScope="" ma:versionID="d694f9228558fe537cd3104b7819eff4">
  <xsd:schema xmlns:xsd="http://www.w3.org/2001/XMLSchema" xmlns:xs="http://www.w3.org/2001/XMLSchema" xmlns:p="http://schemas.microsoft.com/office/2006/metadata/properties" xmlns:ns3="ed291038-68af-44f8-9ebf-8e02159c5ab4" xmlns:ns4="07ab2334-74fa-4654-9f51-48ec6318f44c" targetNamespace="http://schemas.microsoft.com/office/2006/metadata/properties" ma:root="true" ma:fieldsID="d68cb19a36c0d559fb5d4b029ee2bb4e" ns3:_="" ns4:_="">
    <xsd:import namespace="ed291038-68af-44f8-9ebf-8e02159c5ab4"/>
    <xsd:import namespace="07ab2334-74fa-4654-9f51-48ec6318f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1038-68af-44f8-9ebf-8e02159c5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2334-74fa-4654-9f51-48ec6318f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KiqmgnFWjNIePMn31xKA93Gpg==">AMUW2mUG7u/lDcnSZzv9FjaaY9FhnfvkmGs44xZwCWevG2wGa33fmjm1/+SwQaPggkO+3VU5R6MLZmEE06nn4xbEqrTZc/nbSoJPz4V2OdiB+N6Xz+ItyKy2e67tE3MtiX7dW++zlzEdw/K4GF8BkAV2nssumPmRTzeLytoJ0FKDP8iDojFh/XwfYTTR5Ani7NuaQ+G2U4o2iS5mkhzGkqP4OF5wnPcxbIUE2FtmSA05mAjDwQj6fpylsukA6IOc8nQCfyQsPRh52x0WOGb1jZTSejoZR/DfiRRLZoyhf1zRzDCFhzGVPevmdp5GGmNdDBj73L2i7D1W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966D5-1E9A-4F75-A709-47669068B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1038-68af-44f8-9ebf-8e02159c5ab4"/>
    <ds:schemaRef ds:uri="07ab2334-74fa-4654-9f51-48ec6318f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AC72769-84AF-4548-A1A2-8D05E3C84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D9E67-E9AB-41C9-A428-35E0A2710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FCA US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Connelly Kaileen (FCA)</dc:creator>
  <cp:lastModifiedBy>PAUL CRAIG JOHNSTON</cp:lastModifiedBy>
  <cp:revision>4</cp:revision>
  <dcterms:created xsi:type="dcterms:W3CDTF">2022-06-02T08:03:00Z</dcterms:created>
  <dcterms:modified xsi:type="dcterms:W3CDTF">2022-06-02T10:45:00Z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ContentTypeId">
    <vt:lpwstr>0x010100EF1232E791626D42A4209D08785B3EB2</vt:lpwstr>
  </property>
</Properties>
</file>