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1600E8EC"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t>Stellantis espande la collaborazione con Vulcan Energy diventando azionista dell’azienda fornitrice di litio decarbonizzato</w:t>
      </w:r>
    </w:p>
    <w:p w14:paraId="272C8987" w14:textId="7F3EB4D5" w:rsidR="00115CA3" w:rsidRDefault="00115CA3" w:rsidP="00115CA3">
      <w:pPr>
        <w:numPr>
          <w:ilvl w:val="0"/>
          <w:numId w:val="1"/>
        </w:numPr>
        <w:spacing w:after="0"/>
        <w:jc w:val="left"/>
        <w:rPr>
          <w:rFonts w:ascii="Arial" w:eastAsia="Arial" w:hAnsi="Arial" w:cs="Arial"/>
        </w:rPr>
      </w:pPr>
      <w:r>
        <w:rPr>
          <w:rFonts w:ascii="Arial" w:hAnsi="Arial"/>
        </w:rPr>
        <w:t>Stellantis diventerà il secondo maggiore azionista di Vulcan</w:t>
      </w:r>
    </w:p>
    <w:p w14:paraId="1A564787" w14:textId="2DDA3145" w:rsidR="00D90200" w:rsidRDefault="00115CA3" w:rsidP="00115CA3">
      <w:pPr>
        <w:numPr>
          <w:ilvl w:val="0"/>
          <w:numId w:val="1"/>
        </w:numPr>
        <w:spacing w:after="0"/>
        <w:jc w:val="left"/>
        <w:rPr>
          <w:rFonts w:ascii="Arial" w:eastAsia="Arial" w:hAnsi="Arial" w:cs="Arial"/>
        </w:rPr>
      </w:pPr>
      <w:r>
        <w:rPr>
          <w:rFonts w:ascii="Arial" w:hAnsi="Arial"/>
        </w:rPr>
        <w:t>L'investimento produrrà un aumento della produzione di idrossido di litio a basse emissioni di carbonio, necessaria per la produzione di veicoli elettrici di Stellantis in Europa</w:t>
      </w:r>
    </w:p>
    <w:p w14:paraId="7B02D251" w14:textId="0364B14B" w:rsidR="00D90200" w:rsidRDefault="00115CA3" w:rsidP="00115CA3">
      <w:pPr>
        <w:numPr>
          <w:ilvl w:val="0"/>
          <w:numId w:val="1"/>
        </w:numPr>
        <w:spacing w:after="0"/>
        <w:jc w:val="left"/>
        <w:rPr>
          <w:rFonts w:ascii="Arial" w:eastAsia="Arial" w:hAnsi="Arial" w:cs="Arial"/>
        </w:rPr>
      </w:pPr>
      <w:r>
        <w:rPr>
          <w:rFonts w:ascii="Arial" w:hAnsi="Arial"/>
        </w:rPr>
        <w:t>L’accordo iniziale è stato esteso a 10 anni</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18C1383A" w14:textId="600818A0" w:rsidR="00C818B8" w:rsidRDefault="00DB7F49">
      <w:pPr>
        <w:pBdr>
          <w:top w:val="nil"/>
          <w:left w:val="nil"/>
          <w:bottom w:val="nil"/>
          <w:right w:val="nil"/>
          <w:between w:val="nil"/>
        </w:pBdr>
        <w:jc w:val="left"/>
        <w:rPr>
          <w:rFonts w:ascii="Arial" w:eastAsia="Arial" w:hAnsi="Arial" w:cs="Arial"/>
          <w:color w:val="000000"/>
          <w:sz w:val="22"/>
          <w:szCs w:val="22"/>
        </w:rPr>
      </w:pPr>
      <w:r>
        <w:rPr>
          <w:rFonts w:ascii="Arial" w:hAnsi="Arial"/>
          <w:b/>
          <w:color w:val="000000"/>
          <w:sz w:val="22"/>
          <w:szCs w:val="22"/>
        </w:rPr>
        <w:t>AMSTERDAM, 24 giugno 2022</w:t>
      </w:r>
      <w:r>
        <w:rPr>
          <w:rFonts w:ascii="Arial" w:hAnsi="Arial"/>
          <w:color w:val="000000"/>
          <w:sz w:val="22"/>
          <w:szCs w:val="22"/>
        </w:rPr>
        <w:t xml:space="preserve"> –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w:t>
      </w:r>
      <w:r>
        <w:rPr>
          <w:rFonts w:ascii="Arial" w:hAnsi="Arial"/>
          <w:color w:val="000000"/>
          <w:sz w:val="22"/>
          <w:szCs w:val="22"/>
        </w:rPr>
        <w:t>e Vulcan Energy Resources Ltd. hanno annunciato oggi l</w:t>
      </w:r>
      <w:r w:rsidR="00AD7DB3">
        <w:rPr>
          <w:rFonts w:ascii="Arial" w:hAnsi="Arial"/>
          <w:color w:val="000000"/>
          <w:sz w:val="22"/>
          <w:szCs w:val="22"/>
        </w:rPr>
        <w:t>’</w:t>
      </w:r>
      <w:r>
        <w:rPr>
          <w:rFonts w:ascii="Arial" w:hAnsi="Arial"/>
          <w:color w:val="000000"/>
          <w:sz w:val="22"/>
          <w:szCs w:val="22"/>
        </w:rPr>
        <w:t xml:space="preserve">investimento azionario di Stellantis in Vulcan </w:t>
      </w:r>
      <w:r w:rsidR="00497D40">
        <w:rPr>
          <w:rFonts w:ascii="Arial" w:hAnsi="Arial"/>
          <w:color w:val="000000"/>
          <w:sz w:val="22"/>
          <w:szCs w:val="22"/>
        </w:rPr>
        <w:t xml:space="preserve">per 50 milioni di euro (76 milioni di dollari </w:t>
      </w:r>
      <w:r w:rsidR="000618AB">
        <w:rPr>
          <w:rFonts w:ascii="Arial" w:hAnsi="Arial"/>
          <w:color w:val="000000"/>
          <w:sz w:val="22"/>
          <w:szCs w:val="22"/>
        </w:rPr>
        <w:t>australiani</w:t>
      </w:r>
      <w:r w:rsidR="00497D40">
        <w:rPr>
          <w:rFonts w:ascii="Arial" w:hAnsi="Arial"/>
          <w:color w:val="000000"/>
          <w:sz w:val="22"/>
          <w:szCs w:val="22"/>
        </w:rPr>
        <w:t xml:space="preserve">) </w:t>
      </w:r>
      <w:r>
        <w:rPr>
          <w:rFonts w:ascii="Arial" w:hAnsi="Arial"/>
          <w:color w:val="000000"/>
          <w:sz w:val="22"/>
          <w:szCs w:val="22"/>
        </w:rPr>
        <w:t>e l’estensione a 10 anni dell’</w:t>
      </w:r>
      <w:hyperlink r:id="rId12" w:history="1">
        <w:r>
          <w:rPr>
            <w:rStyle w:val="Hyperlink"/>
            <w:rFonts w:ascii="Arial" w:hAnsi="Arial"/>
            <w:sz w:val="22"/>
            <w:szCs w:val="22"/>
            <w:u w:val="single"/>
          </w:rPr>
          <w:t>accordo vincolante di fornitura original</w:t>
        </w:r>
        <w:r>
          <w:rPr>
            <w:rStyle w:val="Hyperlink"/>
            <w:rFonts w:ascii="Arial" w:hAnsi="Arial"/>
            <w:sz w:val="22"/>
            <w:szCs w:val="22"/>
          </w:rPr>
          <w:t>e</w:t>
        </w:r>
      </w:hyperlink>
      <w:r>
        <w:rPr>
          <w:rFonts w:ascii="Arial" w:hAnsi="Arial"/>
          <w:color w:val="000000"/>
          <w:sz w:val="22"/>
          <w:szCs w:val="22"/>
        </w:rPr>
        <w:t>. L</w:t>
      </w:r>
      <w:r w:rsidR="00AD7DB3">
        <w:rPr>
          <w:rFonts w:ascii="Arial" w:hAnsi="Arial"/>
          <w:color w:val="000000"/>
          <w:sz w:val="22"/>
          <w:szCs w:val="22"/>
        </w:rPr>
        <w:t>’</w:t>
      </w:r>
      <w:r>
        <w:rPr>
          <w:rFonts w:ascii="Arial" w:hAnsi="Arial"/>
          <w:color w:val="000000"/>
          <w:sz w:val="22"/>
          <w:szCs w:val="22"/>
        </w:rPr>
        <w:t>investimento azionario contribuirà all’aumento delle trivellazioni nel suo campo di produzione Upper Rhine Valley Brine Field (URVBF) per l’espansione produttiva prevista da Vulcan. Vulcan sta già producendo energia geotermica nel suo sito URVBF e, nell</w:t>
      </w:r>
      <w:r w:rsidR="00AD7DB3">
        <w:rPr>
          <w:rFonts w:ascii="Arial" w:hAnsi="Arial"/>
          <w:color w:val="000000"/>
          <w:sz w:val="22"/>
          <w:szCs w:val="22"/>
        </w:rPr>
        <w:t>’</w:t>
      </w:r>
      <w:r>
        <w:rPr>
          <w:rFonts w:ascii="Arial" w:hAnsi="Arial"/>
          <w:color w:val="000000"/>
          <w:sz w:val="22"/>
          <w:szCs w:val="22"/>
        </w:rPr>
        <w:t>ambito del progetto Zero Carbon Lithium™, prevede di produrre idrossido di litio senza combustibili fossili e con un</w:t>
      </w:r>
      <w:r w:rsidR="00AD7DB3">
        <w:rPr>
          <w:rFonts w:ascii="Arial" w:hAnsi="Arial"/>
          <w:color w:val="000000"/>
          <w:sz w:val="22"/>
          <w:szCs w:val="22"/>
        </w:rPr>
        <w:t>’</w:t>
      </w:r>
      <w:r>
        <w:rPr>
          <w:rFonts w:ascii="Arial" w:hAnsi="Arial"/>
          <w:color w:val="000000"/>
          <w:sz w:val="22"/>
          <w:szCs w:val="22"/>
        </w:rPr>
        <w:t>impronta netta di carbonio pari a zero.</w:t>
      </w:r>
    </w:p>
    <w:p w14:paraId="6E6180BA" w14:textId="4DC90A5E" w:rsidR="00D90200" w:rsidRDefault="00DB7F49">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“Questo investimento altamente strategico in un</w:t>
      </w:r>
      <w:r w:rsidR="00AD7DB3">
        <w:rPr>
          <w:rFonts w:ascii="Arial" w:hAnsi="Arial"/>
          <w:color w:val="000000"/>
          <w:sz w:val="22"/>
          <w:szCs w:val="22"/>
        </w:rPr>
        <w:t>’</w:t>
      </w:r>
      <w:r>
        <w:rPr>
          <w:rFonts w:ascii="Arial" w:hAnsi="Arial"/>
          <w:color w:val="000000"/>
          <w:sz w:val="22"/>
          <w:szCs w:val="22"/>
        </w:rPr>
        <w:t>azienda leader nel settore del litio ci consentirà di creare una catena del valore resiliente e sostenibile per la nostra produzione europea di batterie per veicoli elettrici</w:t>
      </w:r>
      <w:r w:rsidR="00AD7DB3">
        <w:rPr>
          <w:rFonts w:ascii="Arial" w:hAnsi="Arial"/>
          <w:color w:val="000000"/>
          <w:sz w:val="22"/>
          <w:szCs w:val="22"/>
        </w:rPr>
        <w:t>”</w:t>
      </w:r>
      <w:r>
        <w:rPr>
          <w:rFonts w:ascii="Arial" w:hAnsi="Arial"/>
          <w:color w:val="000000"/>
          <w:sz w:val="22"/>
          <w:szCs w:val="22"/>
        </w:rPr>
        <w:t xml:space="preserve">, ha dichiarato </w:t>
      </w:r>
      <w:r>
        <w:rPr>
          <w:rFonts w:ascii="Arial" w:hAnsi="Arial"/>
          <w:sz w:val="22"/>
          <w:szCs w:val="22"/>
        </w:rPr>
        <w:t>Carlos Tavares, CEO di Stellantis.</w:t>
      </w:r>
      <w:r>
        <w:rPr>
          <w:rFonts w:ascii="Arial" w:hAnsi="Arial"/>
          <w:color w:val="000000"/>
          <w:sz w:val="22"/>
          <w:szCs w:val="22"/>
        </w:rPr>
        <w:t xml:space="preserve"> “Continuiamo a ricercare relazioni solide con partner che condividano i nostri valori, contrastando collettivamente il riscaldamento globale e offrendo una mobilità pulita, sicura e conveniente ai nostri clienti.”   </w:t>
      </w:r>
    </w:p>
    <w:p w14:paraId="783D30D6" w14:textId="22C4B8B8" w:rsidR="00C818B8" w:rsidRDefault="00C818B8">
      <w:pPr>
        <w:pBdr>
          <w:top w:val="nil"/>
          <w:left w:val="nil"/>
          <w:bottom w:val="nil"/>
          <w:right w:val="nil"/>
          <w:between w:val="nil"/>
        </w:pBdr>
        <w:jc w:val="left"/>
        <w:rPr>
          <w:rFonts w:ascii="Arial" w:eastAsia="Arial" w:hAnsi="Arial" w:cs="Arial"/>
          <w:sz w:val="22"/>
          <w:szCs w:val="22"/>
        </w:rPr>
      </w:pPr>
      <w:r>
        <w:rPr>
          <w:rFonts w:ascii="Arial" w:hAnsi="Arial"/>
          <w:sz w:val="22"/>
          <w:szCs w:val="22"/>
        </w:rPr>
        <w:t>“Il significativo investimento di Stellantis in Vulcan e nel progetto Zero Carbon Lithium™ rappresenta una chiara presa di posizione da parte di una delle maggiori case automobilistiche del mondo in merito all’approvvigionamento sostenibile e strategico dei materiali per le batterie”, ha dichiarato l</w:t>
      </w:r>
      <w:r w:rsidR="00AD7DB3">
        <w:rPr>
          <w:rFonts w:ascii="Arial" w:hAnsi="Arial"/>
          <w:sz w:val="22"/>
          <w:szCs w:val="22"/>
        </w:rPr>
        <w:t>’</w:t>
      </w:r>
      <w:r>
        <w:rPr>
          <w:rFonts w:ascii="Arial" w:hAnsi="Arial"/>
          <w:sz w:val="22"/>
          <w:szCs w:val="22"/>
        </w:rPr>
        <w:t xml:space="preserve">Amministratore </w:t>
      </w:r>
      <w:r w:rsidR="000E22F7">
        <w:rPr>
          <w:rFonts w:ascii="Arial" w:hAnsi="Arial"/>
          <w:sz w:val="22"/>
          <w:szCs w:val="22"/>
        </w:rPr>
        <w:t xml:space="preserve">Delegato </w:t>
      </w:r>
      <w:r>
        <w:rPr>
          <w:rFonts w:ascii="Arial" w:hAnsi="Arial"/>
          <w:sz w:val="22"/>
          <w:szCs w:val="22"/>
        </w:rPr>
        <w:t xml:space="preserve">di Vulcan, Francis Wedin. </w:t>
      </w:r>
      <w:r w:rsidR="00AD7DB3">
        <w:rPr>
          <w:rFonts w:ascii="Arial" w:hAnsi="Arial"/>
          <w:sz w:val="22"/>
          <w:szCs w:val="22"/>
        </w:rPr>
        <w:t>“</w:t>
      </w:r>
      <w:r>
        <w:rPr>
          <w:rFonts w:ascii="Arial" w:hAnsi="Arial"/>
          <w:sz w:val="22"/>
          <w:szCs w:val="22"/>
        </w:rPr>
        <w:t>Siamo totalmente in linea con gli obiettivi di decarbonizzazione ed elettrificazione di Stellantis, che sono tra i più ambiziosi del settore. È incoraggiante vedere una produttore automotive leader del settore che investe nella produzione locale di litio a basse emissioni di carbonio per i veicoli elettrici. In qualità di nostro principale acquirente, auspichiamo di approfondire il rapporto con Stellantis, azionista di rilievo di Vulcan e della nostra attività Zero Carbon Lithium™.”</w:t>
      </w:r>
    </w:p>
    <w:p w14:paraId="1D5EE7C5" w14:textId="021E7A35" w:rsidR="005062F7" w:rsidRDefault="00123307" w:rsidP="00172B2C">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 xml:space="preserve">Nell’ambito del piano strategico </w:t>
      </w:r>
      <w:hyperlink r:id="rId13" w:history="1">
        <w:r>
          <w:rPr>
            <w:rStyle w:val="Hyperlink"/>
            <w:rFonts w:ascii="Arial" w:hAnsi="Arial"/>
            <w:sz w:val="22"/>
            <w:szCs w:val="22"/>
            <w:u w:val="single"/>
          </w:rPr>
          <w:t>Dare Forward 2030</w:t>
        </w:r>
      </w:hyperlink>
      <w:r>
        <w:rPr>
          <w:rFonts w:ascii="Arial" w:hAnsi="Arial"/>
          <w:color w:val="000000"/>
          <w:sz w:val="22"/>
          <w:szCs w:val="22"/>
        </w:rPr>
        <w:t xml:space="preserve">, Stellantis ha annunciato l’obiettivo di </w:t>
      </w:r>
      <w:bookmarkStart w:id="0" w:name="_Hlk106355652"/>
      <w:r>
        <w:rPr>
          <w:rFonts w:ascii="Arial" w:hAnsi="Arial"/>
          <w:color w:val="000000"/>
          <w:sz w:val="22"/>
          <w:szCs w:val="22"/>
        </w:rPr>
        <w:t xml:space="preserve">coprire entro il 2030 il 100% del mix di vendite </w:t>
      </w:r>
      <w:r w:rsidR="0007013E">
        <w:rPr>
          <w:rFonts w:ascii="Arial" w:hAnsi="Arial"/>
          <w:color w:val="000000"/>
          <w:sz w:val="22"/>
          <w:szCs w:val="22"/>
        </w:rPr>
        <w:t xml:space="preserve">di </w:t>
      </w:r>
      <w:r>
        <w:rPr>
          <w:rFonts w:ascii="Arial" w:hAnsi="Arial"/>
          <w:color w:val="000000"/>
          <w:sz w:val="22"/>
          <w:szCs w:val="22"/>
        </w:rPr>
        <w:t xml:space="preserve">autovetture elettriche a batteria (BEV) in Europa </w:t>
      </w:r>
      <w:bookmarkEnd w:id="0"/>
      <w:r>
        <w:rPr>
          <w:rFonts w:ascii="Arial" w:hAnsi="Arial"/>
          <w:color w:val="000000"/>
          <w:sz w:val="22"/>
          <w:szCs w:val="22"/>
        </w:rPr>
        <w:t xml:space="preserve">e il 50% </w:t>
      </w:r>
      <w:r w:rsidR="0007013E">
        <w:rPr>
          <w:rFonts w:ascii="Arial" w:hAnsi="Arial"/>
          <w:color w:val="000000"/>
          <w:sz w:val="22"/>
          <w:szCs w:val="22"/>
        </w:rPr>
        <w:t xml:space="preserve">di </w:t>
      </w:r>
      <w:r>
        <w:rPr>
          <w:rFonts w:ascii="Arial" w:hAnsi="Arial"/>
          <w:color w:val="000000"/>
          <w:sz w:val="22"/>
          <w:szCs w:val="22"/>
        </w:rPr>
        <w:t xml:space="preserve">autovetture e </w:t>
      </w:r>
      <w:r w:rsidR="000E22F7">
        <w:rPr>
          <w:rFonts w:ascii="Arial" w:hAnsi="Arial"/>
          <w:color w:val="000000"/>
          <w:sz w:val="22"/>
          <w:szCs w:val="22"/>
        </w:rPr>
        <w:t xml:space="preserve">veicoli </w:t>
      </w:r>
      <w:r w:rsidR="0007013E">
        <w:rPr>
          <w:rFonts w:ascii="Arial" w:hAnsi="Arial"/>
          <w:color w:val="000000"/>
          <w:sz w:val="22"/>
          <w:szCs w:val="22"/>
        </w:rPr>
        <w:t xml:space="preserve">commerciali </w:t>
      </w:r>
      <w:r>
        <w:rPr>
          <w:rFonts w:ascii="Arial" w:hAnsi="Arial"/>
          <w:color w:val="000000"/>
          <w:sz w:val="22"/>
          <w:szCs w:val="22"/>
        </w:rPr>
        <w:t xml:space="preserve">leggeri BEV negli Stati Uniti. Stellantis </w:t>
      </w:r>
      <w:r w:rsidR="00497D40">
        <w:rPr>
          <w:rFonts w:ascii="Arial" w:hAnsi="Arial"/>
          <w:color w:val="000000"/>
          <w:sz w:val="22"/>
          <w:szCs w:val="22"/>
        </w:rPr>
        <w:t xml:space="preserve">sarà </w:t>
      </w:r>
      <w:r>
        <w:rPr>
          <w:rFonts w:ascii="Arial" w:hAnsi="Arial"/>
          <w:color w:val="000000"/>
          <w:sz w:val="22"/>
          <w:szCs w:val="22"/>
        </w:rPr>
        <w:t xml:space="preserve">il punto di riferimento del settore nel contrasto al cambiamento climatico, con l’obiettivo di raggiungere il traguardo zero emissioni </w:t>
      </w:r>
      <w:r w:rsidR="000E22F7">
        <w:rPr>
          <w:rFonts w:ascii="Arial" w:hAnsi="Arial"/>
          <w:color w:val="000000"/>
          <w:sz w:val="22"/>
          <w:szCs w:val="22"/>
        </w:rPr>
        <w:t xml:space="preserve">nette </w:t>
      </w:r>
      <w:r>
        <w:rPr>
          <w:rFonts w:ascii="Arial" w:hAnsi="Arial"/>
          <w:color w:val="000000"/>
          <w:sz w:val="22"/>
          <w:szCs w:val="22"/>
        </w:rPr>
        <w:t xml:space="preserve">entro il 2038, con una riduzione del 50% entro il 2030. </w:t>
      </w:r>
    </w:p>
    <w:p w14:paraId="48503932" w14:textId="30FAA161" w:rsidR="00C818B8" w:rsidRPr="00172B2C" w:rsidRDefault="00C818B8" w:rsidP="00172B2C">
      <w:pPr>
        <w:pBdr>
          <w:top w:val="nil"/>
          <w:left w:val="nil"/>
          <w:bottom w:val="nil"/>
          <w:right w:val="nil"/>
          <w:between w:val="nil"/>
        </w:pBdr>
        <w:jc w:val="left"/>
        <w:rPr>
          <w:rFonts w:ascii="Arial" w:eastAsia="Arial" w:hAnsi="Arial" w:cs="Arial"/>
          <w:color w:val="000000"/>
          <w:sz w:val="22"/>
          <w:szCs w:val="22"/>
        </w:rPr>
      </w:pPr>
      <w:r>
        <w:rPr>
          <w:rFonts w:ascii="Arial" w:hAnsi="Arial"/>
          <w:sz w:val="22"/>
          <w:szCs w:val="22"/>
        </w:rPr>
        <w:lastRenderedPageBreak/>
        <w:t xml:space="preserve">Stellantis ha recentemente annunciato un </w:t>
      </w:r>
      <w:hyperlink r:id="rId14" w:history="1">
        <w:r>
          <w:rPr>
            <w:rStyle w:val="Hyperlink"/>
            <w:rFonts w:ascii="Arial" w:hAnsi="Arial"/>
            <w:sz w:val="22"/>
            <w:szCs w:val="22"/>
            <w:u w:val="single"/>
          </w:rPr>
          <w:t>accordo di fornitura di idrossido di litio in Nord America</w:t>
        </w:r>
      </w:hyperlink>
      <w:r>
        <w:rPr>
          <w:rFonts w:ascii="Arial" w:hAnsi="Arial"/>
          <w:sz w:val="22"/>
          <w:szCs w:val="22"/>
        </w:rPr>
        <w:t xml:space="preserve">. </w:t>
      </w:r>
    </w:p>
    <w:p w14:paraId="2E5CA74B" w14:textId="7BECE320" w:rsidR="007F0624" w:rsidRPr="00A976CF" w:rsidRDefault="007F0624" w:rsidP="007F0624">
      <w:pPr>
        <w:jc w:val="center"/>
        <w:rPr>
          <w:rFonts w:ascii="Arial" w:eastAsia="Encode Sans" w:hAnsi="Arial" w:cs="Arial"/>
          <w:sz w:val="22"/>
          <w:szCs w:val="22"/>
        </w:rPr>
      </w:pPr>
      <w:r>
        <w:rPr>
          <w:rFonts w:ascii="Arial" w:hAnsi="Arial"/>
          <w:sz w:val="22"/>
          <w:szCs w:val="22"/>
        </w:rPr>
        <w:t># # #</w:t>
      </w:r>
    </w:p>
    <w:p w14:paraId="46D4EF33" w14:textId="77777777" w:rsidR="00211BDA" w:rsidRPr="00211BDA" w:rsidRDefault="00211BDA" w:rsidP="00E653B0">
      <w:pPr>
        <w:spacing w:after="0"/>
        <w:rPr>
          <w:rFonts w:ascii="Arial" w:eastAsia="Times New Roman" w:hAnsi="Arial" w:cs="Arial"/>
          <w:b/>
          <w:bCs/>
          <w:sz w:val="20"/>
          <w:szCs w:val="16"/>
        </w:rPr>
      </w:pPr>
      <w:bookmarkStart w:id="1" w:name="_Hlk106354158"/>
      <w:r>
        <w:rPr>
          <w:rFonts w:ascii="Arial" w:hAnsi="Arial"/>
          <w:b/>
          <w:bCs/>
          <w:sz w:val="20"/>
          <w:szCs w:val="16"/>
        </w:rPr>
        <w:t>Stellantis</w:t>
      </w:r>
    </w:p>
    <w:p w14:paraId="71E955B6" w14:textId="00963AEB" w:rsidR="00211BDA" w:rsidRPr="00211BDA" w:rsidRDefault="005E2C53">
      <w:pPr>
        <w:spacing w:after="0"/>
        <w:rPr>
          <w:rFonts w:ascii="Arial" w:eastAsia="Times New Roman" w:hAnsi="Arial" w:cs="Arial"/>
          <w:sz w:val="20"/>
          <w:szCs w:val="16"/>
        </w:rPr>
      </w:pPr>
      <w:r w:rsidRPr="005E2C53">
        <w:rPr>
          <w:rFonts w:ascii="Arial" w:hAnsi="Arial"/>
          <w:sz w:val="20"/>
          <w:szCs w:val="16"/>
        </w:rP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www.stellantis.com/it.</w:t>
      </w:r>
    </w:p>
    <w:bookmarkEnd w:id="1"/>
    <w:p w14:paraId="4B1252EB" w14:textId="77777777" w:rsidR="009D782E" w:rsidRPr="007F0624" w:rsidRDefault="009D782E">
      <w:pPr>
        <w:pBdr>
          <w:top w:val="nil"/>
          <w:left w:val="nil"/>
          <w:bottom w:val="nil"/>
          <w:right w:val="nil"/>
          <w:between w:val="nil"/>
        </w:pBdr>
        <w:spacing w:after="0"/>
        <w:jc w:val="left"/>
        <w:rPr>
          <w:rFonts w:ascii="Arial" w:eastAsia="Arial" w:hAnsi="Arial" w:cs="Arial"/>
          <w:i/>
          <w:color w:val="000000"/>
          <w:sz w:val="22"/>
          <w:szCs w:val="22"/>
        </w:rPr>
      </w:pPr>
    </w:p>
    <w:p w14:paraId="454AE94A" w14:textId="2BC77F47" w:rsidR="009D782E" w:rsidRPr="00914E09" w:rsidRDefault="009D782E">
      <w:pPr>
        <w:pBdr>
          <w:top w:val="nil"/>
          <w:left w:val="nil"/>
          <w:bottom w:val="nil"/>
          <w:right w:val="nil"/>
          <w:between w:val="nil"/>
        </w:pBdr>
        <w:spacing w:after="0"/>
        <w:jc w:val="left"/>
        <w:rPr>
          <w:rFonts w:ascii="Arial" w:eastAsia="Arial" w:hAnsi="Arial" w:cs="Arial"/>
          <w:color w:val="000000"/>
          <w:sz w:val="20"/>
          <w:szCs w:val="20"/>
        </w:rPr>
      </w:pPr>
      <w:bookmarkStart w:id="2" w:name="_heading=h.gjdgxs"/>
      <w:bookmarkEnd w:id="2"/>
      <w:r>
        <w:rPr>
          <w:rFonts w:ascii="Arial" w:hAnsi="Arial"/>
          <w:b/>
          <w:color w:val="000000"/>
          <w:sz w:val="20"/>
          <w:szCs w:val="20"/>
        </w:rPr>
        <w:t>Vulcan</w:t>
      </w:r>
    </w:p>
    <w:p w14:paraId="3E3FFB40" w14:textId="767E1D0C" w:rsidR="00D90200" w:rsidRDefault="005E2C53">
      <w:pPr>
        <w:spacing w:after="0"/>
        <w:jc w:val="left"/>
        <w:rPr>
          <w:b/>
          <w:i/>
          <w:sz w:val="16"/>
          <w:szCs w:val="16"/>
        </w:rPr>
      </w:pPr>
      <w:r w:rsidRPr="005E2C53">
        <w:rPr>
          <w:rFonts w:ascii="Arial" w:hAnsi="Arial"/>
          <w:sz w:val="20"/>
          <w:szCs w:val="20"/>
          <w:shd w:val="clear" w:color="auto" w:fill="FFFFFF"/>
        </w:rPr>
        <w:t>Vulcan ambisce a diventare il primo produttore di litio al mondo in grado di azzerare le emissioni nette di gas serra. L’obiettivo del suo progetto ZERO CARBON LITHIUM™ è quello di produrre idrossido di litio per batterie, combinando una fonte di energia geotermica e un giacimento di litio in Germania, il più grande esistente in Europa. Con l’esclusivo progetto ZERO CARBON LITHIUM™, Vulcan intende produrre sia l’energia geotermica rinnovabile che l’idrossido di litio dal medesimo giacimento di litio nel sottosuolo profondo. In tal modo, Vulcan intende soddisfare le richieste di litio del mercato UE, riducendo l'elevata impronta idrica e di carbonio della produzione e la totale dipendenza dalle importazioni. Vulcan punta a rifornire il mercato delle batterie agli ioni di litio e dei veicoli elettrici in Europa, che è quello in più rapida crescita nel mondo. Il progetto Zero Carbon Lithium™ di Vulcan si basa su un giacimento che è in grado di soddisfare il fabbisogno europeo per la transizione ai veicoli elettrici, permettendo di azzerare al contempo le emissioni nette di gas serra, per molti anni a venire.</w:t>
      </w:r>
    </w:p>
    <w:p w14:paraId="295F216C" w14:textId="77777777" w:rsidR="00DF61C4" w:rsidRDefault="00DF61C4">
      <w:pPr>
        <w:spacing w:after="0"/>
        <w:jc w:val="left"/>
        <w:rPr>
          <w:b/>
          <w:i/>
          <w:sz w:val="16"/>
          <w:szCs w:val="16"/>
        </w:rPr>
      </w:pPr>
    </w:p>
    <w:p w14:paraId="09667F5E" w14:textId="77777777" w:rsidR="00211BDA" w:rsidRPr="0025678C" w:rsidRDefault="00211BDA" w:rsidP="00211BDA">
      <w:pPr>
        <w:spacing w:after="0"/>
        <w:rPr>
          <w:rFonts w:ascii="Arial" w:eastAsia="Arial" w:hAnsi="Arial" w:cs="Arial"/>
          <w:b/>
          <w:sz w:val="22"/>
          <w:szCs w:val="22"/>
        </w:rPr>
      </w:pPr>
      <w:r>
        <w:rPr>
          <w:rFonts w:ascii="Arial" w:hAnsi="Arial"/>
          <w:b/>
          <w:sz w:val="22"/>
          <w:szCs w:val="22"/>
        </w:rPr>
        <w:t>Contatti:</w:t>
      </w:r>
    </w:p>
    <w:p w14:paraId="3C30E1AF" w14:textId="77777777" w:rsidR="00211BDA" w:rsidRPr="0025678C" w:rsidRDefault="00211BDA" w:rsidP="00211BDA">
      <w:pPr>
        <w:spacing w:after="0"/>
        <w:rPr>
          <w:rFonts w:ascii="Arial" w:eastAsiaTheme="minorEastAsia" w:hAnsi="Arial" w:cs="Arial"/>
          <w:sz w:val="18"/>
          <w:szCs w:val="18"/>
          <w:lang w:val="fr-FR"/>
        </w:rPr>
      </w:pPr>
    </w:p>
    <w:p w14:paraId="7ED2C733" w14:textId="77777777" w:rsidR="00211BDA" w:rsidRPr="0025678C" w:rsidRDefault="00211BDA" w:rsidP="00211BDA">
      <w:pPr>
        <w:spacing w:after="0"/>
        <w:rPr>
          <w:rFonts w:ascii="Arial" w:hAnsi="Arial" w:cs="Arial"/>
          <w:b/>
          <w:bCs/>
          <w:sz w:val="20"/>
          <w:szCs w:val="16"/>
        </w:rPr>
      </w:pPr>
      <w:r>
        <w:rPr>
          <w:rFonts w:ascii="Arial" w:hAnsi="Arial"/>
          <w:b/>
          <w:bCs/>
          <w:sz w:val="20"/>
          <w:szCs w:val="16"/>
        </w:rPr>
        <w:t>Stellantis</w:t>
      </w:r>
    </w:p>
    <w:p w14:paraId="7730F5DF" w14:textId="77777777" w:rsidR="00211BDA" w:rsidRPr="0025678C" w:rsidRDefault="00211BDA" w:rsidP="00211BDA">
      <w:pPr>
        <w:spacing w:after="0"/>
        <w:rPr>
          <w:rFonts w:ascii="Arial" w:hAnsi="Arial" w:cs="Arial"/>
          <w:sz w:val="20"/>
          <w:szCs w:val="16"/>
          <w:lang w:val="fr-FR"/>
        </w:rPr>
      </w:pPr>
    </w:p>
    <w:p w14:paraId="2C556014" w14:textId="77777777" w:rsidR="00211BDA" w:rsidRPr="0025678C" w:rsidRDefault="00211BDA" w:rsidP="00211BDA">
      <w:pPr>
        <w:tabs>
          <w:tab w:val="left" w:pos="2592"/>
        </w:tabs>
        <w:spacing w:after="0"/>
        <w:rPr>
          <w:rFonts w:ascii="Arial" w:eastAsia="Arial" w:hAnsi="Arial" w:cs="Arial"/>
          <w:b/>
          <w:bCs/>
          <w:sz w:val="20"/>
          <w:szCs w:val="16"/>
        </w:rPr>
      </w:pPr>
      <w:r>
        <w:rPr>
          <w:rFonts w:ascii="Arial" w:hAnsi="Arial"/>
          <w:b/>
          <w:bCs/>
          <w:sz w:val="20"/>
          <w:szCs w:val="16"/>
        </w:rPr>
        <w:t xml:space="preserve">Fernão Silveira </w:t>
      </w:r>
    </w:p>
    <w:p w14:paraId="6253A0AD" w14:textId="6E9336F9" w:rsidR="00211BDA" w:rsidRPr="0025678C" w:rsidRDefault="001E3ED5" w:rsidP="00211BDA">
      <w:pPr>
        <w:tabs>
          <w:tab w:val="left" w:pos="2592"/>
        </w:tabs>
        <w:spacing w:after="0"/>
        <w:rPr>
          <w:rFonts w:ascii="Arial" w:eastAsia="Arial" w:hAnsi="Arial" w:cs="Arial"/>
          <w:sz w:val="20"/>
          <w:szCs w:val="16"/>
        </w:rPr>
      </w:pPr>
      <w:r>
        <w:rPr>
          <w:rFonts w:ascii="Arial" w:hAnsi="Arial"/>
          <w:sz w:val="20"/>
          <w:szCs w:val="16"/>
        </w:rPr>
        <w:t>Global Communications</w:t>
      </w:r>
      <w:r w:rsidR="00211BDA">
        <w:rPr>
          <w:rFonts w:ascii="Arial" w:hAnsi="Arial"/>
          <w:sz w:val="20"/>
          <w:szCs w:val="16"/>
        </w:rPr>
        <w:t xml:space="preserve"> / Stellantis</w:t>
      </w:r>
    </w:p>
    <w:p w14:paraId="3D47FCA4" w14:textId="77777777" w:rsidR="00211BDA" w:rsidRPr="00211BDA" w:rsidRDefault="00211BDA" w:rsidP="00211BDA">
      <w:pPr>
        <w:tabs>
          <w:tab w:val="left" w:pos="2592"/>
        </w:tabs>
        <w:spacing w:after="0"/>
        <w:rPr>
          <w:rFonts w:ascii="Arial" w:eastAsia="Arial" w:hAnsi="Arial" w:cs="Arial"/>
          <w:sz w:val="20"/>
          <w:szCs w:val="16"/>
        </w:rPr>
      </w:pPr>
      <w:r>
        <w:rPr>
          <w:rFonts w:ascii="Arial" w:hAnsi="Arial"/>
          <w:sz w:val="20"/>
          <w:szCs w:val="16"/>
        </w:rPr>
        <w:t xml:space="preserve">fernao.silveira@stellantis.com </w:t>
      </w:r>
    </w:p>
    <w:p w14:paraId="0DB3F9B8" w14:textId="77777777" w:rsidR="00211BDA" w:rsidRPr="00211BDA" w:rsidRDefault="00211BDA" w:rsidP="00211BDA">
      <w:pPr>
        <w:tabs>
          <w:tab w:val="left" w:pos="2592"/>
        </w:tabs>
        <w:spacing w:after="0"/>
        <w:rPr>
          <w:rFonts w:ascii="Arial" w:eastAsia="Arial" w:hAnsi="Arial" w:cs="Arial"/>
          <w:sz w:val="20"/>
          <w:szCs w:val="16"/>
        </w:rPr>
      </w:pPr>
      <w:r>
        <w:rPr>
          <w:rFonts w:ascii="Arial" w:hAnsi="Arial"/>
          <w:sz w:val="20"/>
          <w:szCs w:val="16"/>
        </w:rPr>
        <w:t>+31 6 43 25 43 41</w:t>
      </w:r>
    </w:p>
    <w:p w14:paraId="4C7FCF06" w14:textId="77777777" w:rsidR="00211BDA" w:rsidRPr="00211BDA" w:rsidRDefault="00211BDA" w:rsidP="00211BDA">
      <w:pPr>
        <w:tabs>
          <w:tab w:val="left" w:pos="2592"/>
        </w:tabs>
        <w:spacing w:after="0"/>
        <w:rPr>
          <w:rFonts w:ascii="Arial" w:eastAsia="Arial" w:hAnsi="Arial" w:cs="Arial"/>
          <w:sz w:val="20"/>
          <w:szCs w:val="16"/>
        </w:rPr>
      </w:pPr>
    </w:p>
    <w:p w14:paraId="5E360872" w14:textId="628B313E" w:rsidR="00211BDA" w:rsidRPr="00211BDA" w:rsidRDefault="005062F7" w:rsidP="00211BDA">
      <w:pPr>
        <w:tabs>
          <w:tab w:val="left" w:pos="2592"/>
        </w:tabs>
        <w:spacing w:after="0"/>
        <w:rPr>
          <w:rFonts w:ascii="Arial" w:eastAsia="Arial" w:hAnsi="Arial" w:cs="Arial"/>
          <w:b/>
          <w:bCs/>
          <w:sz w:val="20"/>
          <w:szCs w:val="16"/>
        </w:rPr>
      </w:pPr>
      <w:r>
        <w:rPr>
          <w:rFonts w:ascii="Arial" w:hAnsi="Arial"/>
          <w:b/>
          <w:bCs/>
          <w:sz w:val="20"/>
          <w:szCs w:val="16"/>
        </w:rPr>
        <w:t>Andrea Pallard</w:t>
      </w:r>
    </w:p>
    <w:p w14:paraId="59EEF380" w14:textId="4282B554" w:rsidR="00211BDA" w:rsidRPr="00F9310F" w:rsidRDefault="005062F7" w:rsidP="00211BDA">
      <w:pPr>
        <w:tabs>
          <w:tab w:val="left" w:pos="2592"/>
        </w:tabs>
        <w:spacing w:after="0"/>
        <w:rPr>
          <w:rFonts w:ascii="Arial" w:eastAsia="Arial" w:hAnsi="Arial" w:cs="Arial"/>
          <w:sz w:val="20"/>
          <w:szCs w:val="16"/>
          <w:lang w:val="fr-FR"/>
        </w:rPr>
      </w:pPr>
      <w:r w:rsidRPr="00F9310F">
        <w:rPr>
          <w:rFonts w:ascii="Arial" w:hAnsi="Arial"/>
          <w:sz w:val="20"/>
          <w:szCs w:val="16"/>
          <w:lang w:val="fr-FR"/>
        </w:rPr>
        <w:t>Enlarged Europe Communications / Stellantis</w:t>
      </w:r>
    </w:p>
    <w:p w14:paraId="3F005988" w14:textId="64DE5E41" w:rsidR="00211BDA" w:rsidRPr="005E2C53" w:rsidRDefault="005062F7" w:rsidP="00211BDA">
      <w:pPr>
        <w:tabs>
          <w:tab w:val="left" w:pos="2592"/>
        </w:tabs>
        <w:spacing w:after="0"/>
        <w:rPr>
          <w:rFonts w:ascii="Arial" w:eastAsia="Arial" w:hAnsi="Arial" w:cs="Arial"/>
          <w:sz w:val="20"/>
          <w:szCs w:val="16"/>
          <w:lang w:val="en-US"/>
        </w:rPr>
      </w:pPr>
      <w:r w:rsidRPr="005E2C53">
        <w:rPr>
          <w:rFonts w:ascii="Arial" w:hAnsi="Arial"/>
          <w:sz w:val="20"/>
          <w:szCs w:val="16"/>
          <w:lang w:val="en-US"/>
        </w:rPr>
        <w:t>andrea.pallard@stellantis.com</w:t>
      </w:r>
    </w:p>
    <w:p w14:paraId="5EB10C58" w14:textId="22BE6E96" w:rsidR="00C00E9B" w:rsidRPr="005E2C53" w:rsidRDefault="005062F7" w:rsidP="00211BDA">
      <w:pPr>
        <w:tabs>
          <w:tab w:val="left" w:pos="2592"/>
        </w:tabs>
        <w:spacing w:after="0"/>
        <w:rPr>
          <w:rFonts w:ascii="Arial" w:eastAsia="Arial" w:hAnsi="Arial" w:cs="Arial"/>
          <w:sz w:val="20"/>
          <w:szCs w:val="16"/>
          <w:lang w:val="en-US"/>
        </w:rPr>
      </w:pPr>
      <w:r w:rsidRPr="005E2C53">
        <w:rPr>
          <w:rFonts w:ascii="Arial" w:hAnsi="Arial"/>
          <w:sz w:val="20"/>
          <w:szCs w:val="16"/>
          <w:lang w:val="en-US"/>
        </w:rPr>
        <w:t>+39 335 8737298</w:t>
      </w:r>
    </w:p>
    <w:p w14:paraId="6BC33E1D" w14:textId="77777777" w:rsidR="003D756D" w:rsidRPr="005E2C53" w:rsidRDefault="003D756D" w:rsidP="00206526">
      <w:pPr>
        <w:tabs>
          <w:tab w:val="left" w:pos="2592"/>
        </w:tabs>
        <w:spacing w:after="0"/>
        <w:rPr>
          <w:rFonts w:ascii="Arial" w:eastAsia="Arial" w:hAnsi="Arial" w:cs="Arial"/>
          <w:b/>
          <w:bCs/>
          <w:sz w:val="20"/>
          <w:szCs w:val="20"/>
          <w:lang w:val="en-US"/>
        </w:rPr>
      </w:pPr>
      <w:bookmarkStart w:id="3" w:name="_Hlk104885869"/>
    </w:p>
    <w:p w14:paraId="043665D4" w14:textId="77777777" w:rsidR="003D756D" w:rsidRPr="005E2C53" w:rsidRDefault="003D756D" w:rsidP="00206526">
      <w:pPr>
        <w:tabs>
          <w:tab w:val="left" w:pos="2592"/>
        </w:tabs>
        <w:spacing w:after="0"/>
        <w:rPr>
          <w:rFonts w:ascii="Arial" w:eastAsia="Arial" w:hAnsi="Arial" w:cs="Arial"/>
          <w:b/>
          <w:bCs/>
          <w:sz w:val="20"/>
          <w:szCs w:val="20"/>
          <w:lang w:val="en-US"/>
        </w:rPr>
      </w:pPr>
    </w:p>
    <w:p w14:paraId="1851D909" w14:textId="2AB9F345" w:rsidR="00206526" w:rsidRPr="005E2C53" w:rsidRDefault="005062F7" w:rsidP="00206526">
      <w:pPr>
        <w:tabs>
          <w:tab w:val="left" w:pos="2592"/>
        </w:tabs>
        <w:spacing w:after="0"/>
        <w:rPr>
          <w:rFonts w:ascii="Arial" w:eastAsia="Arial" w:hAnsi="Arial" w:cs="Arial"/>
          <w:b/>
          <w:bCs/>
          <w:sz w:val="20"/>
          <w:szCs w:val="20"/>
          <w:lang w:val="en-US"/>
        </w:rPr>
      </w:pPr>
      <w:r w:rsidRPr="005E2C53">
        <w:rPr>
          <w:rFonts w:ascii="Arial" w:hAnsi="Arial"/>
          <w:b/>
          <w:bCs/>
          <w:sz w:val="20"/>
          <w:szCs w:val="20"/>
          <w:lang w:val="en-US"/>
        </w:rPr>
        <w:t>Vulcan</w:t>
      </w:r>
    </w:p>
    <w:p w14:paraId="16FFE100" w14:textId="77777777" w:rsidR="00206526" w:rsidRPr="005E2C53" w:rsidRDefault="00206526" w:rsidP="00206526">
      <w:pPr>
        <w:tabs>
          <w:tab w:val="left" w:pos="2592"/>
        </w:tabs>
        <w:spacing w:after="0"/>
        <w:rPr>
          <w:rFonts w:ascii="Arial" w:eastAsia="Arial" w:hAnsi="Arial" w:cs="Arial"/>
          <w:sz w:val="20"/>
          <w:szCs w:val="20"/>
          <w:lang w:val="en-US"/>
        </w:rPr>
      </w:pPr>
    </w:p>
    <w:bookmarkEnd w:id="3"/>
    <w:p w14:paraId="214A09E4" w14:textId="77777777" w:rsidR="005062F7" w:rsidRPr="005E2C53" w:rsidRDefault="005062F7" w:rsidP="005062F7">
      <w:pPr>
        <w:spacing w:after="0"/>
        <w:rPr>
          <w:rFonts w:ascii="Arial" w:eastAsia="Arial" w:hAnsi="Arial" w:cs="Arial"/>
          <w:b/>
          <w:bCs/>
          <w:sz w:val="20"/>
          <w:szCs w:val="20"/>
          <w:lang w:val="en-US"/>
        </w:rPr>
      </w:pPr>
      <w:r w:rsidRPr="005E2C53">
        <w:rPr>
          <w:rFonts w:ascii="Arial" w:hAnsi="Arial"/>
          <w:b/>
          <w:bCs/>
          <w:sz w:val="20"/>
          <w:szCs w:val="20"/>
          <w:lang w:val="en-US"/>
        </w:rPr>
        <w:t xml:space="preserve">Germania: </w:t>
      </w:r>
      <w:r w:rsidRPr="005E2C53">
        <w:rPr>
          <w:rFonts w:ascii="Arial" w:hAnsi="Arial"/>
          <w:sz w:val="20"/>
          <w:szCs w:val="20"/>
          <w:lang w:val="en-US"/>
        </w:rPr>
        <w:t>Beate Holzwarth, Chief Communications Officer | bholzwarth@v-er.eu | + 49 (0) 171 440 7844</w:t>
      </w:r>
    </w:p>
    <w:p w14:paraId="306A45C6" w14:textId="77777777" w:rsidR="005062F7" w:rsidRPr="005E2C53" w:rsidRDefault="005062F7" w:rsidP="005062F7">
      <w:pPr>
        <w:spacing w:after="0"/>
        <w:rPr>
          <w:rFonts w:ascii="Arial" w:eastAsia="Arial" w:hAnsi="Arial" w:cs="Arial"/>
          <w:b/>
          <w:bCs/>
          <w:sz w:val="20"/>
          <w:szCs w:val="20"/>
          <w:lang w:val="en-US"/>
        </w:rPr>
      </w:pPr>
    </w:p>
    <w:p w14:paraId="6EA0D2D4" w14:textId="78037D84" w:rsidR="00C00E9B" w:rsidRPr="005062F7" w:rsidRDefault="005062F7" w:rsidP="005062F7">
      <w:pPr>
        <w:spacing w:after="0"/>
        <w:rPr>
          <w:rFonts w:ascii="Arial" w:eastAsiaTheme="minorEastAsia" w:hAnsi="Arial" w:cs="Arial"/>
          <w:sz w:val="18"/>
          <w:szCs w:val="18"/>
        </w:rPr>
      </w:pPr>
      <w:r>
        <w:rPr>
          <w:rFonts w:ascii="Arial" w:hAnsi="Arial"/>
          <w:b/>
          <w:bCs/>
          <w:sz w:val="20"/>
          <w:szCs w:val="20"/>
        </w:rPr>
        <w:t xml:space="preserve">Australia: </w:t>
      </w:r>
      <w:r>
        <w:rPr>
          <w:rFonts w:ascii="Arial" w:hAnsi="Arial"/>
          <w:sz w:val="20"/>
          <w:szCs w:val="20"/>
        </w:rPr>
        <w:t>Jessica Bukowski, PR &amp; IR Manager| jbukowski@v-er.eu | +61 (0) 420 528 355</w:t>
      </w:r>
    </w:p>
    <w:p w14:paraId="2618A018" w14:textId="344B51EF" w:rsidR="00D90200" w:rsidRPr="005062F7" w:rsidRDefault="00D90200">
      <w:pPr>
        <w:spacing w:after="0"/>
        <w:jc w:val="left"/>
        <w:rPr>
          <w:b/>
          <w:i/>
          <w:sz w:val="16"/>
          <w:szCs w:val="16"/>
          <w:lang w:val="es-ES"/>
        </w:rPr>
      </w:pPr>
    </w:p>
    <w:p w14:paraId="48931531" w14:textId="4DA0CAB2" w:rsidR="009D782E" w:rsidRPr="005062F7" w:rsidRDefault="009D782E">
      <w:pPr>
        <w:spacing w:after="0"/>
        <w:jc w:val="left"/>
        <w:rPr>
          <w:b/>
          <w:i/>
          <w:sz w:val="16"/>
          <w:szCs w:val="16"/>
          <w:lang w:val="es-ES"/>
        </w:rPr>
      </w:pPr>
    </w:p>
    <w:p w14:paraId="2C8CFCF6" w14:textId="77777777" w:rsidR="009D782E" w:rsidRPr="005062F7" w:rsidRDefault="009D782E">
      <w:pPr>
        <w:spacing w:after="0"/>
        <w:jc w:val="left"/>
        <w:rPr>
          <w:b/>
          <w:i/>
          <w:sz w:val="16"/>
          <w:szCs w:val="16"/>
          <w:lang w:val="es-ES"/>
        </w:rPr>
      </w:pPr>
    </w:p>
    <w:p w14:paraId="55C981F4" w14:textId="77777777" w:rsidR="00914E09" w:rsidRPr="005062F7" w:rsidRDefault="00914E09" w:rsidP="00914E09">
      <w:pPr>
        <w:rPr>
          <w:rFonts w:ascii="Arial" w:hAnsi="Arial" w:cs="Arial"/>
          <w:b/>
          <w:bCs/>
          <w:sz w:val="18"/>
          <w:szCs w:val="18"/>
          <w:lang w:val="es-ES"/>
        </w:rPr>
      </w:pPr>
    </w:p>
    <w:p w14:paraId="340D9FA5" w14:textId="77777777" w:rsidR="00914E09" w:rsidRPr="005062F7" w:rsidRDefault="00914E09" w:rsidP="00914E09">
      <w:pPr>
        <w:rPr>
          <w:rFonts w:ascii="Arial" w:hAnsi="Arial" w:cs="Arial"/>
          <w:b/>
          <w:bCs/>
          <w:sz w:val="18"/>
          <w:szCs w:val="18"/>
          <w:lang w:val="es-ES"/>
        </w:rPr>
      </w:pPr>
    </w:p>
    <w:p w14:paraId="019399F4" w14:textId="77777777" w:rsidR="005062F7" w:rsidRPr="0025678C" w:rsidRDefault="005062F7">
      <w:pPr>
        <w:rPr>
          <w:rFonts w:ascii="Arial" w:hAnsi="Arial" w:cs="Arial"/>
          <w:b/>
          <w:bCs/>
          <w:sz w:val="18"/>
          <w:szCs w:val="18"/>
        </w:rPr>
      </w:pPr>
      <w:r>
        <w:br w:type="page"/>
      </w:r>
    </w:p>
    <w:p w14:paraId="1486F7E1" w14:textId="3AB66027" w:rsidR="00211BDA" w:rsidRDefault="00211BDA" w:rsidP="00914E09">
      <w:pPr>
        <w:rPr>
          <w:rFonts w:ascii="Arial" w:hAnsi="Arial" w:cs="Arial"/>
          <w:b/>
          <w:bCs/>
          <w:sz w:val="18"/>
          <w:szCs w:val="18"/>
        </w:rPr>
      </w:pPr>
      <w:r>
        <w:rPr>
          <w:rFonts w:ascii="Arial" w:hAnsi="Arial"/>
          <w:b/>
          <w:bCs/>
          <w:sz w:val="18"/>
          <w:szCs w:val="18"/>
        </w:rPr>
        <w:lastRenderedPageBreak/>
        <w:t>DICHIARAZIONI PREVISIONALI</w:t>
      </w:r>
    </w:p>
    <w:p w14:paraId="10933B3A" w14:textId="02C98280" w:rsidR="005E2C53" w:rsidRPr="005E2C53" w:rsidRDefault="005E2C53" w:rsidP="005E2C53">
      <w:pPr>
        <w:spacing w:before="240"/>
        <w:rPr>
          <w:rFonts w:ascii="Arial" w:hAnsi="Arial"/>
          <w:i/>
          <w:sz w:val="18"/>
          <w:szCs w:val="18"/>
        </w:rPr>
      </w:pPr>
      <w:r w:rsidRPr="005E2C53">
        <w:rPr>
          <w:rFonts w:ascii="Arial" w:hAnsi="Arial"/>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7B53DB69" w14:textId="77777777" w:rsidR="005E2C53" w:rsidRPr="005E2C53" w:rsidRDefault="005E2C53" w:rsidP="005E2C53">
      <w:pPr>
        <w:spacing w:before="240"/>
        <w:rPr>
          <w:rFonts w:ascii="Arial" w:hAnsi="Arial"/>
          <w:i/>
          <w:sz w:val="18"/>
          <w:szCs w:val="18"/>
        </w:rPr>
      </w:pPr>
      <w:r w:rsidRPr="005E2C53">
        <w:rPr>
          <w:rFonts w:ascii="Arial" w:hAnsi="Arial"/>
          <w:i/>
          <w:sz w:val="18"/>
          <w:szCs w:val="18"/>
        </w:rPr>
        <w:t>I risultati reali possono differire materialmente da quelli espressi nelle dichiarazioni previsionali in conseguenza di vari fattori, quali: incertezze sul fatto che la transazione proposta discussa nel presente documento sarà completata o sui tempi di completamento della stessa; la soddisfazione delle condizioni precedenti al completamento della transazione proposta, inclusa la capacità di ottenere le approvazioni normative nei termini previsti, a tutti i livelli o in maniera tempestiva; il rischio che le attività delle parti siano influenzate negativamente durante la pendenza della transazione proposta; la capacità di Stellantis di integrare con successo le operazioni dell’Azienda; l’interruzione dell’attività a seguito della transazione; l’effetto dell’annuncio della transazione sulla capacità dell’Azienda di trattenere e assumere personale chiave e mantenere i rapporti con clienti, fornitori e con gli altri soggetti con cui l’Azienda intrattiene rapporti commerciali; l’impatto della pandemia COVID-19, la capacità di Stellantis di lanciare con successo nuovi prodotti e di garantire i volumi di spedizione dei veicoli; i cambiamenti nei mercati finanziari globali, il contesto economico generale e i cambiamenti nella domanda di prodotti automobilistici, che è soggetta a ciclicità; cambiamenti delle condizioni economiche e politiche locali, cambiamenti delle politiche commerciali e l’imposizione di tariffe globali e regionali o di tariffe mirate all’industria automobilistica, la promulgazione di riforme fiscali o altri cambiamenti delle leggi e dei regolamenti fiscali; la capacità di Stellantis di espandere alcuni dei suoi brand a livello globale; la sua capacità di offrire prodotti innovativi e attraenti; la sua capacità di sviluppare, produrre e vendere veicoli con caratteristiche avanzate tra cui elettrificazione avanzata, connettività e caratteristiche di guida autonoma; vari tipi di reclami, cause legali, indagini governative e altri imprevisti, tra cui responsabilità di prodotto e rivendicazioni di garanzia, indagini e cause ambientali; spese operative materiali in relazione al rispetto delle normative ambientali, sanitarie e di sicurezza; l’elevato livello di concorrenza nel settore automobilistico, che potrebbe aumentare a causa del consolidamento; l’esposizione a carenze nel finanziamento dei piani pensionistici a benefici definiti di Stellantis; la capacità di fornire o organizzare l’accesso a finanziamenti adeguati per i concessionari e i clienti al dettaglio e i rischi associati alla creazione e alle operazioni delle società di servizi finanziari; la capacità di accedere ai finanziamenti per attuare i piani aziendali di Stellantis e migliorare le sue attività, le condizioni finanziarie e i risultati delle operazioni; un malfunzionamento significativo, un’interruzione o una violazione della sicurezza che comprometta i sistemi informatici o i sistemi di controllo elettronici contenuti nei veicoli di Stellantis; la capacità di Stellantis di realizzare i benefici previsti dagli accordi di joint venture; interruzioni derivanti dall’instabilità politica, sociale ed economica; rischi associati ai rapporti con dipendenti, concessionari e fornitori; aumenti dei costi, interruzioni delle forniture o carenze di materie prime, parti, componenti e sistemi utilizzati nei veicoli di Stellantis; sviluppi nei rapporti industriali e di lavoro e sviluppi delle leggi vigenti in materia di lavoro; fluttuazioni dei tassi di cambio, variazioni dei tassi di interesse, rischio di credito e altri rischi di mercato; disordini politici e civili; terremoti o altri disastri e altri rischi e incertezze.</w:t>
      </w:r>
    </w:p>
    <w:p w14:paraId="1CC98F62" w14:textId="5B1545F3" w:rsidR="00211BDA" w:rsidRDefault="005E2C53" w:rsidP="005E2C53">
      <w:pPr>
        <w:spacing w:before="240"/>
        <w:rPr>
          <w:rFonts w:ascii="Arial" w:eastAsia="Encode Sans" w:hAnsi="Arial" w:cs="Arial"/>
          <w:i/>
          <w:sz w:val="18"/>
          <w:szCs w:val="18"/>
        </w:rPr>
      </w:pPr>
      <w:r w:rsidRPr="005E2C53">
        <w:rPr>
          <w:rFonts w:ascii="Arial" w:hAnsi="Arial"/>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5D67444A" w14:textId="77777777" w:rsidR="00D90200" w:rsidRDefault="00D90200">
      <w:pPr>
        <w:spacing w:after="0"/>
        <w:jc w:val="left"/>
        <w:rPr>
          <w:b/>
          <w:i/>
          <w:sz w:val="16"/>
          <w:szCs w:val="16"/>
        </w:rPr>
      </w:pPr>
    </w:p>
    <w:sectPr w:rsidR="00D90200">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B6E9" w14:textId="77777777" w:rsidR="007D5C21" w:rsidRDefault="007D5C21">
      <w:pPr>
        <w:spacing w:after="0"/>
      </w:pPr>
      <w:r>
        <w:separator/>
      </w:r>
    </w:p>
  </w:endnote>
  <w:endnote w:type="continuationSeparator" w:id="0">
    <w:p w14:paraId="7BBDA2DC" w14:textId="77777777" w:rsidR="007D5C21" w:rsidRDefault="007D5C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77D9" w14:textId="77777777" w:rsidR="007D5C21" w:rsidRDefault="007D5C21">
      <w:pPr>
        <w:spacing w:after="0"/>
      </w:pPr>
      <w:r>
        <w:separator/>
      </w:r>
    </w:p>
  </w:footnote>
  <w:footnote w:type="continuationSeparator" w:id="0">
    <w:p w14:paraId="527CEEE9" w14:textId="77777777" w:rsidR="007D5C21" w:rsidRDefault="007D5C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6D5FF5EA" w:rsidR="00D90200" w:rsidRPr="004E387D" w:rsidRDefault="004E387D" w:rsidP="004E387D">
    <w:pPr>
      <w:pStyle w:val="Header"/>
    </w:pPr>
    <w:r>
      <w:rPr>
        <w:noProof/>
        <w:color w:val="243782"/>
        <w:lang w:val="en-US"/>
      </w:rPr>
      <w:drawing>
        <wp:inline distT="0" distB="0" distL="0" distR="0" wp14:anchorId="1569F18B" wp14:editId="1917AF29">
          <wp:extent cx="5325110" cy="6102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403C6"/>
    <w:rsid w:val="000618AB"/>
    <w:rsid w:val="0006441F"/>
    <w:rsid w:val="0007013E"/>
    <w:rsid w:val="000B0968"/>
    <w:rsid w:val="000B2E42"/>
    <w:rsid w:val="000C5A52"/>
    <w:rsid w:val="000D0AC3"/>
    <w:rsid w:val="000E22F7"/>
    <w:rsid w:val="00100E33"/>
    <w:rsid w:val="00115CA3"/>
    <w:rsid w:val="00123307"/>
    <w:rsid w:val="00162B39"/>
    <w:rsid w:val="00172B2C"/>
    <w:rsid w:val="0019432C"/>
    <w:rsid w:val="00195133"/>
    <w:rsid w:val="001A14C2"/>
    <w:rsid w:val="001A3B61"/>
    <w:rsid w:val="001B7F90"/>
    <w:rsid w:val="001C1D40"/>
    <w:rsid w:val="001D10B3"/>
    <w:rsid w:val="001E145E"/>
    <w:rsid w:val="001E3ED5"/>
    <w:rsid w:val="00202659"/>
    <w:rsid w:val="00206526"/>
    <w:rsid w:val="002074AC"/>
    <w:rsid w:val="00210508"/>
    <w:rsid w:val="00211BDA"/>
    <w:rsid w:val="00214934"/>
    <w:rsid w:val="002232A1"/>
    <w:rsid w:val="00247709"/>
    <w:rsid w:val="0025678C"/>
    <w:rsid w:val="002B72BF"/>
    <w:rsid w:val="002C77BE"/>
    <w:rsid w:val="002D43AD"/>
    <w:rsid w:val="002D67E6"/>
    <w:rsid w:val="002D6E8E"/>
    <w:rsid w:val="003062BC"/>
    <w:rsid w:val="00306BC9"/>
    <w:rsid w:val="00374F28"/>
    <w:rsid w:val="0037579C"/>
    <w:rsid w:val="003C0EBE"/>
    <w:rsid w:val="003D21DF"/>
    <w:rsid w:val="003D756D"/>
    <w:rsid w:val="0048369D"/>
    <w:rsid w:val="00492DDE"/>
    <w:rsid w:val="00497D40"/>
    <w:rsid w:val="004C37B7"/>
    <w:rsid w:val="004C48ED"/>
    <w:rsid w:val="004E29EF"/>
    <w:rsid w:val="004E387D"/>
    <w:rsid w:val="004F0A2C"/>
    <w:rsid w:val="004F2150"/>
    <w:rsid w:val="004F3BE9"/>
    <w:rsid w:val="004F7329"/>
    <w:rsid w:val="005062F7"/>
    <w:rsid w:val="005073F1"/>
    <w:rsid w:val="00512922"/>
    <w:rsid w:val="00516057"/>
    <w:rsid w:val="00525726"/>
    <w:rsid w:val="00547AF9"/>
    <w:rsid w:val="0055767E"/>
    <w:rsid w:val="00572D4A"/>
    <w:rsid w:val="0058367F"/>
    <w:rsid w:val="005E2C53"/>
    <w:rsid w:val="005E4EB5"/>
    <w:rsid w:val="00603F18"/>
    <w:rsid w:val="0061766E"/>
    <w:rsid w:val="00625C11"/>
    <w:rsid w:val="006262D2"/>
    <w:rsid w:val="00631BCB"/>
    <w:rsid w:val="006616BE"/>
    <w:rsid w:val="00680D18"/>
    <w:rsid w:val="006863D0"/>
    <w:rsid w:val="006B0CEC"/>
    <w:rsid w:val="006B2EB2"/>
    <w:rsid w:val="0071156E"/>
    <w:rsid w:val="0071381F"/>
    <w:rsid w:val="00720068"/>
    <w:rsid w:val="007376E7"/>
    <w:rsid w:val="0076578D"/>
    <w:rsid w:val="00786615"/>
    <w:rsid w:val="007A17A2"/>
    <w:rsid w:val="007D5C21"/>
    <w:rsid w:val="007F0624"/>
    <w:rsid w:val="007F30E2"/>
    <w:rsid w:val="008018C5"/>
    <w:rsid w:val="008170F0"/>
    <w:rsid w:val="00837A76"/>
    <w:rsid w:val="008535C7"/>
    <w:rsid w:val="008A0E8A"/>
    <w:rsid w:val="008B0A0F"/>
    <w:rsid w:val="008D26D0"/>
    <w:rsid w:val="00907495"/>
    <w:rsid w:val="00914E09"/>
    <w:rsid w:val="00925DB9"/>
    <w:rsid w:val="00980D9E"/>
    <w:rsid w:val="00991B50"/>
    <w:rsid w:val="0099793C"/>
    <w:rsid w:val="009A2719"/>
    <w:rsid w:val="009B2260"/>
    <w:rsid w:val="009B3485"/>
    <w:rsid w:val="009C39C6"/>
    <w:rsid w:val="009D083B"/>
    <w:rsid w:val="009D5DC6"/>
    <w:rsid w:val="009D782E"/>
    <w:rsid w:val="009D7CB7"/>
    <w:rsid w:val="00A237F3"/>
    <w:rsid w:val="00A906F0"/>
    <w:rsid w:val="00A9686E"/>
    <w:rsid w:val="00A976CF"/>
    <w:rsid w:val="00AD7DB3"/>
    <w:rsid w:val="00B27345"/>
    <w:rsid w:val="00B31E73"/>
    <w:rsid w:val="00B46A84"/>
    <w:rsid w:val="00B54574"/>
    <w:rsid w:val="00B57822"/>
    <w:rsid w:val="00B901C8"/>
    <w:rsid w:val="00BC4685"/>
    <w:rsid w:val="00BD74C3"/>
    <w:rsid w:val="00BE126A"/>
    <w:rsid w:val="00BE75A5"/>
    <w:rsid w:val="00C00E9B"/>
    <w:rsid w:val="00C334EF"/>
    <w:rsid w:val="00C42C0B"/>
    <w:rsid w:val="00C520FA"/>
    <w:rsid w:val="00C61685"/>
    <w:rsid w:val="00C818B8"/>
    <w:rsid w:val="00CA3AFC"/>
    <w:rsid w:val="00CA420F"/>
    <w:rsid w:val="00CB19A5"/>
    <w:rsid w:val="00CC15FE"/>
    <w:rsid w:val="00CC5C47"/>
    <w:rsid w:val="00CD319D"/>
    <w:rsid w:val="00D019D7"/>
    <w:rsid w:val="00D3455C"/>
    <w:rsid w:val="00D40E54"/>
    <w:rsid w:val="00D90200"/>
    <w:rsid w:val="00DB7F49"/>
    <w:rsid w:val="00DF61C4"/>
    <w:rsid w:val="00E11EDF"/>
    <w:rsid w:val="00E13473"/>
    <w:rsid w:val="00E15211"/>
    <w:rsid w:val="00E36F4A"/>
    <w:rsid w:val="00E653B0"/>
    <w:rsid w:val="00E669FB"/>
    <w:rsid w:val="00E759EE"/>
    <w:rsid w:val="00E76235"/>
    <w:rsid w:val="00E97FB7"/>
    <w:rsid w:val="00EB585F"/>
    <w:rsid w:val="00EC46E6"/>
    <w:rsid w:val="00EC4F3A"/>
    <w:rsid w:val="00EE3906"/>
    <w:rsid w:val="00EF0351"/>
    <w:rsid w:val="00EF68DF"/>
    <w:rsid w:val="00F36134"/>
    <w:rsid w:val="00F455C0"/>
    <w:rsid w:val="00F5359D"/>
    <w:rsid w:val="00F55FA4"/>
    <w:rsid w:val="00F62C02"/>
    <w:rsid w:val="00F72EB4"/>
    <w:rsid w:val="00F75BDD"/>
    <w:rsid w:val="00F76B60"/>
    <w:rsid w:val="00F76C4A"/>
    <w:rsid w:val="00F77D35"/>
    <w:rsid w:val="00F9310F"/>
    <w:rsid w:val="00F9493A"/>
    <w:rsid w:val="00FB58AF"/>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F3613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it/investors/eventi/strategic-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it/news/comunicati-stampa/2021/novembre/stellantis-sigla-un-accordo-con-vulcan-energy-per-la-fornitura-di-lit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it/news/comunicati-stampa/2022/giugno/stellantis-stringe-un-accordo-con-controlled-thermal-resources-per-la-fornitura-di-litio-a-basse-emissioni-finalizzata-alla-produzione-di-veicoli-elettrici-in-nord-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1597</Words>
  <Characters>9711</Characters>
  <Application>Microsoft Office Word</Application>
  <DocSecurity>0</DocSecurity>
  <Lines>167</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4</cp:revision>
  <dcterms:created xsi:type="dcterms:W3CDTF">2022-06-23T15:21:00Z</dcterms:created>
  <dcterms:modified xsi:type="dcterms:W3CDTF">2022-06-23T18:22:00Z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0x010100EF1232E791626D42A4209D08785B3EB2</vt:lpwstr>
  </property>
</Properties>
</file>