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B65E6" w14:textId="77777777" w:rsidR="00150F09" w:rsidRDefault="0086416D" w:rsidP="001E6C1E">
      <w:pPr>
        <w:pStyle w:val="SSubjectBlock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47E0248C" wp14:editId="7CE6F821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7277333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19E499D4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t xml:space="preserve">Dare Forward 2030: </w:t>
      </w:r>
    </w:p>
    <w:p w14:paraId="6480BC48" w14:textId="7459F45D" w:rsidR="00D5456A" w:rsidRPr="003E727D" w:rsidRDefault="00150F09" w:rsidP="001E6C1E">
      <w:pPr>
        <w:pStyle w:val="SSubjectBlock"/>
      </w:pPr>
      <w:r>
        <w:t>il progetto di Stellantis per una libertà di mobilità all</w:t>
      </w:r>
      <w:r w:rsidR="005D022F">
        <w:t>’</w:t>
      </w:r>
      <w:r>
        <w:t>avanguardia</w:t>
      </w:r>
    </w:p>
    <w:p w14:paraId="6AF0FEBE" w14:textId="63A33071" w:rsidR="00D00965" w:rsidRDefault="000B5277" w:rsidP="00D00965">
      <w:pPr>
        <w:pStyle w:val="SDatePlace"/>
        <w:jc w:val="both"/>
      </w:pPr>
      <w:r>
        <w:t>AMSTERDAM, 1° marzo 2022 –</w:t>
      </w:r>
      <w:r w:rsidR="004F7D52">
        <w:t xml:space="preserve"> </w:t>
      </w:r>
      <w:r w:rsidR="004F7D52" w:rsidRPr="004F7D52">
        <w:t xml:space="preserve">Stellantis N.V. ha presentato oggi </w:t>
      </w:r>
      <w:r w:rsidR="005D022F">
        <w:rPr>
          <w:b/>
          <w:bCs/>
        </w:rPr>
        <w:t>“</w:t>
      </w:r>
      <w:r w:rsidR="004F7D52" w:rsidRPr="009151E7">
        <w:rPr>
          <w:b/>
          <w:bCs/>
        </w:rPr>
        <w:t>Dare Forward 2030</w:t>
      </w:r>
      <w:r w:rsidR="005D022F">
        <w:rPr>
          <w:b/>
          <w:bCs/>
        </w:rPr>
        <w:t>”</w:t>
      </w:r>
      <w:r w:rsidR="004F7D52" w:rsidRPr="004F7D52">
        <w:t xml:space="preserve">, il suo audace piano strategico per il prossimo decennio che porterà i dipendenti Stellantis ad essere </w:t>
      </w:r>
      <w:r w:rsidR="005D022F">
        <w:t>“</w:t>
      </w:r>
      <w:r w:rsidR="004F7D52" w:rsidRPr="004F7D52">
        <w:t>secondi a nessuno</w:t>
      </w:r>
      <w:r w:rsidR="005D022F">
        <w:t>”</w:t>
      </w:r>
      <w:r w:rsidR="004F7D52" w:rsidRPr="004F7D52">
        <w:t xml:space="preserve"> nella creazione di valore per tutti gli stakeholder. Stellantis si impegna a diventare il campione del settore nella lotta contro il cambiamento climatico, raggiungendo </w:t>
      </w:r>
      <w:r w:rsidR="004F7D52" w:rsidRPr="009151E7">
        <w:rPr>
          <w:b/>
          <w:bCs/>
        </w:rPr>
        <w:t>le zero emissioni da carbonio entro il 2038.</w:t>
      </w:r>
    </w:p>
    <w:p w14:paraId="757ED19B" w14:textId="6622EFF2" w:rsidR="00F91283" w:rsidRPr="004F7D52" w:rsidRDefault="004F7D52" w:rsidP="00F91283">
      <w:pPr>
        <w:pStyle w:val="SDatePlace"/>
        <w:rPr>
          <w:b/>
          <w:bCs/>
        </w:rPr>
      </w:pPr>
      <w:r w:rsidRPr="004F7D52">
        <w:rPr>
          <w:b/>
          <w:bCs/>
        </w:rPr>
        <w:t>Carlos Tavares, CEO di Stellantis, ha dichiarato:</w:t>
      </w:r>
    </w:p>
    <w:p w14:paraId="7A513015" w14:textId="6B155CE3" w:rsidR="00D00965" w:rsidRPr="001356BE" w:rsidRDefault="005D022F" w:rsidP="00D00965">
      <w:pPr>
        <w:pStyle w:val="SDatePlace"/>
        <w:jc w:val="both"/>
      </w:pPr>
      <w:r>
        <w:t>“</w:t>
      </w:r>
      <w:r w:rsidR="004F7D52" w:rsidRPr="001356BE">
        <w:t xml:space="preserve">Dare Forward 2030 ci ispira a diventare molto di più di quanto siamo mai stati. Stiamo espandendo la nostra visione, superando i limiti e </w:t>
      </w:r>
      <w:r w:rsidR="004F7D52" w:rsidRPr="001356BE">
        <w:rPr>
          <w:b/>
          <w:bCs/>
        </w:rPr>
        <w:t>abbracciando una nuova mentalità</w:t>
      </w:r>
      <w:r w:rsidR="004F7D52" w:rsidRPr="001356BE">
        <w:t xml:space="preserve">, che cerca di trasformare tutti gli aspetti della mobilità per il miglioramento delle nostre famiglie, delle comunità e delle società in cui operiamo. </w:t>
      </w:r>
    </w:p>
    <w:p w14:paraId="511FB49D" w14:textId="168E63EC" w:rsidR="004F7D52" w:rsidRPr="001356BE" w:rsidRDefault="00F91283" w:rsidP="00D00965">
      <w:pPr>
        <w:pStyle w:val="SDatePlace"/>
        <w:jc w:val="both"/>
      </w:pPr>
      <w:r w:rsidRPr="001356BE">
        <w:t>Grazie alla diversità che ci alimenta, Stellantis guid</w:t>
      </w:r>
      <w:r w:rsidR="004F7D52" w:rsidRPr="001356BE">
        <w:t>a</w:t>
      </w:r>
      <w:r w:rsidRPr="001356BE">
        <w:t xml:space="preserve"> il modo in cui il mondo si muove fornendo soluzioni di mobilità innovative, pulite, sicure ed economicamente accessibili.</w:t>
      </w:r>
    </w:p>
    <w:p w14:paraId="26AAE383" w14:textId="4273CBA8" w:rsidR="004F7D52" w:rsidRPr="001356BE" w:rsidRDefault="004F7D52" w:rsidP="00D00965">
      <w:pPr>
        <w:pStyle w:val="SDatePlace"/>
        <w:jc w:val="both"/>
      </w:pPr>
      <w:r w:rsidRPr="001356BE">
        <w:t>Stellantis sarà il campione del settore nella mitigazione del</w:t>
      </w:r>
      <w:r w:rsidR="00522291" w:rsidRPr="001356BE">
        <w:t xml:space="preserve"> </w:t>
      </w:r>
      <w:r w:rsidRPr="001356BE">
        <w:t xml:space="preserve">cambiamento climatico, </w:t>
      </w:r>
      <w:r w:rsidR="00522291" w:rsidRPr="001356BE">
        <w:t xml:space="preserve">raggiungendo le zero emissioni di carbonio </w:t>
      </w:r>
      <w:r w:rsidRPr="001356BE">
        <w:t xml:space="preserve">entro il 2038, con </w:t>
      </w:r>
      <w:r w:rsidRPr="009151E7">
        <w:rPr>
          <w:b/>
          <w:bCs/>
        </w:rPr>
        <w:t>una riduzione del 50% entro il 2030</w:t>
      </w:r>
      <w:r w:rsidRPr="001356BE">
        <w:t>. Assumere un ruolo di leadership nella decarbonizzazione, così come un decisivo passo avanti nell</w:t>
      </w:r>
      <w:r w:rsidR="005D022F">
        <w:t>’</w:t>
      </w:r>
      <w:r w:rsidRPr="001356BE">
        <w:t>economia circolare, è il nostro contributo per un futuro sostenibile.</w:t>
      </w:r>
    </w:p>
    <w:p w14:paraId="24F9A3C6" w14:textId="77777777" w:rsidR="007B6819" w:rsidRPr="001356BE" w:rsidRDefault="007B6819" w:rsidP="007B6819">
      <w:pPr>
        <w:pStyle w:val="SDatePlace"/>
        <w:jc w:val="both"/>
      </w:pPr>
      <w:r w:rsidRPr="001356BE">
        <w:t>Come parte di questa leadership</w:t>
      </w:r>
      <w:r w:rsidR="00F91283" w:rsidRPr="001356BE">
        <w:t xml:space="preserve">, </w:t>
      </w:r>
      <w:r w:rsidRPr="001356BE">
        <w:t>stiamo preparando</w:t>
      </w:r>
      <w:r w:rsidR="00F91283" w:rsidRPr="001356BE">
        <w:t xml:space="preserve"> la strada affinché il </w:t>
      </w:r>
      <w:r w:rsidRPr="001356BE">
        <w:rPr>
          <w:b/>
          <w:bCs/>
        </w:rPr>
        <w:t>100</w:t>
      </w:r>
      <w:r w:rsidR="00F91283" w:rsidRPr="001356BE">
        <w:rPr>
          <w:b/>
          <w:bCs/>
        </w:rPr>
        <w:t xml:space="preserve">% delle vendite in Europa e il </w:t>
      </w:r>
      <w:r w:rsidRPr="001356BE">
        <w:rPr>
          <w:b/>
          <w:bCs/>
        </w:rPr>
        <w:t>50</w:t>
      </w:r>
      <w:r w:rsidR="00F91283" w:rsidRPr="001356BE">
        <w:rPr>
          <w:b/>
          <w:bCs/>
        </w:rPr>
        <w:t>% delle vendite negli Stati Uniti</w:t>
      </w:r>
      <w:r w:rsidR="00F91283" w:rsidRPr="001356BE">
        <w:t xml:space="preserve"> siano costituit</w:t>
      </w:r>
      <w:r w:rsidRPr="001356BE">
        <w:t>e</w:t>
      </w:r>
      <w:r w:rsidR="00F91283" w:rsidRPr="001356BE">
        <w:t xml:space="preserve"> da veicoli elettrici a batteria (BEV) entro la fine del decennio. </w:t>
      </w:r>
      <w:r w:rsidR="00D00965" w:rsidRPr="001356BE">
        <w:t xml:space="preserve">Prevediamo di avere più di 75 BEV e di raggiungere vendite annuali globali di BEV di cinque milioni di veicoli entro il 2030. </w:t>
      </w:r>
    </w:p>
    <w:p w14:paraId="6D2A86CD" w14:textId="55C5C0E9" w:rsidR="007B6819" w:rsidRPr="001356BE" w:rsidRDefault="007B6819" w:rsidP="007B6819">
      <w:pPr>
        <w:pStyle w:val="SDatePlace"/>
        <w:jc w:val="both"/>
      </w:pPr>
      <w:r w:rsidRPr="001356BE">
        <w:lastRenderedPageBreak/>
        <w:t xml:space="preserve">Oggi, siamo entusiasti di presentare il primo SUV completamente elettrico del marchio </w:t>
      </w:r>
      <w:r w:rsidRPr="009151E7">
        <w:rPr>
          <w:b/>
          <w:bCs/>
        </w:rPr>
        <w:t>Jeep® che sarà lanciato all</w:t>
      </w:r>
      <w:r w:rsidR="005D022F">
        <w:rPr>
          <w:b/>
          <w:bCs/>
        </w:rPr>
        <w:t>’</w:t>
      </w:r>
      <w:r w:rsidRPr="009151E7">
        <w:rPr>
          <w:b/>
          <w:bCs/>
        </w:rPr>
        <w:t>inizio del 2023 e un</w:t>
      </w:r>
      <w:r w:rsidR="005D022F">
        <w:rPr>
          <w:b/>
          <w:bCs/>
        </w:rPr>
        <w:t>’</w:t>
      </w:r>
      <w:r w:rsidRPr="009151E7">
        <w:rPr>
          <w:b/>
          <w:bCs/>
        </w:rPr>
        <w:t>anteprima del nuovo pick-up Ram 1500 BEV</w:t>
      </w:r>
      <w:r w:rsidRPr="001356BE">
        <w:t xml:space="preserve"> in arrivo nel 2024. Il nostro viaggio è sostenuto dall</w:t>
      </w:r>
      <w:r w:rsidR="005D022F">
        <w:t>’</w:t>
      </w:r>
      <w:r w:rsidRPr="001356BE">
        <w:t>innovazione e dall</w:t>
      </w:r>
      <w:r w:rsidR="005D022F">
        <w:t>’</w:t>
      </w:r>
      <w:r w:rsidRPr="001356BE">
        <w:t xml:space="preserve">eccellenza ingegneristica, che ci consentiranno di dotare delle tecnologie più recenti tutti i nostri veicoli, dai più economici a quelli di lusso e ad alte prestazioni presenti nella nostra incredibile offerta di marchi. </w:t>
      </w:r>
    </w:p>
    <w:p w14:paraId="16C3B604" w14:textId="4FD126AB" w:rsidR="007B6819" w:rsidRPr="001356BE" w:rsidRDefault="007B6819" w:rsidP="00882509">
      <w:pPr>
        <w:pStyle w:val="SDatePlace"/>
        <w:jc w:val="both"/>
      </w:pPr>
      <w:r w:rsidRPr="001356BE">
        <w:t xml:space="preserve">Il cliente è al centro di tutto ciò che facciamo. Puntiamo ad essere </w:t>
      </w:r>
      <w:r w:rsidRPr="009151E7">
        <w:rPr>
          <w:b/>
          <w:bCs/>
        </w:rPr>
        <w:t>il numero 1 nella soddisfazione del cliente</w:t>
      </w:r>
      <w:r w:rsidRPr="001356BE">
        <w:t xml:space="preserve"> per i nostri prodotti e servizi in ogni mercato. Presteremo un</w:t>
      </w:r>
      <w:r w:rsidR="005D022F">
        <w:t>’</w:t>
      </w:r>
      <w:r w:rsidRPr="001356BE">
        <w:t>attenzione eccezionale all</w:t>
      </w:r>
      <w:r w:rsidR="005D022F">
        <w:t>’</w:t>
      </w:r>
      <w:r w:rsidRPr="001356BE">
        <w:t xml:space="preserve">esperienza completa end-to-end, lavorando per eliminare qualsiasi ostacolo in tutta la catena del valore. </w:t>
      </w:r>
      <w:r w:rsidRPr="00E50592">
        <w:rPr>
          <w:b/>
          <w:bCs/>
        </w:rPr>
        <w:t>Guideremo il mercato dei veicoli commerciali</w:t>
      </w:r>
      <w:r w:rsidRPr="001356BE">
        <w:t xml:space="preserve"> con il più efficiente portafoglio di prodotti e servizi portando soluzioni eccezionali ai nostri clienti professionali. </w:t>
      </w:r>
    </w:p>
    <w:p w14:paraId="1D5C2DD5" w14:textId="3D0471CC" w:rsidR="007B6819" w:rsidRPr="001356BE" w:rsidRDefault="00F91283" w:rsidP="00882509">
      <w:pPr>
        <w:pStyle w:val="SDatePlace"/>
        <w:jc w:val="both"/>
      </w:pPr>
      <w:r w:rsidRPr="001356BE">
        <w:t xml:space="preserve">Stiamo facendo di Stellantis un </w:t>
      </w:r>
      <w:r w:rsidRPr="001356BE">
        <w:rPr>
          <w:b/>
          <w:bCs/>
        </w:rPr>
        <w:t>luogo straordinario</w:t>
      </w:r>
      <w:r w:rsidR="007B6819" w:rsidRPr="001356BE">
        <w:rPr>
          <w:b/>
          <w:bCs/>
        </w:rPr>
        <w:t xml:space="preserve"> di lavoro</w:t>
      </w:r>
      <w:r w:rsidRPr="001356BE">
        <w:rPr>
          <w:b/>
          <w:bCs/>
        </w:rPr>
        <w:t xml:space="preserve"> e capace di attrarre le persone</w:t>
      </w:r>
      <w:r w:rsidR="007B6819" w:rsidRPr="001356BE">
        <w:rPr>
          <w:b/>
          <w:bCs/>
        </w:rPr>
        <w:t xml:space="preserve"> </w:t>
      </w:r>
      <w:r w:rsidR="007B6819" w:rsidRPr="001356BE">
        <w:t xml:space="preserve">con la voglia di rendere migliore la vita dei clienti, liberando tutto il nostro potenziale per il futuro digitale ed elettrificato. </w:t>
      </w:r>
    </w:p>
    <w:p w14:paraId="51AD434F" w14:textId="1B19090B" w:rsidR="00882509" w:rsidRPr="001356BE" w:rsidRDefault="00882509" w:rsidP="00882509">
      <w:pPr>
        <w:pStyle w:val="SDatePlace"/>
        <w:jc w:val="both"/>
      </w:pPr>
      <w:r w:rsidRPr="001356BE">
        <w:t>Stiamo aggiungendo motori più potenti alle nostre forti operazioni globali. L</w:t>
      </w:r>
      <w:r w:rsidR="005D022F">
        <w:t>’</w:t>
      </w:r>
      <w:r w:rsidRPr="001356BE">
        <w:t xml:space="preserve">eccellenza operativa, la velocità di esecuzione e un punto di pareggio inferiore al 50% delle consegne rimarranno le nostre caratteristiche. </w:t>
      </w:r>
      <w:r w:rsidRPr="00E50592">
        <w:rPr>
          <w:b/>
          <w:bCs/>
        </w:rPr>
        <w:t>Raddoppieremo i nostri ricavi netti entro il 2030 e sosterremo margini di reddito operativo rettificato a due cifre</w:t>
      </w:r>
      <w:r w:rsidRPr="001356BE">
        <w:t xml:space="preserve"> per tutto il decennio.  </w:t>
      </w:r>
    </w:p>
    <w:p w14:paraId="066B2CE0" w14:textId="71592F51" w:rsidR="00F91283" w:rsidRDefault="00D00965" w:rsidP="00A7609F">
      <w:pPr>
        <w:pStyle w:val="SDatePlace"/>
        <w:jc w:val="both"/>
      </w:pPr>
      <w:r w:rsidRPr="001356BE">
        <w:t>Siamo orgogliosi della nostra ricca storia. Mostra la nostra grinta, perseveranza e agilità. A questo aggiungiamo la mentalità</w:t>
      </w:r>
      <w:r w:rsidR="00882509" w:rsidRPr="001356BE">
        <w:t xml:space="preserve"> </w:t>
      </w:r>
      <w:r w:rsidRPr="001356BE">
        <w:t>imprenditori</w:t>
      </w:r>
      <w:r w:rsidR="00882509" w:rsidRPr="001356BE">
        <w:t>ale</w:t>
      </w:r>
      <w:r w:rsidRPr="001356BE">
        <w:t xml:space="preserve"> per realizzare Dare Forward 2030</w:t>
      </w:r>
      <w:r w:rsidR="005D022F">
        <w:t>”</w:t>
      </w:r>
      <w:r w:rsidRPr="001356BE">
        <w:t>.</w:t>
      </w:r>
    </w:p>
    <w:p w14:paraId="4A82DBE9" w14:textId="77777777" w:rsidR="00A7609F" w:rsidRPr="00A7609F" w:rsidRDefault="00A7609F" w:rsidP="00A7609F">
      <w:pPr>
        <w:pStyle w:val="SDatePlace"/>
        <w:jc w:val="both"/>
      </w:pPr>
    </w:p>
    <w:p w14:paraId="568A9ECE" w14:textId="528F6D76" w:rsidR="00F91283" w:rsidRDefault="00F91283" w:rsidP="00F91283">
      <w:pPr>
        <w:pStyle w:val="SDatePlace"/>
        <w:rPr>
          <w:b/>
          <w:bCs/>
        </w:rPr>
      </w:pPr>
      <w:r>
        <w:rPr>
          <w:b/>
          <w:bCs/>
        </w:rPr>
        <w:t>Punti salienti di Dare Forward 2030: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6501"/>
      </w:tblGrid>
      <w:tr w:rsidR="00F91283" w:rsidRPr="00F91283" w14:paraId="3F2456DA" w14:textId="77777777" w:rsidTr="00D842FB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4" w:space="0" w:color="243782" w:themeColor="accent1"/>
              <w:bottom w:val="single" w:sz="4" w:space="0" w:color="243782" w:themeColor="accent1"/>
              <w:right w:val="single" w:sz="4" w:space="0" w:color="243782" w:themeColor="accent1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9BAA9" w14:textId="77777777" w:rsidR="00F91283" w:rsidRPr="00F91283" w:rsidRDefault="00F91283" w:rsidP="0069341C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FONDAMENTA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243782" w:themeColor="accent1"/>
              <w:bottom w:val="single" w:sz="4" w:space="0" w:color="243782" w:themeColor="accent1"/>
              <w:right w:val="single" w:sz="4" w:space="0" w:color="243782" w:themeColor="accent1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AE1C7" w14:textId="0C6D7BE3" w:rsidR="00F91283" w:rsidRPr="00F91283" w:rsidRDefault="00F91283" w:rsidP="00F91283">
            <w:pPr>
              <w:spacing w:after="0"/>
              <w:ind w:left="45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i/>
                <w:iCs/>
                <w:color w:val="FFFFFF"/>
                <w:sz w:val="22"/>
                <w:szCs w:val="22"/>
              </w:rPr>
              <w:t>Diversità, eccellenza operativa, marchi iconici e un portafoglio di prodotti fortemente voluto e ragionato sono i fattori distintivi di Stellantis, che ci consentono di non essere secondi a nessuno e che spingono l</w:t>
            </w:r>
            <w:r w:rsidR="005D022F">
              <w:rPr>
                <w:i/>
                <w:iCs/>
                <w:color w:val="FFFFFF"/>
                <w:sz w:val="22"/>
                <w:szCs w:val="22"/>
              </w:rPr>
              <w:t>’</w:t>
            </w:r>
            <w:r>
              <w:rPr>
                <w:i/>
                <w:iCs/>
                <w:color w:val="FFFFFF"/>
                <w:sz w:val="22"/>
                <w:szCs w:val="22"/>
              </w:rPr>
              <w:t>azienda verso il futuro.</w:t>
            </w:r>
          </w:p>
        </w:tc>
      </w:tr>
      <w:tr w:rsidR="00F91283" w:rsidRPr="00F91283" w14:paraId="5EDDB66E" w14:textId="77777777" w:rsidTr="00F91283"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8" w:space="0" w:color="000000"/>
              <w:right w:val="single" w:sz="4" w:space="0" w:color="243782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4AE94" w14:textId="77777777" w:rsidR="00F91283" w:rsidRPr="00F91283" w:rsidRDefault="00F91283" w:rsidP="00F91283">
            <w:pPr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8" w:space="0" w:color="000000"/>
              <w:right w:val="single" w:sz="4" w:space="0" w:color="243782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A453F" w14:textId="77777777" w:rsidR="00F91283" w:rsidRPr="00F91283" w:rsidRDefault="00F91283" w:rsidP="00F91283">
            <w:pPr>
              <w:numPr>
                <w:ilvl w:val="0"/>
                <w:numId w:val="12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Una comunità di dipendenti che comprende 170 nazionalità in sei aree geografiche</w:t>
            </w:r>
          </w:p>
          <w:p w14:paraId="1E4F67DE" w14:textId="46B5EA9A" w:rsidR="00F91283" w:rsidRPr="00F91283" w:rsidRDefault="00F91283" w:rsidP="00F91283">
            <w:pPr>
              <w:numPr>
                <w:ilvl w:val="0"/>
                <w:numId w:val="12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Raggiungimento del</w:t>
            </w:r>
            <w:r w:rsidR="00A7609F">
              <w:rPr>
                <w:color w:val="000000"/>
                <w:sz w:val="22"/>
                <w:szCs w:val="22"/>
              </w:rPr>
              <w:t xml:space="preserve"> 100</w:t>
            </w:r>
            <w:r>
              <w:rPr>
                <w:color w:val="000000"/>
                <w:sz w:val="22"/>
                <w:szCs w:val="22"/>
              </w:rPr>
              <w:t>% dell</w:t>
            </w:r>
            <w:r w:rsidR="005D022F">
              <w:rPr>
                <w:color w:val="000000"/>
                <w:sz w:val="22"/>
                <w:szCs w:val="22"/>
              </w:rPr>
              <w:t>’</w:t>
            </w:r>
            <w:r>
              <w:rPr>
                <w:color w:val="000000"/>
                <w:sz w:val="22"/>
                <w:szCs w:val="22"/>
              </w:rPr>
              <w:t>obiettivo di 5 miliardi di euro di sinergie di cassa annuali entro la fine del 2024</w:t>
            </w:r>
          </w:p>
          <w:p w14:paraId="67506B4A" w14:textId="6014EA7D" w:rsidR="00F91283" w:rsidRPr="00F91283" w:rsidRDefault="00F91283" w:rsidP="00F91283">
            <w:pPr>
              <w:numPr>
                <w:ilvl w:val="0"/>
                <w:numId w:val="12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Mantenimento del punto di pareggio a meno del </w:t>
            </w:r>
            <w:r w:rsidR="00A7609F">
              <w:rPr>
                <w:color w:val="000000"/>
                <w:sz w:val="22"/>
                <w:szCs w:val="22"/>
                <w:shd w:val="clear" w:color="auto" w:fill="FFFFFF"/>
              </w:rPr>
              <w:t>50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% delle consegne consolidate</w:t>
            </w:r>
          </w:p>
          <w:p w14:paraId="1330E634" w14:textId="432455DC" w:rsidR="00F91283" w:rsidRPr="00F91283" w:rsidRDefault="00A7609F" w:rsidP="00F91283">
            <w:pPr>
              <w:numPr>
                <w:ilvl w:val="0"/>
                <w:numId w:val="12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A7609F">
              <w:rPr>
                <w:color w:val="000000"/>
                <w:sz w:val="22"/>
                <w:szCs w:val="22"/>
              </w:rPr>
              <w:t xml:space="preserve">Vendite globali BEV di cinque milioni di unità nel 2030, raggiungendo il 100% del mix di vendite BEV di autovetture in Europa e il 50% di autovetture e </w:t>
            </w:r>
            <w:r>
              <w:rPr>
                <w:color w:val="000000"/>
                <w:sz w:val="22"/>
                <w:szCs w:val="22"/>
              </w:rPr>
              <w:t>veicoli</w:t>
            </w:r>
            <w:r w:rsidRPr="00A7609F">
              <w:rPr>
                <w:color w:val="000000"/>
                <w:sz w:val="22"/>
                <w:szCs w:val="22"/>
              </w:rPr>
              <w:t xml:space="preserve"> leggeri negli Stati Uniti   </w:t>
            </w:r>
          </w:p>
          <w:p w14:paraId="55FC1715" w14:textId="3239A382" w:rsidR="00F91283" w:rsidRPr="00F91283" w:rsidRDefault="00F91283" w:rsidP="00F91283">
            <w:pPr>
              <w:numPr>
                <w:ilvl w:val="0"/>
                <w:numId w:val="12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</w:t>
            </w:r>
            <w:r w:rsidR="00A7609F">
              <w:rPr>
                <w:color w:val="000000"/>
                <w:sz w:val="22"/>
                <w:szCs w:val="22"/>
              </w:rPr>
              <w:t>der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7609F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el settore con più di </w:t>
            </w:r>
            <w:r w:rsidR="00A7609F">
              <w:rPr>
                <w:color w:val="000000"/>
                <w:sz w:val="22"/>
                <w:szCs w:val="22"/>
              </w:rPr>
              <w:t xml:space="preserve">75 </w:t>
            </w:r>
            <w:r>
              <w:rPr>
                <w:color w:val="000000"/>
                <w:sz w:val="22"/>
                <w:szCs w:val="22"/>
              </w:rPr>
              <w:t xml:space="preserve">BEV, </w:t>
            </w:r>
            <w:r w:rsidR="00A7609F">
              <w:rPr>
                <w:color w:val="000000"/>
                <w:sz w:val="22"/>
                <w:szCs w:val="22"/>
              </w:rPr>
              <w:t>tra cui</w:t>
            </w:r>
            <w:r>
              <w:rPr>
                <w:color w:val="000000"/>
                <w:sz w:val="22"/>
                <w:szCs w:val="22"/>
              </w:rPr>
              <w:t xml:space="preserve"> il primo SUV 100% elettrico</w:t>
            </w:r>
            <w:r w:rsidR="00331302">
              <w:rPr>
                <w:color w:val="000000"/>
                <w:sz w:val="22"/>
                <w:szCs w:val="22"/>
              </w:rPr>
              <w:t xml:space="preserve"> a batteria</w:t>
            </w:r>
            <w:r>
              <w:rPr>
                <w:color w:val="000000"/>
                <w:sz w:val="22"/>
                <w:szCs w:val="22"/>
              </w:rPr>
              <w:t xml:space="preserve"> del marchio Jeep®, che sarà lanciato all</w:t>
            </w:r>
            <w:r w:rsidR="005D022F">
              <w:rPr>
                <w:color w:val="000000"/>
                <w:sz w:val="22"/>
                <w:szCs w:val="22"/>
              </w:rPr>
              <w:t>’</w:t>
            </w:r>
            <w:r>
              <w:rPr>
                <w:color w:val="000000"/>
                <w:sz w:val="22"/>
                <w:szCs w:val="22"/>
              </w:rPr>
              <w:t>inizio del 2023, seguito dal Ram ProMaster BEV più avanti nel 2023 e il pickup Ram BEV nel 2024</w:t>
            </w:r>
          </w:p>
          <w:p w14:paraId="430E5154" w14:textId="35DFE84A" w:rsidR="00F91283" w:rsidRPr="00F91283" w:rsidRDefault="00F91283" w:rsidP="00F91283">
            <w:pPr>
              <w:numPr>
                <w:ilvl w:val="0"/>
                <w:numId w:val="12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Offensiva di prodotto specifica negli Stati Uniti di oltre </w:t>
            </w:r>
            <w:r w:rsidR="00331302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nuovi BEV</w:t>
            </w:r>
          </w:p>
          <w:p w14:paraId="1752CF0C" w14:textId="70B4D13D" w:rsidR="00F91283" w:rsidRPr="00F91283" w:rsidRDefault="00331302" w:rsidP="00F91283">
            <w:pPr>
              <w:numPr>
                <w:ilvl w:val="0"/>
                <w:numId w:val="12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331302">
              <w:rPr>
                <w:color w:val="000000"/>
                <w:sz w:val="22"/>
                <w:szCs w:val="22"/>
                <w:shd w:val="clear" w:color="auto" w:fill="FFFFFF"/>
              </w:rPr>
              <w:t>I ricavi delle nuove auto dai segmenti dei veicoli premium e di lusso aumenteranno di quattro volte</w:t>
            </w:r>
          </w:p>
        </w:tc>
      </w:tr>
      <w:tr w:rsidR="00F91283" w:rsidRPr="00F91283" w14:paraId="70E9F396" w14:textId="77777777" w:rsidTr="00DC1F72">
        <w:tc>
          <w:tcPr>
            <w:tcW w:w="0" w:type="auto"/>
            <w:tcBorders>
              <w:top w:val="single" w:sz="4" w:space="0" w:color="243782" w:themeColor="accent1"/>
              <w:left w:val="single" w:sz="8" w:space="0" w:color="000000"/>
              <w:bottom w:val="single" w:sz="4" w:space="0" w:color="243782" w:themeColor="accent1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C8734" w14:textId="77777777" w:rsidR="00F91283" w:rsidRPr="00F91283" w:rsidRDefault="00F91283" w:rsidP="0069341C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TECNOLOGIA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243782" w:themeColor="accent1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BCFA6" w14:textId="3D7C431A" w:rsidR="00F91283" w:rsidRPr="00F91283" w:rsidRDefault="00F91283" w:rsidP="00F91283">
            <w:pPr>
              <w:spacing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i/>
                <w:iCs/>
                <w:color w:val="FFFFFF"/>
                <w:sz w:val="22"/>
                <w:szCs w:val="22"/>
                <w:shd w:val="clear" w:color="auto" w:fill="1C4587"/>
              </w:rPr>
              <w:t>L</w:t>
            </w:r>
            <w:r w:rsidR="005D022F">
              <w:rPr>
                <w:i/>
                <w:iCs/>
                <w:color w:val="FFFFFF"/>
                <w:sz w:val="22"/>
                <w:szCs w:val="22"/>
                <w:shd w:val="clear" w:color="auto" w:fill="1C4587"/>
              </w:rPr>
              <w:t>’</w:t>
            </w:r>
            <w:r>
              <w:rPr>
                <w:i/>
                <w:iCs/>
                <w:color w:val="FFFFFF"/>
                <w:sz w:val="22"/>
                <w:szCs w:val="22"/>
                <w:shd w:val="clear" w:color="auto" w:fill="1C4587"/>
              </w:rPr>
              <w:t>ambizione di Stellantis è accogliere idee all</w:t>
            </w:r>
            <w:r w:rsidR="005D022F">
              <w:rPr>
                <w:i/>
                <w:iCs/>
                <w:color w:val="FFFFFF"/>
                <w:sz w:val="22"/>
                <w:szCs w:val="22"/>
                <w:shd w:val="clear" w:color="auto" w:fill="1C4587"/>
              </w:rPr>
              <w:t>’</w:t>
            </w:r>
            <w:r>
              <w:rPr>
                <w:i/>
                <w:iCs/>
                <w:color w:val="FFFFFF"/>
                <w:sz w:val="22"/>
                <w:szCs w:val="22"/>
                <w:shd w:val="clear" w:color="auto" w:fill="1C4587"/>
              </w:rPr>
              <w:t xml:space="preserve">avanguardia per offrire </w:t>
            </w:r>
            <w:r>
              <w:rPr>
                <w:i/>
                <w:iCs/>
                <w:color w:val="FFFFFF"/>
                <w:sz w:val="22"/>
                <w:szCs w:val="22"/>
              </w:rPr>
              <w:t>una mobilità innovativa, pulita, sicura ed economicamente accessibile.</w:t>
            </w:r>
          </w:p>
        </w:tc>
      </w:tr>
      <w:tr w:rsidR="00F91283" w:rsidRPr="00F91283" w14:paraId="041323D5" w14:textId="77777777" w:rsidTr="00D842FB"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4" w:space="0" w:color="243782" w:themeColor="accent1"/>
              <w:right w:val="single" w:sz="4" w:space="0" w:color="243782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2AAFD" w14:textId="77777777" w:rsidR="00F91283" w:rsidRPr="00F91283" w:rsidRDefault="00F91283" w:rsidP="00F91283">
            <w:pPr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4" w:space="0" w:color="243782" w:themeColor="accent1"/>
              <w:right w:val="single" w:sz="4" w:space="0" w:color="243782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6A285" w14:textId="6E8BB4CF" w:rsidR="00F91283" w:rsidRPr="00F91283" w:rsidRDefault="00F91283" w:rsidP="00F91283">
            <w:pPr>
              <w:numPr>
                <w:ilvl w:val="0"/>
                <w:numId w:val="13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Conferma degli impegni dell</w:t>
            </w:r>
            <w:r w:rsidR="005D022F">
              <w:rPr>
                <w:color w:val="000000"/>
                <w:sz w:val="22"/>
                <w:szCs w:val="22"/>
                <w:shd w:val="clear" w:color="auto" w:fill="FFFFFF"/>
              </w:rPr>
              <w:t>’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EV Day e del Software Day</w:t>
            </w:r>
          </w:p>
          <w:p w14:paraId="1925B6C3" w14:textId="1D0EC0B7" w:rsidR="00F91283" w:rsidRPr="00F91283" w:rsidRDefault="00F91283" w:rsidP="00F91283">
            <w:pPr>
              <w:numPr>
                <w:ilvl w:val="0"/>
                <w:numId w:val="13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Aumento della capacità delle batterie d</w:t>
            </w:r>
            <w:r w:rsidR="00BC5852">
              <w:rPr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31302">
              <w:rPr>
                <w:color w:val="000000"/>
                <w:sz w:val="22"/>
                <w:szCs w:val="22"/>
                <w:shd w:val="clear" w:color="auto" w:fill="FFFFFF"/>
              </w:rPr>
              <w:t>140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gigawattora (GWh) a 400 GWh </w:t>
            </w:r>
          </w:p>
          <w:p w14:paraId="56E126A3" w14:textId="725C3DEF" w:rsidR="00F91283" w:rsidRPr="00F91283" w:rsidRDefault="00F91283" w:rsidP="00F91283">
            <w:pPr>
              <w:numPr>
                <w:ilvl w:val="0"/>
                <w:numId w:val="13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Estensione della tecnologia a celle a combustibile a idrogeno ai furgoni di grandi dimensioni nel</w:t>
            </w:r>
            <w:r w:rsidR="00331302">
              <w:rPr>
                <w:color w:val="000000"/>
                <w:sz w:val="22"/>
                <w:szCs w:val="22"/>
                <w:shd w:val="clear" w:color="auto" w:fill="FFFFFF"/>
              </w:rPr>
              <w:t xml:space="preserve"> 2024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prima offerta negli Stati Uniti nel </w:t>
            </w:r>
            <w:r w:rsidR="00331302">
              <w:rPr>
                <w:color w:val="000000"/>
                <w:sz w:val="22"/>
                <w:szCs w:val="22"/>
                <w:shd w:val="clear" w:color="auto" w:fill="FFFFFF"/>
              </w:rPr>
              <w:t>2025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; ulteriore estensione ai veicoli commerciali pesanti</w:t>
            </w:r>
          </w:p>
          <w:p w14:paraId="16942637" w14:textId="77777777" w:rsidR="00F91283" w:rsidRPr="00F91283" w:rsidRDefault="00F91283" w:rsidP="00F91283">
            <w:pPr>
              <w:numPr>
                <w:ilvl w:val="0"/>
                <w:numId w:val="13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Con Waymo, apertura della strada al servizio di consegna sostenibile</w:t>
            </w:r>
          </w:p>
          <w:p w14:paraId="4C8ACE24" w14:textId="3BC044F2" w:rsidR="00F91283" w:rsidRPr="00F91283" w:rsidRDefault="00F91283" w:rsidP="00F91283">
            <w:pPr>
              <w:numPr>
                <w:ilvl w:val="0"/>
                <w:numId w:val="13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Annuncio di Stellantis Corporate Venture Fund, con un finanziamento iniziale di </w:t>
            </w:r>
            <w:r w:rsidR="00BC5852">
              <w:rPr>
                <w:color w:val="000000"/>
                <w:sz w:val="22"/>
                <w:szCs w:val="22"/>
                <w:shd w:val="clear" w:color="auto" w:fill="FFFFFF"/>
              </w:rPr>
              <w:t>300 milioni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euro per l</w:t>
            </w:r>
            <w:r w:rsidR="005D022F">
              <w:rPr>
                <w:color w:val="000000"/>
                <w:sz w:val="22"/>
                <w:szCs w:val="22"/>
                <w:shd w:val="clear" w:color="auto" w:fill="FFFFFF"/>
              </w:rPr>
              <w:t>’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adozione di tecnologie avanzate</w:t>
            </w:r>
          </w:p>
        </w:tc>
      </w:tr>
      <w:tr w:rsidR="00F91283" w:rsidRPr="00F91283" w14:paraId="24E7948B" w14:textId="77777777" w:rsidTr="00D842FB">
        <w:tc>
          <w:tcPr>
            <w:tcW w:w="0" w:type="auto"/>
            <w:tcBorders>
              <w:top w:val="single" w:sz="4" w:space="0" w:color="243782" w:themeColor="accent1"/>
              <w:left w:val="single" w:sz="8" w:space="0" w:color="000000"/>
              <w:bottom w:val="single" w:sz="4" w:space="0" w:color="243782" w:themeColor="accent1"/>
              <w:right w:val="single" w:sz="4" w:space="0" w:color="243782" w:themeColor="accent1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2534E" w14:textId="77777777" w:rsidR="00F91283" w:rsidRPr="00F91283" w:rsidRDefault="00F91283" w:rsidP="0069341C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ETICA</w:t>
            </w:r>
          </w:p>
        </w:tc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4" w:space="0" w:color="243782" w:themeColor="accent1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2C8A2" w14:textId="5C4D4D17" w:rsidR="00F91283" w:rsidRPr="00F91283" w:rsidRDefault="00F91283" w:rsidP="00F91283">
            <w:pPr>
              <w:spacing w:after="0"/>
              <w:ind w:left="45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i/>
                <w:iCs/>
                <w:color w:val="FFFFFF"/>
                <w:sz w:val="22"/>
                <w:szCs w:val="22"/>
              </w:rPr>
              <w:t xml:space="preserve">La responsabilità etica è al centro di Stellantis, per assicurare un futuro di mobilità sostenibile per i nostri clienti, i nostri dipendenti e il </w:t>
            </w:r>
            <w:r w:rsidR="00BC5852">
              <w:rPr>
                <w:i/>
                <w:iCs/>
                <w:color w:val="FFFFFF"/>
                <w:sz w:val="22"/>
                <w:szCs w:val="22"/>
              </w:rPr>
              <w:t xml:space="preserve">nostro </w:t>
            </w:r>
            <w:r>
              <w:rPr>
                <w:i/>
                <w:iCs/>
                <w:color w:val="FFFFFF"/>
                <w:sz w:val="22"/>
                <w:szCs w:val="22"/>
              </w:rPr>
              <w:t>pianeta.</w:t>
            </w:r>
          </w:p>
        </w:tc>
      </w:tr>
      <w:tr w:rsidR="00F91283" w:rsidRPr="00F91283" w14:paraId="2D1D9074" w14:textId="77777777" w:rsidTr="00D842FB"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4" w:space="0" w:color="243782" w:themeColor="accent1"/>
              <w:right w:val="single" w:sz="4" w:space="0" w:color="243782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A59FB" w14:textId="77777777" w:rsidR="00F91283" w:rsidRPr="00F91283" w:rsidRDefault="00F91283" w:rsidP="00F91283">
            <w:pPr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4" w:space="0" w:color="243782" w:themeColor="accent1"/>
              <w:right w:val="single" w:sz="4" w:space="0" w:color="243782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AE8F2" w14:textId="6753026D" w:rsidR="00F91283" w:rsidRPr="00F91283" w:rsidRDefault="005E1B1A" w:rsidP="00F91283">
            <w:pPr>
              <w:numPr>
                <w:ilvl w:val="0"/>
                <w:numId w:val="14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Riduzione delle emissioni di anidride carbonica del </w:t>
            </w:r>
            <w:r w:rsidR="00BC5852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% entro il 2030, rispetto alle metriche del 2021, verso il traguardo </w:t>
            </w:r>
            <w:r w:rsidR="00BC5852">
              <w:rPr>
                <w:color w:val="000000"/>
                <w:sz w:val="22"/>
                <w:szCs w:val="22"/>
              </w:rPr>
              <w:t xml:space="preserve">di </w:t>
            </w:r>
            <w:r>
              <w:rPr>
                <w:color w:val="000000"/>
                <w:sz w:val="22"/>
                <w:szCs w:val="22"/>
              </w:rPr>
              <w:t xml:space="preserve">zero emissioni entro il </w:t>
            </w:r>
            <w:r w:rsidR="00BC5852">
              <w:rPr>
                <w:color w:val="000000"/>
                <w:sz w:val="22"/>
                <w:szCs w:val="22"/>
              </w:rPr>
              <w:t>2038</w:t>
            </w:r>
          </w:p>
          <w:p w14:paraId="61E761EE" w14:textId="5CF4A7B5" w:rsidR="00F91283" w:rsidRPr="00F91283" w:rsidRDefault="00F91283" w:rsidP="00F91283">
            <w:pPr>
              <w:numPr>
                <w:ilvl w:val="0"/>
                <w:numId w:val="14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Unità operativa per l</w:t>
            </w:r>
            <w:r w:rsidR="005D022F">
              <w:rPr>
                <w:color w:val="000000"/>
                <w:sz w:val="22"/>
                <w:szCs w:val="22"/>
              </w:rPr>
              <w:t>’</w:t>
            </w:r>
            <w:r>
              <w:rPr>
                <w:color w:val="000000"/>
                <w:sz w:val="22"/>
                <w:szCs w:val="22"/>
              </w:rPr>
              <w:t>economia circolare</w:t>
            </w:r>
          </w:p>
          <w:p w14:paraId="04A4D562" w14:textId="77777777" w:rsidR="00F91283" w:rsidRPr="00F91283" w:rsidRDefault="00F91283" w:rsidP="00F91283">
            <w:pPr>
              <w:numPr>
                <w:ilvl w:val="0"/>
                <w:numId w:val="14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Obiettivo della massima soddisfazione dei clienti per tutti i prodotti e servizi</w:t>
            </w:r>
          </w:p>
          <w:p w14:paraId="429AD5FC" w14:textId="2A71C662" w:rsidR="00F91283" w:rsidRPr="00F91283" w:rsidRDefault="00F91283" w:rsidP="00F91283">
            <w:pPr>
              <w:numPr>
                <w:ilvl w:val="0"/>
                <w:numId w:val="14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Ruoli di leadership ricoperti da donne per almeno il </w:t>
            </w:r>
            <w:r w:rsidR="004B7EE5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% </w:t>
            </w:r>
          </w:p>
          <w:p w14:paraId="49100607" w14:textId="5D76F594" w:rsidR="00F91283" w:rsidRPr="00F91283" w:rsidRDefault="004B7EE5" w:rsidP="00F91283">
            <w:pPr>
              <w:numPr>
                <w:ilvl w:val="0"/>
                <w:numId w:val="14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B7EE5">
              <w:rPr>
                <w:rFonts w:eastAsia="Times New Roman" w:cs="Calibri"/>
                <w:color w:val="000000"/>
                <w:sz w:val="22"/>
                <w:szCs w:val="22"/>
              </w:rPr>
              <w:t xml:space="preserve">Raddoppiare il numero di leader con responsabilità di profitti e perdite  </w:t>
            </w:r>
          </w:p>
          <w:p w14:paraId="06C42073" w14:textId="0E0D4DC6" w:rsidR="00F91283" w:rsidRPr="00F91283" w:rsidRDefault="004B7EE5" w:rsidP="00F91283">
            <w:pPr>
              <w:numPr>
                <w:ilvl w:val="0"/>
                <w:numId w:val="14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B7EE5">
              <w:rPr>
                <w:color w:val="000000"/>
                <w:sz w:val="22"/>
                <w:szCs w:val="22"/>
              </w:rPr>
              <w:t>Implementazione di accademie di software e dati ed elettr</w:t>
            </w:r>
            <w:r>
              <w:rPr>
                <w:color w:val="000000"/>
                <w:sz w:val="22"/>
                <w:szCs w:val="22"/>
              </w:rPr>
              <w:t xml:space="preserve">ificazione </w:t>
            </w:r>
            <w:r w:rsidRPr="004B7EE5">
              <w:rPr>
                <w:color w:val="000000"/>
                <w:sz w:val="22"/>
                <w:szCs w:val="22"/>
              </w:rPr>
              <w:t>per supportare la trasformazione</w:t>
            </w:r>
          </w:p>
        </w:tc>
      </w:tr>
      <w:tr w:rsidR="00F91283" w:rsidRPr="00F91283" w14:paraId="2303D31E" w14:textId="77777777" w:rsidTr="00D842FB">
        <w:trPr>
          <w:trHeight w:val="765"/>
        </w:trPr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8" w:space="0" w:color="000000"/>
              <w:right w:val="single" w:sz="4" w:space="0" w:color="243782" w:themeColor="accent1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B8037" w14:textId="77777777" w:rsidR="00F91283" w:rsidRPr="00F91283" w:rsidRDefault="00F91283" w:rsidP="0069341C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VALORE</w:t>
            </w:r>
          </w:p>
        </w:tc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8" w:space="0" w:color="000000"/>
              <w:right w:val="single" w:sz="4" w:space="0" w:color="243782" w:themeColor="accent1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2A229" w14:textId="3C035432" w:rsidR="00F91283" w:rsidRPr="00F91283" w:rsidRDefault="00F91283" w:rsidP="00F91283">
            <w:pPr>
              <w:spacing w:after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i/>
                <w:iCs/>
                <w:color w:val="FFFFFF"/>
                <w:sz w:val="22"/>
                <w:szCs w:val="22"/>
              </w:rPr>
              <w:t>L</w:t>
            </w:r>
            <w:r w:rsidR="005D022F">
              <w:rPr>
                <w:i/>
                <w:iCs/>
                <w:color w:val="FFFFFF"/>
                <w:sz w:val="22"/>
                <w:szCs w:val="22"/>
              </w:rPr>
              <w:t>’</w:t>
            </w:r>
            <w:r>
              <w:rPr>
                <w:i/>
                <w:iCs/>
                <w:color w:val="FFFFFF"/>
                <w:sz w:val="22"/>
                <w:szCs w:val="22"/>
              </w:rPr>
              <w:t xml:space="preserve">ambizione di Stellantis è </w:t>
            </w:r>
            <w:r w:rsidR="000164D1">
              <w:rPr>
                <w:i/>
                <w:iCs/>
                <w:color w:val="FFFFFF"/>
                <w:sz w:val="22"/>
                <w:szCs w:val="22"/>
              </w:rPr>
              <w:t xml:space="preserve">quella di </w:t>
            </w:r>
            <w:r>
              <w:rPr>
                <w:i/>
                <w:iCs/>
                <w:color w:val="FFFFFF"/>
                <w:sz w:val="22"/>
                <w:szCs w:val="22"/>
              </w:rPr>
              <w:t xml:space="preserve">essere </w:t>
            </w:r>
            <w:r w:rsidR="005D022F">
              <w:rPr>
                <w:i/>
                <w:iCs/>
                <w:color w:val="FFFFFF"/>
                <w:sz w:val="22"/>
                <w:szCs w:val="22"/>
              </w:rPr>
              <w:t>“</w:t>
            </w:r>
            <w:r>
              <w:rPr>
                <w:i/>
                <w:iCs/>
                <w:color w:val="FFFFFF"/>
                <w:sz w:val="22"/>
                <w:szCs w:val="22"/>
              </w:rPr>
              <w:t>secondi a nessuno</w:t>
            </w:r>
            <w:r w:rsidR="005D022F">
              <w:rPr>
                <w:i/>
                <w:iCs/>
                <w:color w:val="FFFFFF"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i/>
                <w:iCs/>
                <w:color w:val="FFFFFF"/>
                <w:sz w:val="22"/>
                <w:szCs w:val="22"/>
              </w:rPr>
              <w:t> </w:t>
            </w:r>
            <w:r>
              <w:rPr>
                <w:i/>
                <w:iCs/>
                <w:color w:val="FFFFFF"/>
                <w:sz w:val="22"/>
                <w:szCs w:val="22"/>
              </w:rPr>
              <w:t>in termini di creazione di valore per tutti gli stakeholder, sviluppando</w:t>
            </w:r>
            <w:r w:rsidR="000164D1">
              <w:rPr>
                <w:i/>
                <w:iCs/>
                <w:color w:val="FFFFFF"/>
                <w:sz w:val="22"/>
                <w:szCs w:val="22"/>
              </w:rPr>
              <w:t xml:space="preserve"> allo stesso tempo una</w:t>
            </w:r>
            <w:r>
              <w:rPr>
                <w:i/>
                <w:iCs/>
                <w:color w:val="FFFFFF"/>
                <w:sz w:val="22"/>
                <w:szCs w:val="22"/>
              </w:rPr>
              <w:t xml:space="preserve"> mentalità imprenditoriale.</w:t>
            </w:r>
            <w:r w:rsidR="000164D1">
              <w:rPr>
                <w:i/>
                <w:i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91283" w:rsidRPr="00F91283" w14:paraId="68FDC7F7" w14:textId="77777777" w:rsidTr="00D842FB">
        <w:trPr>
          <w:trHeight w:val="2985"/>
        </w:trPr>
        <w:tc>
          <w:tcPr>
            <w:tcW w:w="0" w:type="auto"/>
            <w:tcBorders>
              <w:top w:val="single" w:sz="8" w:space="0" w:color="000000"/>
              <w:left w:val="single" w:sz="4" w:space="0" w:color="243782" w:themeColor="accent1"/>
              <w:bottom w:val="single" w:sz="4" w:space="0" w:color="243782" w:themeColor="accent1"/>
              <w:right w:val="single" w:sz="4" w:space="0" w:color="243782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6DFAB" w14:textId="77777777" w:rsidR="00F91283" w:rsidRPr="00F91283" w:rsidRDefault="00F91283" w:rsidP="00F91283">
            <w:pPr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243782" w:themeColor="accent1"/>
              <w:bottom w:val="single" w:sz="4" w:space="0" w:color="243782" w:themeColor="accent1"/>
              <w:right w:val="single" w:sz="4" w:space="0" w:color="243782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F7EAF" w14:textId="7F164FC4" w:rsidR="00F91283" w:rsidRPr="00F91283" w:rsidRDefault="00F91283" w:rsidP="00F91283">
            <w:pPr>
              <w:numPr>
                <w:ilvl w:val="0"/>
                <w:numId w:val="15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Raggiungimento di un terzo delle vendite globali online nel </w:t>
            </w:r>
            <w:r w:rsidR="000164D1">
              <w:rPr>
                <w:color w:val="000000"/>
                <w:sz w:val="22"/>
                <w:szCs w:val="22"/>
              </w:rPr>
              <w:t>2030</w:t>
            </w:r>
            <w:r>
              <w:rPr>
                <w:color w:val="000000"/>
                <w:sz w:val="22"/>
                <w:szCs w:val="22"/>
              </w:rPr>
              <w:t>; lancio di un</w:t>
            </w:r>
            <w:r w:rsidR="000164D1">
              <w:rPr>
                <w:color w:val="000000"/>
                <w:sz w:val="22"/>
                <w:szCs w:val="22"/>
              </w:rPr>
              <w:t xml:space="preserve"> mercato</w:t>
            </w:r>
            <w:r>
              <w:rPr>
                <w:color w:val="000000"/>
                <w:sz w:val="22"/>
                <w:szCs w:val="22"/>
              </w:rPr>
              <w:t xml:space="preserve"> digitale globale che offra ai clienti un viaggio senza interruzioni lungo l</w:t>
            </w:r>
            <w:r w:rsidR="005D022F">
              <w:rPr>
                <w:color w:val="000000"/>
                <w:sz w:val="22"/>
                <w:szCs w:val="22"/>
              </w:rPr>
              <w:t>’</w:t>
            </w:r>
            <w:r>
              <w:rPr>
                <w:color w:val="000000"/>
                <w:sz w:val="22"/>
                <w:szCs w:val="22"/>
              </w:rPr>
              <w:t>intera galassia di prodotti e servizi di Stellantis</w:t>
            </w:r>
          </w:p>
          <w:p w14:paraId="022BD812" w14:textId="54C8506C" w:rsidR="00F91283" w:rsidRPr="00F91283" w:rsidRDefault="00B11078" w:rsidP="00F91283">
            <w:pPr>
              <w:numPr>
                <w:ilvl w:val="0"/>
                <w:numId w:val="15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11078">
              <w:rPr>
                <w:rFonts w:eastAsia="Times New Roman" w:cs="Calibri"/>
                <w:color w:val="000000"/>
                <w:sz w:val="22"/>
                <w:szCs w:val="22"/>
              </w:rPr>
              <w:t>Più autonomia per sette attività in crescita: mobilità, servizi finanziari, auto usate, aftermarket, data as-a-service, economia circolare, veicoli commerciali</w:t>
            </w:r>
          </w:p>
          <w:p w14:paraId="670CCB81" w14:textId="0E4B9DF4" w:rsidR="00F91283" w:rsidRPr="00F91283" w:rsidRDefault="00F91283" w:rsidP="00F91283">
            <w:pPr>
              <w:numPr>
                <w:ilvl w:val="0"/>
                <w:numId w:val="15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Leadership nel mercato dei veicoli commerciali, potenziata da </w:t>
            </w:r>
            <w:r w:rsidR="00B11078">
              <w:rPr>
                <w:color w:val="000000"/>
                <w:sz w:val="22"/>
                <w:szCs w:val="22"/>
                <w:shd w:val="clear" w:color="auto" w:fill="FFFFFF"/>
              </w:rPr>
              <w:t>26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nuovi lanci e offerte elettriche in tutti i segmenti, compreso il nuovo Ram 1500 BEV</w:t>
            </w:r>
          </w:p>
          <w:p w14:paraId="70E81111" w14:textId="72139853" w:rsidR="00F91283" w:rsidRPr="00F91283" w:rsidRDefault="00F91283" w:rsidP="00F91283">
            <w:pPr>
              <w:numPr>
                <w:ilvl w:val="0"/>
                <w:numId w:val="15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Più di </w:t>
            </w:r>
            <w:r w:rsidR="00B11078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% dei ricavi netti globali provenienti da aree geografiche al di fuori dell</w:t>
            </w:r>
            <w:r w:rsidR="005D022F">
              <w:rPr>
                <w:color w:val="000000"/>
                <w:sz w:val="22"/>
                <w:szCs w:val="22"/>
              </w:rPr>
              <w:t>’</w:t>
            </w:r>
            <w:r>
              <w:rPr>
                <w:color w:val="000000"/>
                <w:sz w:val="22"/>
                <w:szCs w:val="22"/>
              </w:rPr>
              <w:t>Europa allargata e del Nord America</w:t>
            </w:r>
          </w:p>
          <w:p w14:paraId="11E3BE07" w14:textId="74C434D5" w:rsidR="00F91283" w:rsidRPr="00F91283" w:rsidRDefault="00B11078" w:rsidP="00F91283">
            <w:pPr>
              <w:numPr>
                <w:ilvl w:val="0"/>
                <w:numId w:val="15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11078">
              <w:rPr>
                <w:color w:val="000000"/>
                <w:sz w:val="22"/>
                <w:szCs w:val="22"/>
              </w:rPr>
              <w:t xml:space="preserve">Cina: Piano per il modello di business </w:t>
            </w:r>
            <w:r w:rsidR="005D022F">
              <w:rPr>
                <w:color w:val="000000"/>
                <w:sz w:val="22"/>
                <w:szCs w:val="22"/>
              </w:rPr>
              <w:t>“</w:t>
            </w:r>
            <w:r w:rsidRPr="00B11078">
              <w:rPr>
                <w:color w:val="000000"/>
                <w:sz w:val="22"/>
                <w:szCs w:val="22"/>
              </w:rPr>
              <w:t>asset-light</w:t>
            </w:r>
            <w:r w:rsidR="005D022F">
              <w:rPr>
                <w:color w:val="000000"/>
                <w:sz w:val="22"/>
                <w:szCs w:val="22"/>
              </w:rPr>
              <w:t>”</w:t>
            </w:r>
            <w:r w:rsidRPr="00B11078">
              <w:rPr>
                <w:color w:val="000000"/>
                <w:sz w:val="22"/>
                <w:szCs w:val="22"/>
              </w:rPr>
              <w:t xml:space="preserve"> per ridurre i costi fissi e limitare l</w:t>
            </w:r>
            <w:r w:rsidR="005D022F">
              <w:rPr>
                <w:color w:val="000000"/>
                <w:sz w:val="22"/>
                <w:szCs w:val="22"/>
              </w:rPr>
              <w:t>’</w:t>
            </w:r>
            <w:r w:rsidRPr="00B11078">
              <w:rPr>
                <w:color w:val="000000"/>
                <w:sz w:val="22"/>
                <w:szCs w:val="22"/>
              </w:rPr>
              <w:t>esposizione al rischio geopolitico, con ricavi netti di 20 miliardi di euro</w:t>
            </w:r>
          </w:p>
        </w:tc>
      </w:tr>
      <w:tr w:rsidR="00F91283" w:rsidRPr="00F91283" w14:paraId="6DB5270B" w14:textId="77777777" w:rsidTr="00D842FB">
        <w:trPr>
          <w:trHeight w:val="750"/>
        </w:trPr>
        <w:tc>
          <w:tcPr>
            <w:tcW w:w="0" w:type="auto"/>
            <w:tcBorders>
              <w:top w:val="single" w:sz="4" w:space="0" w:color="243782" w:themeColor="accent1"/>
              <w:left w:val="single" w:sz="8" w:space="0" w:color="000000"/>
              <w:bottom w:val="single" w:sz="4" w:space="0" w:color="243782" w:themeColor="accent1"/>
              <w:right w:val="single" w:sz="4" w:space="0" w:color="243782" w:themeColor="accent1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D3C20" w14:textId="77777777" w:rsidR="00F91283" w:rsidRPr="00F91283" w:rsidRDefault="00F91283" w:rsidP="0069341C">
            <w:pPr>
              <w:spacing w:after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FINANZE</w:t>
            </w:r>
          </w:p>
        </w:tc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4" w:space="0" w:color="243782" w:themeColor="accent1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878F5" w14:textId="020E8261" w:rsidR="00F91283" w:rsidRPr="00F91283" w:rsidRDefault="00B11078" w:rsidP="00B11078">
            <w:pPr>
              <w:spacing w:after="0"/>
              <w:jc w:val="left"/>
              <w:rPr>
                <w:rFonts w:eastAsia="Times New Roman" w:cs="Times New Roman"/>
                <w:szCs w:val="24"/>
              </w:rPr>
            </w:pPr>
            <w:r w:rsidRPr="00B11078">
              <w:rPr>
                <w:i/>
                <w:iCs/>
                <w:color w:val="FFFFFF"/>
                <w:sz w:val="22"/>
                <w:szCs w:val="22"/>
              </w:rPr>
              <w:t>Stellantis gestirà il periodo di transizione verso l</w:t>
            </w:r>
            <w:r w:rsidR="005D022F">
              <w:rPr>
                <w:i/>
                <w:iCs/>
                <w:color w:val="FFFFFF"/>
                <w:sz w:val="22"/>
                <w:szCs w:val="22"/>
              </w:rPr>
              <w:t>’</w:t>
            </w:r>
            <w:r w:rsidRPr="00B11078">
              <w:rPr>
                <w:i/>
                <w:iCs/>
                <w:color w:val="FFFFFF"/>
                <w:sz w:val="22"/>
                <w:szCs w:val="22"/>
              </w:rPr>
              <w:t>elettrificazione fornendo al contempo margini di reddito operativo rettificato (AOI) a due cifre e massimizzando il valore per gli azionisti.</w:t>
            </w:r>
          </w:p>
        </w:tc>
      </w:tr>
      <w:tr w:rsidR="00F91283" w:rsidRPr="00F91283" w14:paraId="4FE3BFB3" w14:textId="77777777" w:rsidTr="00DC1F72">
        <w:trPr>
          <w:trHeight w:val="1769"/>
        </w:trPr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4" w:space="0" w:color="243782" w:themeColor="accent1"/>
              <w:right w:val="single" w:sz="4" w:space="0" w:color="243782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7BB3E" w14:textId="77777777" w:rsidR="00F91283" w:rsidRPr="00F91283" w:rsidRDefault="00F91283" w:rsidP="00F91283">
            <w:pPr>
              <w:spacing w:after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43782" w:themeColor="accent1"/>
              <w:left w:val="single" w:sz="4" w:space="0" w:color="243782" w:themeColor="accent1"/>
              <w:bottom w:val="single" w:sz="4" w:space="0" w:color="243782" w:themeColor="accent1"/>
              <w:right w:val="single" w:sz="4" w:space="0" w:color="243782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7293F" w14:textId="38B2D14C" w:rsidR="00F91283" w:rsidRPr="00F91283" w:rsidRDefault="00F91283" w:rsidP="00F91283">
            <w:pPr>
              <w:numPr>
                <w:ilvl w:val="0"/>
                <w:numId w:val="16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Obiettivo di raddoppiare i ricavi netti a </w:t>
            </w:r>
            <w:r w:rsidR="00B11078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 xml:space="preserve"> miliardi di euro entro il</w:t>
            </w:r>
            <w:r w:rsidR="00B11078">
              <w:rPr>
                <w:color w:val="000000"/>
                <w:sz w:val="22"/>
                <w:szCs w:val="22"/>
              </w:rPr>
              <w:t xml:space="preserve"> 2030</w:t>
            </w:r>
            <w:r>
              <w:rPr>
                <w:color w:val="000000"/>
                <w:sz w:val="22"/>
                <w:szCs w:val="22"/>
              </w:rPr>
              <w:t xml:space="preserve"> e sostenere i margini di </w:t>
            </w:r>
            <w:r w:rsidR="00B11078">
              <w:rPr>
                <w:color w:val="000000"/>
                <w:sz w:val="22"/>
                <w:szCs w:val="22"/>
              </w:rPr>
              <w:t>reddito</w:t>
            </w:r>
            <w:r>
              <w:rPr>
                <w:color w:val="000000"/>
                <w:sz w:val="22"/>
                <w:szCs w:val="22"/>
              </w:rPr>
              <w:t xml:space="preserve"> operativo</w:t>
            </w:r>
            <w:r w:rsidR="00B11078">
              <w:rPr>
                <w:color w:val="000000"/>
                <w:sz w:val="22"/>
                <w:szCs w:val="22"/>
              </w:rPr>
              <w:t xml:space="preserve"> rettificato</w:t>
            </w:r>
            <w:r>
              <w:rPr>
                <w:color w:val="000000"/>
                <w:sz w:val="22"/>
                <w:szCs w:val="22"/>
              </w:rPr>
              <w:t xml:space="preserve"> (AOI) a due cifre per tutto il periodo del piano</w:t>
            </w:r>
          </w:p>
          <w:p w14:paraId="7D8602B1" w14:textId="08E1EED6" w:rsidR="00F91283" w:rsidRPr="00F91283" w:rsidRDefault="00F91283" w:rsidP="00F91283">
            <w:pPr>
              <w:numPr>
                <w:ilvl w:val="0"/>
                <w:numId w:val="16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Obiettivo di generare più di </w:t>
            </w:r>
            <w:r w:rsidR="00B1107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miliardi di euro in flussi di cassa liberi</w:t>
            </w:r>
            <w:r w:rsidR="00B11078">
              <w:rPr>
                <w:color w:val="000000"/>
                <w:sz w:val="22"/>
                <w:szCs w:val="22"/>
              </w:rPr>
              <w:t xml:space="preserve"> industriali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11078">
              <w:rPr>
                <w:color w:val="000000"/>
                <w:sz w:val="22"/>
                <w:szCs w:val="22"/>
              </w:rPr>
              <w:t>nel 2030</w:t>
            </w:r>
          </w:p>
          <w:p w14:paraId="192231F8" w14:textId="2B9726FE" w:rsidR="00F91283" w:rsidRPr="00F91283" w:rsidRDefault="00F91283" w:rsidP="00F91283">
            <w:pPr>
              <w:numPr>
                <w:ilvl w:val="0"/>
                <w:numId w:val="16"/>
              </w:numPr>
              <w:spacing w:after="0"/>
              <w:ind w:left="360"/>
              <w:jc w:val="left"/>
              <w:textAlignment w:val="baseline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Obiettivo di un rapporto di distribuzione dei dividendi del </w:t>
            </w:r>
            <w:r w:rsidR="00B11078">
              <w:rPr>
                <w:color w:val="000000"/>
                <w:sz w:val="22"/>
                <w:szCs w:val="22"/>
              </w:rPr>
              <w:t>25-30</w:t>
            </w:r>
            <w:r>
              <w:rPr>
                <w:color w:val="000000"/>
                <w:sz w:val="22"/>
                <w:szCs w:val="22"/>
              </w:rPr>
              <w:t xml:space="preserve">% fino al </w:t>
            </w:r>
            <w:r w:rsidR="00B11078">
              <w:rPr>
                <w:color w:val="000000"/>
                <w:sz w:val="22"/>
                <w:szCs w:val="22"/>
              </w:rPr>
              <w:t>2025</w:t>
            </w:r>
            <w:r>
              <w:rPr>
                <w:color w:val="000000"/>
                <w:sz w:val="22"/>
                <w:szCs w:val="22"/>
              </w:rPr>
              <w:t xml:space="preserve"> e del riacquisto</w:t>
            </w:r>
            <w:r w:rsidR="004000AC">
              <w:rPr>
                <w:color w:val="000000"/>
                <w:sz w:val="22"/>
                <w:szCs w:val="22"/>
              </w:rPr>
              <w:t xml:space="preserve"> fino al 5</w:t>
            </w:r>
            <w:r>
              <w:rPr>
                <w:color w:val="000000"/>
                <w:sz w:val="22"/>
                <w:szCs w:val="22"/>
              </w:rPr>
              <w:t>% de</w:t>
            </w:r>
            <w:r w:rsidR="004000AC">
              <w:rPr>
                <w:color w:val="000000"/>
                <w:sz w:val="22"/>
                <w:szCs w:val="22"/>
              </w:rPr>
              <w:t>lle azioni ordinarie in circolazione</w:t>
            </w:r>
          </w:p>
        </w:tc>
      </w:tr>
    </w:tbl>
    <w:p w14:paraId="0FDDAB52" w14:textId="77777777" w:rsidR="00F91283" w:rsidRPr="00F91283" w:rsidRDefault="00F91283" w:rsidP="00F91283">
      <w:pPr>
        <w:pStyle w:val="SDatePlace"/>
        <w:rPr>
          <w:b/>
          <w:bCs/>
        </w:rPr>
      </w:pPr>
    </w:p>
    <w:p w14:paraId="569B6AF4" w14:textId="77777777" w:rsidR="00B96799" w:rsidRPr="00B96799" w:rsidRDefault="00B96799" w:rsidP="00B96799">
      <w:pPr>
        <w:pStyle w:val="SSubtitle"/>
      </w:pPr>
      <w:r>
        <w:t>Stellantis</w:t>
      </w:r>
    </w:p>
    <w:p w14:paraId="2362F8C5" w14:textId="77777777" w:rsidR="00B96799" w:rsidRPr="00A14F62" w:rsidRDefault="000B5277" w:rsidP="00B96799">
      <w:pPr>
        <w:pStyle w:val="STextitalic"/>
      </w:pPr>
      <w: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0" w:history="1">
        <w:r>
          <w:rPr>
            <w:rStyle w:val="Hyperlink"/>
          </w:rPr>
          <w:t>http://www.stellantis.com/it</w:t>
        </w:r>
      </w:hyperlink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132CD2B4" w14:textId="77777777" w:rsidTr="7F302A45">
        <w:trPr>
          <w:trHeight w:val="729"/>
        </w:trPr>
        <w:tc>
          <w:tcPr>
            <w:tcW w:w="579" w:type="dxa"/>
            <w:vAlign w:val="center"/>
          </w:tcPr>
          <w:p w14:paraId="26EE6726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CA120F" wp14:editId="3A239DE5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2F7DE85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1A20534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36D28DF" wp14:editId="0DC59BD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526D4A1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1DB81389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0F8AD72" wp14:editId="0F22D18C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39D22997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4E924FE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5CDA753" wp14:editId="7D98EF38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5E0F7C9F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5D022F" w14:paraId="1727BC08" w14:textId="77777777" w:rsidTr="7F302A4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399C0F4B" w14:textId="77777777" w:rsidR="001E6C1E" w:rsidRPr="005D022F" w:rsidRDefault="001E6C1E" w:rsidP="00F903F7">
            <w:r w:rsidRPr="005D022F">
              <mc:AlternateContent>
                <mc:Choice Requires="wps">
                  <w:drawing>
                    <wp:inline distT="0" distB="0" distL="0" distR="0" wp14:anchorId="6F1E2FE7" wp14:editId="742094C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4FDDFA3D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F8D37B2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3038A29" w14:textId="77777777" w:rsidR="001E6C1E" w:rsidRPr="005D022F" w:rsidRDefault="001E6C1E" w:rsidP="00F903F7">
            <w:pPr>
              <w:pStyle w:val="SContact-Title"/>
            </w:pPr>
            <w:bookmarkStart w:id="0" w:name="_Hlk61784883"/>
            <w:r w:rsidRPr="005D022F">
              <w:t>Per maggiori informazioni, contattare:</w:t>
            </w:r>
          </w:p>
          <w:p w14:paraId="29D81F89" w14:textId="1FE9E43C" w:rsidR="000B5277" w:rsidRPr="005D022F" w:rsidRDefault="005D022F" w:rsidP="000B5277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D72A9ED5BF54466D855A4434F4DF821F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A0B04F5558948FB8A39814AF4AEACF8"/>
                    </w:placeholder>
                    <w15:appearance w15:val="hidden"/>
                  </w:sdtPr>
                  <w:sdtEndPr/>
                  <w:sdtContent>
                    <w:r>
                      <w:rPr>
                        <w:sz w:val="20"/>
                      </w:rPr>
                      <w:t>Fernã</w:t>
                    </w:r>
                    <w:r w:rsidR="00D37784" w:rsidRPr="005D022F">
                      <w:rPr>
                        <w:sz w:val="20"/>
                      </w:rPr>
                      <w:t>o SILVEIRA</w:t>
                    </w:r>
                  </w:sdtContent>
                </w:sdt>
                <w:r w:rsidR="00D37784" w:rsidRPr="005D022F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12911504D9F54841871DD3FA6C384008"/>
                    </w:placeholder>
                    <w15:appearance w15:val="hidden"/>
                  </w:sdtPr>
                  <w:sdtEndPr/>
                  <w:sdtContent>
                    <w:r w:rsidR="00D37784" w:rsidRPr="005D022F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</w:sdtContent>
                </w:sdt>
              </w:sdtContent>
            </w:sdt>
          </w:p>
          <w:p w14:paraId="633EA009" w14:textId="4A182BCC" w:rsidR="000B5277" w:rsidRPr="005D022F" w:rsidRDefault="005D022F" w:rsidP="000B5277">
            <w:pPr>
              <w:pStyle w:val="SContact-Sendersinfo"/>
            </w:pPr>
            <w:sdt>
              <w:sdtPr>
                <w:rPr>
                  <w:sz w:val="20"/>
                </w:rPr>
                <w:id w:val="-589388443"/>
                <w:placeholder>
                  <w:docPart w:val="6D013AEFD66646EF83BADEE2148604BB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-646906505"/>
                    <w:placeholder>
                      <w:docPart w:val="90EB719C6FBE4CF9B2D418285C2FCD6A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044247484"/>
                        <w:placeholder>
                          <w:docPart w:val="D9402A7B7CB942BBB73CE32374DB8753"/>
                        </w:placeholder>
                        <w15:appearance w15:val="hidden"/>
                      </w:sdtPr>
                      <w:sdtEndPr/>
                      <w:sdtContent>
                        <w:r>
                          <w:rPr>
                            <w:sz w:val="20"/>
                          </w:rPr>
                          <w:t>Valé</w:t>
                        </w:r>
                        <w:bookmarkStart w:id="1" w:name="_GoBack"/>
                        <w:bookmarkEnd w:id="1"/>
                        <w:r w:rsidR="00D37784" w:rsidRPr="005D022F">
                          <w:rPr>
                            <w:sz w:val="20"/>
                          </w:rPr>
                          <w:t>rie GILLOT</w:t>
                        </w:r>
                      </w:sdtContent>
                    </w:sdt>
                    <w:r w:rsidR="00D37784" w:rsidRPr="005D022F">
                      <w:rPr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475533824"/>
                        <w:placeholder>
                          <w:docPart w:val="07E845D23EDC408DB7ADCC4DB43A898E"/>
                        </w:placeholder>
                        <w15:appearance w15:val="hidden"/>
                      </w:sdtPr>
                      <w:sdtEndPr/>
                      <w:sdtContent>
                        <w:r w:rsidR="00D37784" w:rsidRPr="005D022F">
                          <w:rPr>
                            <w:rFonts w:ascii="Encode Sans ExpandedLight" w:hAnsi="Encode Sans ExpandedLight"/>
                            <w:sz w:val="20"/>
                          </w:rPr>
                          <w:t>+33 6 83 92 92 96 – valerie.gillot@stellantis.com</w:t>
                        </w:r>
                      </w:sdtContent>
                    </w:sdt>
                  </w:sdtContent>
                </w:sdt>
                <w:r w:rsidR="00D37784" w:rsidRPr="005D022F">
                  <w:rPr>
                    <w:sz w:val="20"/>
                  </w:rPr>
                  <w:t xml:space="preserve">                     Nathalie ROUSSEL</w:t>
                </w:r>
              </w:sdtContent>
            </w:sdt>
            <w:r w:rsidR="00D37784" w:rsidRPr="005D022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1F53F630E22548D09C93BBFF2B5A3ECA"/>
                </w:placeholder>
                <w15:appearance w15:val="hidden"/>
              </w:sdtPr>
              <w:sdtEndPr/>
              <w:sdtContent>
                <w:r w:rsidR="00D37784" w:rsidRPr="005D022F">
                  <w:rPr>
                    <w:rFonts w:asciiTheme="minorHAnsi" w:hAnsiTheme="minorHAnsi"/>
                    <w:sz w:val="20"/>
                  </w:rPr>
                  <w:t>+ 33 6 87 77 41 82 – nathalie.roussel@stellantis.com</w:t>
                </w:r>
              </w:sdtContent>
            </w:sdt>
            <w:r w:rsidR="00D37784" w:rsidRPr="005D022F">
              <w:t xml:space="preserve"> </w:t>
            </w:r>
          </w:p>
          <w:p w14:paraId="7A8DE5FC" w14:textId="45F10ACE" w:rsidR="001E6C1E" w:rsidRPr="005D022F" w:rsidRDefault="00E51B26" w:rsidP="7F302A45">
            <w:pPr>
              <w:pStyle w:val="SFooter-Emailwebsite"/>
            </w:pPr>
            <w:r w:rsidRPr="005D022F">
              <w:t>communications@stellantis.com</w:t>
            </w:r>
            <w:r w:rsidRPr="005D022F">
              <w:br/>
            </w:r>
            <w:hyperlink r:id="rId15">
              <w:r w:rsidRPr="005D022F">
                <w:rPr>
                  <w:rStyle w:val="Hyperlink"/>
                </w:rPr>
                <w:t>www.stellantis.com</w:t>
              </w:r>
            </w:hyperlink>
            <w:bookmarkEnd w:id="0"/>
          </w:p>
          <w:p w14:paraId="4823C1B2" w14:textId="2664B738" w:rsidR="001E6C1E" w:rsidRPr="005D022F" w:rsidRDefault="001E6C1E" w:rsidP="7F302A45">
            <w:pPr>
              <w:pStyle w:val="SFooter-Emailwebsite"/>
              <w:rPr>
                <w:color w:val="243782" w:themeColor="accent1"/>
                <w:szCs w:val="24"/>
              </w:rPr>
            </w:pPr>
          </w:p>
          <w:p w14:paraId="4690EBCF" w14:textId="238C8007" w:rsidR="001E6C1E" w:rsidRPr="005D022F" w:rsidRDefault="001E6C1E" w:rsidP="7F302A45">
            <w:pPr>
              <w:pStyle w:val="SFooter-Emailwebsite"/>
              <w:rPr>
                <w:color w:val="243782" w:themeColor="accent1"/>
                <w:szCs w:val="24"/>
              </w:rPr>
            </w:pPr>
          </w:p>
          <w:p w14:paraId="0B92665E" w14:textId="1E92840B" w:rsidR="001E6C1E" w:rsidRPr="005D022F" w:rsidRDefault="7F302A45" w:rsidP="7F302A45">
            <w:r w:rsidRPr="005D022F">
              <w:rPr>
                <w:rFonts w:ascii="Encode Sans ExpandedLight" w:eastAsia="Encode Sans ExpandedLight" w:hAnsi="Encode Sans ExpandedLight" w:cs="Encode Sans ExpandedLight"/>
                <w:caps/>
                <w:color w:val="243782" w:themeColor="accent1"/>
                <w:szCs w:val="24"/>
              </w:rPr>
              <w:t>DICHIARAZIONI PREVISIONALI</w:t>
            </w:r>
          </w:p>
          <w:p w14:paraId="18F95E3B" w14:textId="374089EA" w:rsidR="001E6C1E" w:rsidRPr="005D022F" w:rsidRDefault="7F302A45" w:rsidP="7F302A45"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possono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saranno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prevedono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potrebbero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dovrebbero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intendono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stimano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anticipano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credono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rimangono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sulla buona strada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progettano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obiettivo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previsione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proiezione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prospettiva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prospettive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, 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“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piano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”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 xml:space="preserve">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      </w:r>
          </w:p>
          <w:p w14:paraId="7D83DC1C" w14:textId="24DAEF49" w:rsidR="001E6C1E" w:rsidRPr="005D022F" w:rsidRDefault="7F302A45" w:rsidP="7F302A45"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I risultati reali possono differire materialmente da quelli espressi nelle dichiarazioni previsionali in conseguenza di vari fattori, quali: l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’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’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imposizione di tariffe globali e regionali o di tariffe mirate all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’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cui elettrificazione 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’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elevato livello di concorrenza nel settore automobilistico, che potrebbe aumentare a causa del consolidamento; l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’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esposizione a carenze nel finanziamento dei piani pensionistici a benefici definiti di Stellantis; la capacità di fornire o organizzare l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’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’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interruzione o una violazione della sicurezza che comprometta i sistemi informatici o i sistemi di controllo elettronici contenuti nei veicoli di Stellantis; la capacità di Stellantis di realizzare i benefici previsti dagli accordi di joint venture; interruzioni derivanti dall</w:t>
            </w:r>
            <w:r w:rsid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’</w:t>
            </w:r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rischio di credito e altri rischi di mercato; disordini politici e civili; terremoti o altri disastri e altri rischi e incertezze.</w:t>
            </w:r>
          </w:p>
          <w:p w14:paraId="1500E967" w14:textId="034E58AF" w:rsidR="001E6C1E" w:rsidRPr="005D022F" w:rsidRDefault="7F302A45" w:rsidP="7F302A45">
            <w:r w:rsidRPr="005D022F">
              <w:rPr>
                <w:rFonts w:ascii="Encode Sans ExpandedLight" w:eastAsia="Encode Sans ExpandedLight" w:hAnsi="Encode Sans ExpandedLight" w:cs="Encode Sans ExpandedLight"/>
                <w:i/>
                <w:iCs/>
                <w:sz w:val="18"/>
                <w:szCs w:val="18"/>
              </w:rPr>
      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      </w:r>
          </w:p>
          <w:p w14:paraId="748E6E3B" w14:textId="51448D51" w:rsidR="001E6C1E" w:rsidRPr="005D022F" w:rsidRDefault="001E6C1E" w:rsidP="7F302A45">
            <w:pPr>
              <w:pStyle w:val="SFooter-Emailwebsite"/>
              <w:rPr>
                <w:color w:val="243782" w:themeColor="accent1"/>
                <w:szCs w:val="24"/>
              </w:rPr>
            </w:pPr>
          </w:p>
        </w:tc>
      </w:tr>
    </w:tbl>
    <w:p w14:paraId="6A653647" w14:textId="77777777" w:rsidR="00D814DF" w:rsidRPr="004F7D52" w:rsidRDefault="00D814DF">
      <w:pPr>
        <w:spacing w:after="0"/>
        <w:jc w:val="left"/>
        <w:rPr>
          <w:lang w:val="en-US"/>
        </w:rPr>
      </w:pPr>
    </w:p>
    <w:sectPr w:rsidR="00D814DF" w:rsidRPr="004F7D52" w:rsidSect="00C74C94">
      <w:headerReference w:type="default" r:id="rId16"/>
      <w:footerReference w:type="default" r:id="rId17"/>
      <w:headerReference w:type="first" r:id="rId18"/>
      <w:footerReference w:type="first" r:id="rId19"/>
      <w:pgSz w:w="12242" w:h="15842" w:code="1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BCD0" w14:textId="77777777" w:rsidR="0006332A" w:rsidRDefault="0006332A" w:rsidP="008D3E4C">
      <w:r>
        <w:separator/>
      </w:r>
    </w:p>
  </w:endnote>
  <w:endnote w:type="continuationSeparator" w:id="0">
    <w:p w14:paraId="02B3A9E6" w14:textId="77777777" w:rsidR="0006332A" w:rsidRDefault="0006332A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Italic r:id="rId1" w:subsetted="1" w:fontKey="{23A90C09-BEB5-4133-9C01-BAA4B986923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2" w:fontKey="{A9771CBA-39F9-4578-9214-62B888CE2063}"/>
    <w:embedBold r:id="rId3" w:fontKey="{BF32C1C1-B549-40A4-9FA1-5DC18559CE7A}"/>
    <w:embedItalic r:id="rId4" w:fontKey="{D337A1A8-995B-48D5-B8A1-79779BDF311A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9DE1ACAE-34F6-422F-81C2-655A37E356D3}"/>
    <w:embedItalic r:id="rId6" w:fontKey="{1855764A-3919-475A-AE90-045C2468EEB2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DFE8" w14:textId="3C52B6BA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5D022F">
      <w:rPr>
        <w:rStyle w:val="PageNumber"/>
        <w:noProof/>
      </w:rPr>
      <w:t>4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95"/>
      <w:gridCol w:w="2795"/>
      <w:gridCol w:w="2795"/>
    </w:tblGrid>
    <w:tr w:rsidR="7F302A45" w14:paraId="69B22EC6" w14:textId="77777777" w:rsidTr="7F302A45">
      <w:tc>
        <w:tcPr>
          <w:tcW w:w="2795" w:type="dxa"/>
        </w:tcPr>
        <w:p w14:paraId="2B595E8D" w14:textId="66538F49" w:rsidR="7F302A45" w:rsidRDefault="7F302A45" w:rsidP="7F302A45">
          <w:pPr>
            <w:pStyle w:val="Header"/>
            <w:ind w:left="-115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34AF84CF" w14:textId="33AE6D65" w:rsidR="7F302A45" w:rsidRDefault="7F302A45" w:rsidP="7F302A45">
          <w:pPr>
            <w:pStyle w:val="Header"/>
            <w:jc w:val="center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3885223A" w14:textId="08BC846C" w:rsidR="7F302A45" w:rsidRDefault="7F302A45" w:rsidP="7F302A45">
          <w:pPr>
            <w:pStyle w:val="Header"/>
            <w:ind w:right="-115"/>
            <w:jc w:val="right"/>
            <w:rPr>
              <w:color w:val="243782" w:themeColor="accent1"/>
              <w:szCs w:val="24"/>
            </w:rPr>
          </w:pPr>
        </w:p>
      </w:tc>
    </w:tr>
  </w:tbl>
  <w:p w14:paraId="4F70E49F" w14:textId="3A5B8FFB" w:rsidR="7F302A45" w:rsidRDefault="7F302A45" w:rsidP="7F302A45">
    <w:pPr>
      <w:pStyle w:val="Footer"/>
      <w:rPr>
        <w:color w:val="243782" w:themeColor="accent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60ECA" w14:textId="77777777" w:rsidR="0006332A" w:rsidRDefault="0006332A" w:rsidP="008D3E4C">
      <w:r>
        <w:separator/>
      </w:r>
    </w:p>
  </w:footnote>
  <w:footnote w:type="continuationSeparator" w:id="0">
    <w:p w14:paraId="6624C0B9" w14:textId="77777777" w:rsidR="0006332A" w:rsidRDefault="0006332A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95"/>
      <w:gridCol w:w="2795"/>
      <w:gridCol w:w="2795"/>
    </w:tblGrid>
    <w:tr w:rsidR="7F302A45" w14:paraId="65CFBE70" w14:textId="77777777" w:rsidTr="7F302A45">
      <w:tc>
        <w:tcPr>
          <w:tcW w:w="2795" w:type="dxa"/>
        </w:tcPr>
        <w:p w14:paraId="540EDB38" w14:textId="5168E6C1" w:rsidR="7F302A45" w:rsidRDefault="7F302A45" w:rsidP="7F302A45">
          <w:pPr>
            <w:pStyle w:val="Header"/>
            <w:ind w:left="-115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0C26926B" w14:textId="3A2F51BC" w:rsidR="7F302A45" w:rsidRDefault="7F302A45" w:rsidP="7F302A45">
          <w:pPr>
            <w:pStyle w:val="Header"/>
            <w:jc w:val="center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03E15B0E" w14:textId="420C1CFE" w:rsidR="7F302A45" w:rsidRDefault="7F302A45" w:rsidP="7F302A45">
          <w:pPr>
            <w:pStyle w:val="Header"/>
            <w:ind w:right="-115"/>
            <w:jc w:val="right"/>
            <w:rPr>
              <w:color w:val="243782" w:themeColor="accent1"/>
              <w:szCs w:val="24"/>
            </w:rPr>
          </w:pPr>
        </w:p>
      </w:tc>
    </w:tr>
  </w:tbl>
  <w:p w14:paraId="59867709" w14:textId="0EFEB591" w:rsidR="7F302A45" w:rsidRDefault="7F302A45" w:rsidP="7F302A45">
    <w:pPr>
      <w:pStyle w:val="Header"/>
      <w:rPr>
        <w:color w:val="243782" w:themeColor="accent1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C747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9FB5497" wp14:editId="4B2EA05F">
              <wp:simplePos x="0" y="0"/>
              <wp:positionH relativeFrom="page">
                <wp:posOffset>447675</wp:posOffset>
              </wp:positionH>
              <wp:positionV relativeFrom="page">
                <wp:posOffset>9525</wp:posOffset>
              </wp:positionV>
              <wp:extent cx="269875" cy="264795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47950"/>
                        <a:chOff x="0" y="-55865"/>
                        <a:chExt cx="315912" cy="2802240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55865"/>
                          <a:ext cx="315912" cy="269587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0AC0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B5497" id="Groupe 29" o:spid="_x0000_s1026" style="position:absolute;margin-left:35.25pt;margin-top:.75pt;width:21.25pt;height:208.5pt;z-index:-251656192;mso-position-horizontal-relative:page;mso-position-vertical-relative:page;mso-width-relative:margin;mso-height-relative:margin" coordorigin=",-558" coordsize="3159,2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558;width:3159;height:26958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72738;0,2672738;0,2672738;23401,2695879;46802,2672738;46802,2672738;50702,2672738;70203,2653455;89703,2672738;89703,2672738;89703,2672738;113104,2695879;136505,2672738;136505,2672738;136505,2672738;159906,2653455;179407,2672738;179407,2672738;179407,2672738;179407,2672738;179407,2672738;202808,2695879;226209,2672738;226209,2672738;226209,2672738;245709,2653455;269110,2672738;269110,2672738;269110,2672738;292511,2695879;315912,2672738;315912,2672738;315912,2672738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FC40AC0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1AD040B8" wp14:editId="424F859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p3SVbU7IRY3ugs" id="mYBpA6x0"/>
  </int:Manifest>
  <int:Observations>
    <int:Content id="mYBpA6x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A22C1"/>
    <w:multiLevelType w:val="multilevel"/>
    <w:tmpl w:val="EAA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76757"/>
    <w:multiLevelType w:val="multilevel"/>
    <w:tmpl w:val="83D0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916DE"/>
    <w:multiLevelType w:val="multilevel"/>
    <w:tmpl w:val="CD14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B60F3"/>
    <w:multiLevelType w:val="multilevel"/>
    <w:tmpl w:val="257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FE4330"/>
    <w:multiLevelType w:val="multilevel"/>
    <w:tmpl w:val="81A4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26"/>
    <w:rsid w:val="000164D1"/>
    <w:rsid w:val="00031849"/>
    <w:rsid w:val="0006332A"/>
    <w:rsid w:val="00087566"/>
    <w:rsid w:val="000B5277"/>
    <w:rsid w:val="000B5D7A"/>
    <w:rsid w:val="00126E5A"/>
    <w:rsid w:val="001356BE"/>
    <w:rsid w:val="00150AD4"/>
    <w:rsid w:val="00150F09"/>
    <w:rsid w:val="001B591C"/>
    <w:rsid w:val="001E6C1E"/>
    <w:rsid w:val="001F4703"/>
    <w:rsid w:val="0022588D"/>
    <w:rsid w:val="0023542B"/>
    <w:rsid w:val="00242220"/>
    <w:rsid w:val="002836DD"/>
    <w:rsid w:val="00293E0C"/>
    <w:rsid w:val="002C508D"/>
    <w:rsid w:val="002E3703"/>
    <w:rsid w:val="00303A55"/>
    <w:rsid w:val="00331302"/>
    <w:rsid w:val="003712A4"/>
    <w:rsid w:val="003864AD"/>
    <w:rsid w:val="003E68CC"/>
    <w:rsid w:val="003E727D"/>
    <w:rsid w:val="004000AC"/>
    <w:rsid w:val="004022B4"/>
    <w:rsid w:val="00425677"/>
    <w:rsid w:val="00427ABE"/>
    <w:rsid w:val="00433EDD"/>
    <w:rsid w:val="0044219E"/>
    <w:rsid w:val="00446209"/>
    <w:rsid w:val="0045216F"/>
    <w:rsid w:val="004532D9"/>
    <w:rsid w:val="004B7EE5"/>
    <w:rsid w:val="004C46F5"/>
    <w:rsid w:val="004D61EA"/>
    <w:rsid w:val="004F7D52"/>
    <w:rsid w:val="00522291"/>
    <w:rsid w:val="00544345"/>
    <w:rsid w:val="0055479C"/>
    <w:rsid w:val="00562D3D"/>
    <w:rsid w:val="0059213B"/>
    <w:rsid w:val="005A5851"/>
    <w:rsid w:val="005B024F"/>
    <w:rsid w:val="005C775F"/>
    <w:rsid w:val="005D022F"/>
    <w:rsid w:val="005D2EA9"/>
    <w:rsid w:val="005E1B1A"/>
    <w:rsid w:val="005F2120"/>
    <w:rsid w:val="0061682B"/>
    <w:rsid w:val="00646166"/>
    <w:rsid w:val="00655A10"/>
    <w:rsid w:val="00682310"/>
    <w:rsid w:val="0069341C"/>
    <w:rsid w:val="006B5C7E"/>
    <w:rsid w:val="006E27BF"/>
    <w:rsid w:val="00722BAC"/>
    <w:rsid w:val="007A46E2"/>
    <w:rsid w:val="007B6819"/>
    <w:rsid w:val="007E317D"/>
    <w:rsid w:val="0080313B"/>
    <w:rsid w:val="00805FAA"/>
    <w:rsid w:val="008124BD"/>
    <w:rsid w:val="00815B14"/>
    <w:rsid w:val="00844956"/>
    <w:rsid w:val="0086416D"/>
    <w:rsid w:val="00877117"/>
    <w:rsid w:val="00882509"/>
    <w:rsid w:val="008B4CD5"/>
    <w:rsid w:val="008B718E"/>
    <w:rsid w:val="008C7A7B"/>
    <w:rsid w:val="008D3E4C"/>
    <w:rsid w:val="008D5389"/>
    <w:rsid w:val="008F0F07"/>
    <w:rsid w:val="008F2A13"/>
    <w:rsid w:val="008F66BD"/>
    <w:rsid w:val="008F69FC"/>
    <w:rsid w:val="009151E7"/>
    <w:rsid w:val="00942832"/>
    <w:rsid w:val="0097243E"/>
    <w:rsid w:val="00992BE1"/>
    <w:rsid w:val="009968C5"/>
    <w:rsid w:val="009A12F3"/>
    <w:rsid w:val="009A23AB"/>
    <w:rsid w:val="009C33F1"/>
    <w:rsid w:val="009D180E"/>
    <w:rsid w:val="009D79F4"/>
    <w:rsid w:val="00A0245A"/>
    <w:rsid w:val="00A33E8D"/>
    <w:rsid w:val="00A653F1"/>
    <w:rsid w:val="00A748DE"/>
    <w:rsid w:val="00A7609F"/>
    <w:rsid w:val="00A87390"/>
    <w:rsid w:val="00AD0B30"/>
    <w:rsid w:val="00B11078"/>
    <w:rsid w:val="00B32F4C"/>
    <w:rsid w:val="00B64F18"/>
    <w:rsid w:val="00B92FB1"/>
    <w:rsid w:val="00B96799"/>
    <w:rsid w:val="00BB641B"/>
    <w:rsid w:val="00BC5852"/>
    <w:rsid w:val="00C0321D"/>
    <w:rsid w:val="00C10E75"/>
    <w:rsid w:val="00C21B90"/>
    <w:rsid w:val="00C31F14"/>
    <w:rsid w:val="00C363C0"/>
    <w:rsid w:val="00C60A64"/>
    <w:rsid w:val="00C61C53"/>
    <w:rsid w:val="00C62A34"/>
    <w:rsid w:val="00C74C94"/>
    <w:rsid w:val="00C80922"/>
    <w:rsid w:val="00C814CD"/>
    <w:rsid w:val="00C97693"/>
    <w:rsid w:val="00D00965"/>
    <w:rsid w:val="00D0485C"/>
    <w:rsid w:val="00D265D9"/>
    <w:rsid w:val="00D37784"/>
    <w:rsid w:val="00D43A60"/>
    <w:rsid w:val="00D5456A"/>
    <w:rsid w:val="00D54C2A"/>
    <w:rsid w:val="00D814DF"/>
    <w:rsid w:val="00D842FB"/>
    <w:rsid w:val="00DA27E1"/>
    <w:rsid w:val="00DC1F72"/>
    <w:rsid w:val="00DE72B9"/>
    <w:rsid w:val="00DF5711"/>
    <w:rsid w:val="00E45FDD"/>
    <w:rsid w:val="00E50592"/>
    <w:rsid w:val="00E51B26"/>
    <w:rsid w:val="00E8163B"/>
    <w:rsid w:val="00E82EAD"/>
    <w:rsid w:val="00E90B5F"/>
    <w:rsid w:val="00E93724"/>
    <w:rsid w:val="00F5284E"/>
    <w:rsid w:val="00F90CCA"/>
    <w:rsid w:val="00F91283"/>
    <w:rsid w:val="00F92EBF"/>
    <w:rsid w:val="00FA454C"/>
    <w:rsid w:val="00FD6CFC"/>
    <w:rsid w:val="4CCA905E"/>
    <w:rsid w:val="55AAE004"/>
    <w:rsid w:val="6B49CCBA"/>
    <w:rsid w:val="7F30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A353BE"/>
  <w15:chartTrackingRefBased/>
  <w15:docId w15:val="{B3197471-4AFE-408B-8C97-CEBA8FF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NormalWeb">
    <w:name w:val="Normal (Web)"/>
    <w:basedOn w:val="Normal"/>
    <w:uiPriority w:val="99"/>
    <w:semiHidden/>
    <w:unhideWhenUsed/>
    <w:rsid w:val="00F912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df6e38f1e8ab4d4f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hyperlink" Target="http://www.stellantis.com" TargetMode="External"/><Relationship Id="rId10" Type="http://schemas.openxmlformats.org/officeDocument/2006/relationships/hyperlink" Target="http://www.stellantis.com/it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2A9ED5BF54466D855A4434F4DF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67CB-092A-4687-8F7D-7CDE5244BEA5}"/>
      </w:docPartPr>
      <w:docPartBody>
        <w:p w:rsidR="007707F2" w:rsidRDefault="002E3703" w:rsidP="002E3703">
          <w:pPr>
            <w:pStyle w:val="D72A9ED5BF54466D855A4434F4DF821F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A0B04F5558948FB8A39814AF4AE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FC92-271A-43C1-922C-F8F0FCB17B53}"/>
      </w:docPartPr>
      <w:docPartBody>
        <w:p w:rsidR="007707F2" w:rsidRDefault="002E3703" w:rsidP="002E3703">
          <w:pPr>
            <w:pStyle w:val="CA0B04F5558948FB8A39814AF4AEACF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2911504D9F54841871DD3FA6C38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CBEC-B439-40BE-9A63-CC0DA151E046}"/>
      </w:docPartPr>
      <w:docPartBody>
        <w:p w:rsidR="007707F2" w:rsidRDefault="002E3703" w:rsidP="002E3703">
          <w:pPr>
            <w:pStyle w:val="12911504D9F54841871DD3FA6C38400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D013AEFD66646EF83BADEE21486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06E9-9472-4E4D-B760-8BB3C2AC0D60}"/>
      </w:docPartPr>
      <w:docPartBody>
        <w:p w:rsidR="007707F2" w:rsidRDefault="002E3703" w:rsidP="002E3703">
          <w:pPr>
            <w:pStyle w:val="6D013AEFD66646EF83BADEE2148604B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F53F630E22548D09C93BBFF2B5A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AF64-8C2B-4F85-9487-9A43819FF20A}"/>
      </w:docPartPr>
      <w:docPartBody>
        <w:p w:rsidR="007707F2" w:rsidRDefault="002E3703" w:rsidP="002E3703">
          <w:pPr>
            <w:pStyle w:val="1F53F630E22548D09C93BBFF2B5A3EC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0EB719C6FBE4CF9B2D418285C2F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F0FD-FF80-451D-8A15-CD8A823B74F0}"/>
      </w:docPartPr>
      <w:docPartBody>
        <w:p w:rsidR="009D2B32" w:rsidRDefault="008D5389" w:rsidP="008D5389">
          <w:pPr>
            <w:pStyle w:val="90EB719C6FBE4CF9B2D418285C2FCD6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9402A7B7CB942BBB73CE32374DB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BC5B-8529-4876-82A1-1B6B1BC5E121}"/>
      </w:docPartPr>
      <w:docPartBody>
        <w:p w:rsidR="009D2B32" w:rsidRDefault="008D5389" w:rsidP="008D5389">
          <w:pPr>
            <w:pStyle w:val="D9402A7B7CB942BBB73CE32374DB875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7E845D23EDC408DB7ADCC4DB43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326F-7C3A-4340-A16B-E1882232225B}"/>
      </w:docPartPr>
      <w:docPartBody>
        <w:p w:rsidR="009D2B32" w:rsidRDefault="008D5389" w:rsidP="008D5389">
          <w:pPr>
            <w:pStyle w:val="07E845D23EDC408DB7ADCC4DB43A898E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32"/>
    <w:rsid w:val="00005332"/>
    <w:rsid w:val="000A3B3A"/>
    <w:rsid w:val="002E3703"/>
    <w:rsid w:val="00492EA7"/>
    <w:rsid w:val="0054397C"/>
    <w:rsid w:val="00672D60"/>
    <w:rsid w:val="007707F2"/>
    <w:rsid w:val="007B17CF"/>
    <w:rsid w:val="008548D0"/>
    <w:rsid w:val="008D5389"/>
    <w:rsid w:val="009D2B32"/>
    <w:rsid w:val="00A24A68"/>
    <w:rsid w:val="00CD2F9C"/>
    <w:rsid w:val="00E56C3D"/>
    <w:rsid w:val="00F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389"/>
    <w:rPr>
      <w:color w:val="808080"/>
    </w:rPr>
  </w:style>
  <w:style w:type="paragraph" w:customStyle="1" w:styleId="D72A9ED5BF54466D855A4434F4DF821F">
    <w:name w:val="D72A9ED5BF54466D855A4434F4DF821F"/>
    <w:rsid w:val="002E3703"/>
    <w:rPr>
      <w:lang w:val="en-US" w:eastAsia="en-US"/>
    </w:rPr>
  </w:style>
  <w:style w:type="paragraph" w:customStyle="1" w:styleId="CA0B04F5558948FB8A39814AF4AEACF8">
    <w:name w:val="CA0B04F5558948FB8A39814AF4AEACF8"/>
    <w:rsid w:val="002E3703"/>
    <w:rPr>
      <w:lang w:val="en-US" w:eastAsia="en-US"/>
    </w:rPr>
  </w:style>
  <w:style w:type="paragraph" w:customStyle="1" w:styleId="12911504D9F54841871DD3FA6C384008">
    <w:name w:val="12911504D9F54841871DD3FA6C384008"/>
    <w:rsid w:val="002E3703"/>
    <w:rPr>
      <w:lang w:val="en-US" w:eastAsia="en-US"/>
    </w:rPr>
  </w:style>
  <w:style w:type="paragraph" w:customStyle="1" w:styleId="6D013AEFD66646EF83BADEE2148604BB">
    <w:name w:val="6D013AEFD66646EF83BADEE2148604BB"/>
    <w:rsid w:val="002E3703"/>
    <w:rPr>
      <w:lang w:val="en-US" w:eastAsia="en-US"/>
    </w:rPr>
  </w:style>
  <w:style w:type="paragraph" w:customStyle="1" w:styleId="1F53F630E22548D09C93BBFF2B5A3ECA">
    <w:name w:val="1F53F630E22548D09C93BBFF2B5A3ECA"/>
    <w:rsid w:val="002E3703"/>
    <w:rPr>
      <w:lang w:val="en-US" w:eastAsia="en-US"/>
    </w:rPr>
  </w:style>
  <w:style w:type="paragraph" w:customStyle="1" w:styleId="90EB719C6FBE4CF9B2D418285C2FCD6A">
    <w:name w:val="90EB719C6FBE4CF9B2D418285C2FCD6A"/>
    <w:rsid w:val="008D5389"/>
  </w:style>
  <w:style w:type="paragraph" w:customStyle="1" w:styleId="D9402A7B7CB942BBB73CE32374DB8753">
    <w:name w:val="D9402A7B7CB942BBB73CE32374DB8753"/>
    <w:rsid w:val="008D5389"/>
  </w:style>
  <w:style w:type="paragraph" w:customStyle="1" w:styleId="07E845D23EDC408DB7ADCC4DB43A898E">
    <w:name w:val="07E845D23EDC408DB7ADCC4DB43A898E"/>
    <w:rsid w:val="008D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4A46205BD64880A34531DCEAD1D9" ma:contentTypeVersion="6" ma:contentTypeDescription="Create a new document." ma:contentTypeScope="" ma:versionID="d0edc719f2e5b27e404cecf2e4e2064a">
  <xsd:schema xmlns:xsd="http://www.w3.org/2001/XMLSchema" xmlns:xs="http://www.w3.org/2001/XMLSchema" xmlns:p="http://schemas.microsoft.com/office/2006/metadata/properties" xmlns:ns2="13e03e23-8d43-4fba-8fe3-9b63cad866a7" xmlns:ns3="cc49bfb4-4b88-44fb-a93f-6c52494b0db4" targetNamespace="http://schemas.microsoft.com/office/2006/metadata/properties" ma:root="true" ma:fieldsID="7716a46e2fb10d71b74adf7a174c3509" ns2:_="" ns3:_="">
    <xsd:import namespace="13e03e23-8d43-4fba-8fe3-9b63cad866a7"/>
    <xsd:import namespace="cc49bfb4-4b88-44fb-a93f-6c52494b0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03e23-8d43-4fba-8fe3-9b63cad8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bfb4-4b88-44fb-a93f-6c52494b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7DC76-75AC-42E4-84FE-8B67BB975D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c49bfb4-4b88-44fb-a93f-6c52494b0db4"/>
    <ds:schemaRef ds:uri="13e03e23-8d43-4fba-8fe3-9b63cad866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80EAF8-DFD3-4CD3-9F80-24BEBB2A2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49C43-4FB5-4963-996E-A7C3DAF06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03e23-8d43-4fba-8fe3-9b63cad866a7"/>
    <ds:schemaRef ds:uri="cc49bfb4-4b88-44fb-a93f-6c52494b0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20220225_DRAFT Stellantis_StrategicPlan_First PR_V2.docx</vt:lpstr>
    </vt:vector>
  </TitlesOfParts>
  <Company>Stellantis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20220225_DRAFT Stellantis_StrategicPlan_First PR_V2.docx</dc:title>
  <dc:subject>March 1 Strategic Plan</dc:subject>
  <dc:creator>KEVIN FRAZIER</dc:creator>
  <cp:keywords>8 a.m. CET Press Release</cp:keywords>
  <dc:description/>
  <cp:lastModifiedBy>Paul Johnston</cp:lastModifiedBy>
  <cp:revision>6</cp:revision>
  <cp:lastPrinted>2021-10-28T15:12:00Z</cp:lastPrinted>
  <dcterms:created xsi:type="dcterms:W3CDTF">2022-02-28T15:44:00Z</dcterms:created>
  <dcterms:modified xsi:type="dcterms:W3CDTF">2022-03-01T16:49:00Z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0x010100B3854A46205BD64880A34531DCEAD1D9</vt:lpwstr>
  </property>
</Properties>
</file>