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EE9B" w14:textId="6EA2897A" w:rsidR="005C18FB" w:rsidRPr="00804029" w:rsidRDefault="00EC175F" w:rsidP="00D74DE2">
      <w:pPr>
        <w:spacing w:after="0" w:line="240" w:lineRule="auto"/>
        <w:jc w:val="center"/>
        <w:rPr>
          <w:rFonts w:ascii="Arial" w:hAnsi="Arial" w:cs="Arial"/>
          <w:b/>
          <w:sz w:val="28"/>
          <w:szCs w:val="28"/>
        </w:rPr>
      </w:pPr>
      <w:r w:rsidRPr="00804029">
        <w:rPr>
          <w:rFonts w:ascii="Arial" w:hAnsi="Arial"/>
          <w:b/>
          <w:sz w:val="28"/>
          <w:szCs w:val="28"/>
        </w:rPr>
        <w:t xml:space="preserve">Stellantis e LG Energy Solution investiranno </w:t>
      </w:r>
      <w:r w:rsidR="0004730B">
        <w:rPr>
          <w:rFonts w:ascii="Arial" w:hAnsi="Arial"/>
          <w:b/>
          <w:sz w:val="28"/>
          <w:szCs w:val="28"/>
        </w:rPr>
        <w:t>5</w:t>
      </w:r>
      <w:r w:rsidRPr="00804029">
        <w:rPr>
          <w:rFonts w:ascii="Arial" w:hAnsi="Arial"/>
          <w:b/>
          <w:sz w:val="28"/>
          <w:szCs w:val="28"/>
        </w:rPr>
        <w:t xml:space="preserve"> </w:t>
      </w:r>
      <w:r w:rsidRPr="00BF2F7F">
        <w:rPr>
          <w:rFonts w:ascii="Arial" w:hAnsi="Arial"/>
          <w:b/>
          <w:sz w:val="28"/>
          <w:szCs w:val="28"/>
        </w:rPr>
        <w:t xml:space="preserve">miliardi di </w:t>
      </w:r>
      <w:r w:rsidR="007A47BA" w:rsidRPr="00BF2F7F">
        <w:rPr>
          <w:rFonts w:ascii="Arial" w:hAnsi="Arial"/>
          <w:b/>
          <w:sz w:val="28"/>
          <w:szCs w:val="28"/>
        </w:rPr>
        <w:t>dollari</w:t>
      </w:r>
      <w:r w:rsidR="007A47BA">
        <w:rPr>
          <w:rFonts w:ascii="Arial" w:hAnsi="Arial"/>
          <w:b/>
          <w:sz w:val="28"/>
          <w:szCs w:val="28"/>
        </w:rPr>
        <w:t xml:space="preserve"> </w:t>
      </w:r>
      <w:r w:rsidRPr="00804029">
        <w:rPr>
          <w:rFonts w:ascii="Arial" w:hAnsi="Arial"/>
          <w:b/>
          <w:sz w:val="28"/>
          <w:szCs w:val="28"/>
        </w:rPr>
        <w:t>CAD in una joint venture per realizzare il primo impianto di produzione di batterie agli ioni di litio in Canada</w:t>
      </w:r>
    </w:p>
    <w:p w14:paraId="163B3E5D" w14:textId="77777777" w:rsidR="00C628B0" w:rsidRPr="00804029" w:rsidRDefault="00C628B0" w:rsidP="00830308">
      <w:pPr>
        <w:spacing w:after="0" w:line="240" w:lineRule="auto"/>
        <w:jc w:val="center"/>
        <w:rPr>
          <w:rFonts w:ascii="Arial" w:hAnsi="Arial" w:cs="Arial"/>
          <w:b/>
          <w:sz w:val="28"/>
          <w:szCs w:val="28"/>
        </w:rPr>
      </w:pPr>
    </w:p>
    <w:p w14:paraId="5F453407" w14:textId="60B95811" w:rsidR="00196042" w:rsidRPr="00BF2F7F" w:rsidRDefault="00196042" w:rsidP="00CE4A27">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BF2F7F">
        <w:rPr>
          <w:rFonts w:ascii="Arial" w:hAnsi="Arial"/>
          <w:sz w:val="24"/>
          <w:szCs w:val="24"/>
        </w:rPr>
        <w:t xml:space="preserve">La joint venture darà vita al primo impianto di produzione </w:t>
      </w:r>
      <w:r w:rsidR="007A47BA" w:rsidRPr="00BF2F7F">
        <w:rPr>
          <w:rFonts w:ascii="Arial" w:hAnsi="Arial"/>
          <w:sz w:val="24"/>
          <w:szCs w:val="24"/>
        </w:rPr>
        <w:t xml:space="preserve">su larga scala </w:t>
      </w:r>
      <w:r w:rsidRPr="00BF2F7F">
        <w:rPr>
          <w:rFonts w:ascii="Arial" w:hAnsi="Arial"/>
          <w:sz w:val="24"/>
          <w:szCs w:val="24"/>
        </w:rPr>
        <w:t>di batterie per veicoli</w:t>
      </w:r>
      <w:r w:rsidR="007A47BA" w:rsidRPr="00BF2F7F">
        <w:rPr>
          <w:rFonts w:ascii="Arial" w:hAnsi="Arial"/>
          <w:sz w:val="24"/>
          <w:szCs w:val="24"/>
        </w:rPr>
        <w:t xml:space="preserve"> elettrici</w:t>
      </w:r>
      <w:r w:rsidRPr="00BF2F7F">
        <w:rPr>
          <w:rFonts w:ascii="Arial" w:hAnsi="Arial"/>
          <w:sz w:val="24"/>
          <w:szCs w:val="24"/>
        </w:rPr>
        <w:t xml:space="preserve"> in Canada </w:t>
      </w:r>
    </w:p>
    <w:p w14:paraId="75DA5FF2" w14:textId="0864B6FB" w:rsidR="00D6308A" w:rsidRPr="00BF2F7F" w:rsidRDefault="00196042" w:rsidP="00CE4A27">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BF2F7F">
        <w:rPr>
          <w:rFonts w:ascii="Arial" w:hAnsi="Arial"/>
          <w:sz w:val="24"/>
          <w:szCs w:val="24"/>
        </w:rPr>
        <w:t>L</w:t>
      </w:r>
      <w:r w:rsidR="00C53758">
        <w:rPr>
          <w:rFonts w:ascii="Arial" w:hAnsi="Arial"/>
          <w:sz w:val="24"/>
          <w:szCs w:val="24"/>
        </w:rPr>
        <w:t>’</w:t>
      </w:r>
      <w:r w:rsidRPr="00BF2F7F">
        <w:rPr>
          <w:rFonts w:ascii="Arial" w:hAnsi="Arial"/>
          <w:sz w:val="24"/>
          <w:szCs w:val="24"/>
        </w:rPr>
        <w:t xml:space="preserve">impianto avrà una capacità produttiva annuale superiore a </w:t>
      </w:r>
      <w:r w:rsidR="0004730B" w:rsidRPr="00BF2F7F">
        <w:rPr>
          <w:rFonts w:ascii="Arial" w:hAnsi="Arial"/>
          <w:sz w:val="24"/>
          <w:szCs w:val="24"/>
        </w:rPr>
        <w:t>45</w:t>
      </w:r>
      <w:r w:rsidRPr="00BF2F7F">
        <w:rPr>
          <w:rFonts w:ascii="Arial" w:hAnsi="Arial"/>
          <w:sz w:val="24"/>
          <w:szCs w:val="24"/>
        </w:rPr>
        <w:t xml:space="preserve"> gigawattora</w:t>
      </w:r>
    </w:p>
    <w:p w14:paraId="67F5267A" w14:textId="0B038A1C" w:rsidR="0007479D" w:rsidRPr="00804029" w:rsidRDefault="00196042" w:rsidP="00196042">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BF2F7F">
        <w:rPr>
          <w:rFonts w:ascii="Arial" w:hAnsi="Arial"/>
          <w:sz w:val="24"/>
          <w:szCs w:val="24"/>
        </w:rPr>
        <w:t>Si prevede che lo stabilimento diventerà operativo</w:t>
      </w:r>
      <w:r w:rsidRPr="00804029">
        <w:rPr>
          <w:rFonts w:ascii="Arial" w:hAnsi="Arial"/>
          <w:sz w:val="24"/>
          <w:szCs w:val="24"/>
        </w:rPr>
        <w:t xml:space="preserve"> nel 202</w:t>
      </w:r>
      <w:r w:rsidR="0004730B">
        <w:rPr>
          <w:rFonts w:ascii="Arial" w:hAnsi="Arial"/>
          <w:sz w:val="24"/>
          <w:szCs w:val="24"/>
        </w:rPr>
        <w:t>4</w:t>
      </w:r>
      <w:r w:rsidRPr="00804029">
        <w:rPr>
          <w:rFonts w:ascii="Arial" w:hAnsi="Arial"/>
          <w:sz w:val="24"/>
          <w:szCs w:val="24"/>
        </w:rPr>
        <w:t xml:space="preserve"> e creerà fino a </w:t>
      </w:r>
      <w:r w:rsidR="0004730B">
        <w:rPr>
          <w:rFonts w:ascii="Arial" w:hAnsi="Arial"/>
          <w:sz w:val="24"/>
          <w:szCs w:val="24"/>
        </w:rPr>
        <w:t>2.500</w:t>
      </w:r>
      <w:r w:rsidRPr="00804029">
        <w:rPr>
          <w:rFonts w:ascii="Arial" w:hAnsi="Arial"/>
          <w:sz w:val="24"/>
          <w:szCs w:val="24"/>
        </w:rPr>
        <w:t xml:space="preserve"> nuovi posti di lavoro</w:t>
      </w:r>
    </w:p>
    <w:p w14:paraId="6A806FEF" w14:textId="77777777" w:rsidR="00AC709F" w:rsidRPr="00804029" w:rsidRDefault="00AC709F" w:rsidP="00AC709F">
      <w:pPr>
        <w:widowControl/>
        <w:wordWrap/>
        <w:autoSpaceDE/>
        <w:autoSpaceDN/>
        <w:spacing w:after="0" w:line="240" w:lineRule="auto"/>
        <w:ind w:left="720"/>
        <w:jc w:val="left"/>
        <w:textAlignment w:val="baseline"/>
        <w:rPr>
          <w:rFonts w:ascii="Arial" w:eastAsia="Times New Roman" w:hAnsi="Arial" w:cs="Arial"/>
          <w:sz w:val="24"/>
          <w:szCs w:val="24"/>
        </w:rPr>
      </w:pPr>
    </w:p>
    <w:p w14:paraId="5489AC31" w14:textId="17ECDFFF" w:rsidR="00A91D78" w:rsidRPr="00BF2F7F" w:rsidRDefault="00030559" w:rsidP="00E67697">
      <w:pPr>
        <w:spacing w:after="0" w:line="240" w:lineRule="auto"/>
        <w:rPr>
          <w:rFonts w:ascii="Arial" w:eastAsia="Times New Roman" w:hAnsi="Arial" w:cs="Arial"/>
          <w:sz w:val="24"/>
          <w:szCs w:val="24"/>
          <w:shd w:val="clear" w:color="auto" w:fill="FFFFFF"/>
        </w:rPr>
      </w:pPr>
      <w:r w:rsidRPr="00804029">
        <w:rPr>
          <w:rFonts w:ascii="Arial" w:hAnsi="Arial"/>
          <w:b/>
          <w:sz w:val="24"/>
          <w:szCs w:val="24"/>
        </w:rPr>
        <w:t>Ontario, Canada, 23 marzo 2022 -</w:t>
      </w:r>
      <w:r w:rsidR="006D610A">
        <w:rPr>
          <w:rFonts w:ascii="Arial" w:hAnsi="Arial"/>
          <w:b/>
          <w:sz w:val="24"/>
          <w:szCs w:val="24"/>
        </w:rPr>
        <w:t xml:space="preserve"> </w:t>
      </w:r>
      <w:hyperlink r:id="rId7" w:history="1">
        <w:r w:rsidRPr="005F750D">
          <w:rPr>
            <w:rStyle w:val="Collegamentoipertestuale"/>
            <w:rFonts w:ascii="Arial" w:hAnsi="Arial"/>
            <w:sz w:val="24"/>
            <w:szCs w:val="24"/>
          </w:rPr>
          <w:t>Stellantis N.V.</w:t>
        </w:r>
      </w:hyperlink>
      <w:r w:rsidRPr="00804029">
        <w:rPr>
          <w:rFonts w:ascii="Arial" w:hAnsi="Arial"/>
          <w:sz w:val="24"/>
          <w:szCs w:val="24"/>
        </w:rPr>
        <w:t xml:space="preserve"> </w:t>
      </w:r>
      <w:r w:rsidRPr="0004730B">
        <w:rPr>
          <w:rFonts w:ascii="Arial" w:hAnsi="Arial"/>
          <w:sz w:val="24"/>
          <w:szCs w:val="24"/>
        </w:rPr>
        <w:t xml:space="preserve">e </w:t>
      </w:r>
      <w:hyperlink r:id="rId8" w:history="1">
        <w:r w:rsidRPr="005F750D">
          <w:rPr>
            <w:rStyle w:val="Collegamentoipertestuale"/>
            <w:rFonts w:ascii="Arial" w:hAnsi="Arial"/>
            <w:sz w:val="24"/>
            <w:szCs w:val="24"/>
          </w:rPr>
          <w:t xml:space="preserve">LG Energy </w:t>
        </w:r>
        <w:r w:rsidRPr="005F750D">
          <w:rPr>
            <w:rStyle w:val="Collegamentoipertestuale"/>
            <w:rFonts w:ascii="Arial" w:hAnsi="Arial"/>
            <w:sz w:val="24"/>
            <w:szCs w:val="24"/>
            <w:shd w:val="clear" w:color="auto" w:fill="FFFFFF"/>
          </w:rPr>
          <w:t>Solution (LGES)</w:t>
        </w:r>
      </w:hyperlink>
      <w:r w:rsidRPr="0004730B">
        <w:rPr>
          <w:rFonts w:ascii="Arial" w:hAnsi="Arial"/>
          <w:sz w:val="24"/>
          <w:szCs w:val="24"/>
          <w:shd w:val="clear" w:color="auto" w:fill="FFFFFF"/>
        </w:rPr>
        <w:t xml:space="preserve"> </w:t>
      </w:r>
      <w:r w:rsidRPr="00804029">
        <w:rPr>
          <w:rFonts w:ascii="Arial" w:hAnsi="Arial"/>
          <w:sz w:val="24"/>
          <w:szCs w:val="24"/>
          <w:shd w:val="clear" w:color="auto" w:fill="FFFFFF"/>
        </w:rPr>
        <w:t xml:space="preserve">hanno annunciato oggi la sottoscrizione di accordi vincolanti e definitivi per realizzare il primo impianto di produzione di batterie </w:t>
      </w:r>
      <w:r w:rsidRPr="00BF2F7F">
        <w:rPr>
          <w:rFonts w:ascii="Arial" w:hAnsi="Arial"/>
          <w:sz w:val="24"/>
          <w:szCs w:val="24"/>
          <w:shd w:val="clear" w:color="auto" w:fill="FFFFFF"/>
        </w:rPr>
        <w:t xml:space="preserve">per </w:t>
      </w:r>
      <w:r w:rsidR="005F750D" w:rsidRPr="00BF2F7F">
        <w:rPr>
          <w:rFonts w:ascii="Arial" w:hAnsi="Arial"/>
          <w:sz w:val="24"/>
          <w:szCs w:val="24"/>
          <w:shd w:val="clear" w:color="auto" w:fill="FFFFFF"/>
        </w:rPr>
        <w:t>veicoli elettrici</w:t>
      </w:r>
      <w:r w:rsidRPr="00BF2F7F">
        <w:rPr>
          <w:rFonts w:ascii="Arial" w:hAnsi="Arial"/>
          <w:sz w:val="24"/>
          <w:szCs w:val="24"/>
          <w:shd w:val="clear" w:color="auto" w:fill="FFFFFF"/>
        </w:rPr>
        <w:t xml:space="preserve"> </w:t>
      </w:r>
      <w:r w:rsidR="005F750D" w:rsidRPr="00BF2F7F">
        <w:rPr>
          <w:rFonts w:ascii="Arial" w:hAnsi="Arial"/>
          <w:sz w:val="24"/>
          <w:szCs w:val="24"/>
          <w:shd w:val="clear" w:color="auto" w:fill="FFFFFF"/>
        </w:rPr>
        <w:t xml:space="preserve">su larga scala </w:t>
      </w:r>
      <w:r w:rsidRPr="00BF2F7F">
        <w:rPr>
          <w:rFonts w:ascii="Arial" w:hAnsi="Arial"/>
          <w:sz w:val="24"/>
          <w:szCs w:val="24"/>
          <w:shd w:val="clear" w:color="auto" w:fill="FFFFFF"/>
        </w:rPr>
        <w:t>in Canada. La joint venture produrrà celle e moduli per batterie agli ioni di litio all</w:t>
      </w:r>
      <w:r w:rsidR="00A265A3">
        <w:rPr>
          <w:rFonts w:ascii="Arial" w:hAnsi="Arial"/>
          <w:sz w:val="24"/>
          <w:szCs w:val="24"/>
          <w:shd w:val="clear" w:color="auto" w:fill="FFFFFF"/>
        </w:rPr>
        <w:t>’</w:t>
      </w:r>
      <w:r w:rsidRPr="00BF2F7F">
        <w:rPr>
          <w:rFonts w:ascii="Arial" w:hAnsi="Arial"/>
          <w:sz w:val="24"/>
          <w:szCs w:val="24"/>
          <w:shd w:val="clear" w:color="auto" w:fill="FFFFFF"/>
        </w:rPr>
        <w:t xml:space="preserve">avanguardia per soddisfare una parte significativa delle esigenze </w:t>
      </w:r>
      <w:r w:rsidR="005F750D" w:rsidRPr="00BF2F7F">
        <w:rPr>
          <w:rFonts w:ascii="Arial" w:hAnsi="Arial"/>
          <w:sz w:val="24"/>
          <w:szCs w:val="24"/>
          <w:shd w:val="clear" w:color="auto" w:fill="FFFFFF"/>
        </w:rPr>
        <w:t>di</w:t>
      </w:r>
      <w:r w:rsidRPr="00BF2F7F">
        <w:rPr>
          <w:rFonts w:ascii="Arial" w:hAnsi="Arial"/>
          <w:sz w:val="24"/>
          <w:szCs w:val="24"/>
          <w:shd w:val="clear" w:color="auto" w:fill="FFFFFF"/>
        </w:rPr>
        <w:t xml:space="preserve"> produzione dei veicoli di Stellantis in Nord America.</w:t>
      </w:r>
    </w:p>
    <w:p w14:paraId="4B5EE106" w14:textId="77777777" w:rsidR="00A91D78" w:rsidRPr="00BF2F7F" w:rsidRDefault="00A91D78" w:rsidP="00E67697">
      <w:pPr>
        <w:spacing w:after="0" w:line="240" w:lineRule="auto"/>
        <w:rPr>
          <w:rFonts w:ascii="Arial" w:eastAsia="Times New Roman" w:hAnsi="Arial" w:cs="Arial"/>
          <w:sz w:val="24"/>
          <w:szCs w:val="24"/>
          <w:shd w:val="clear" w:color="auto" w:fill="FFFFFF"/>
        </w:rPr>
      </w:pPr>
    </w:p>
    <w:p w14:paraId="293F6742" w14:textId="38412642" w:rsidR="00A91D78" w:rsidRPr="00BF2F7F" w:rsidRDefault="00A91D78" w:rsidP="00830308">
      <w:pPr>
        <w:spacing w:after="0" w:line="240" w:lineRule="auto"/>
        <w:rPr>
          <w:rFonts w:ascii="Arial" w:eastAsia="Times New Roman" w:hAnsi="Arial" w:cs="Arial"/>
          <w:sz w:val="24"/>
          <w:szCs w:val="24"/>
          <w:shd w:val="clear" w:color="auto" w:fill="FFFFFF"/>
        </w:rPr>
      </w:pPr>
      <w:r w:rsidRPr="00BF2F7F">
        <w:rPr>
          <w:rFonts w:ascii="Arial" w:hAnsi="Arial"/>
          <w:sz w:val="24"/>
          <w:szCs w:val="24"/>
          <w:shd w:val="clear" w:color="auto" w:fill="FFFFFF"/>
        </w:rPr>
        <w:t>L</w:t>
      </w:r>
      <w:r w:rsidR="006D610A" w:rsidRPr="00BF2F7F">
        <w:rPr>
          <w:rFonts w:ascii="Arial" w:hAnsi="Arial"/>
          <w:sz w:val="24"/>
          <w:szCs w:val="24"/>
          <w:shd w:val="clear" w:color="auto" w:fill="FFFFFF"/>
        </w:rPr>
        <w:t>a joint venture investirà oltre</w:t>
      </w:r>
      <w:r w:rsidRPr="00BF2F7F">
        <w:rPr>
          <w:rFonts w:ascii="Arial" w:hAnsi="Arial"/>
          <w:sz w:val="24"/>
          <w:szCs w:val="24"/>
          <w:shd w:val="clear" w:color="auto" w:fill="FFFFFF"/>
        </w:rPr>
        <w:t xml:space="preserve"> </w:t>
      </w:r>
      <w:r w:rsidR="006D610A" w:rsidRPr="00BF2F7F">
        <w:rPr>
          <w:rFonts w:ascii="Arial" w:hAnsi="Arial"/>
          <w:sz w:val="24"/>
          <w:szCs w:val="24"/>
          <w:shd w:val="clear" w:color="auto" w:fill="FFFFFF"/>
        </w:rPr>
        <w:t>5</w:t>
      </w:r>
      <w:r w:rsidRPr="00BF2F7F">
        <w:rPr>
          <w:rFonts w:ascii="Arial" w:hAnsi="Arial"/>
          <w:sz w:val="24"/>
          <w:szCs w:val="24"/>
          <w:shd w:val="clear" w:color="auto" w:fill="FFFFFF"/>
        </w:rPr>
        <w:t xml:space="preserve"> miliardi di </w:t>
      </w:r>
      <w:r w:rsidR="00883280" w:rsidRPr="00BF2F7F">
        <w:rPr>
          <w:rFonts w:ascii="Arial" w:hAnsi="Arial"/>
          <w:sz w:val="24"/>
          <w:szCs w:val="24"/>
          <w:shd w:val="clear" w:color="auto" w:fill="FFFFFF"/>
        </w:rPr>
        <w:t xml:space="preserve">dollari </w:t>
      </w:r>
      <w:r w:rsidRPr="00BF2F7F">
        <w:rPr>
          <w:rFonts w:ascii="Arial" w:hAnsi="Arial"/>
          <w:sz w:val="24"/>
          <w:szCs w:val="24"/>
          <w:shd w:val="clear" w:color="auto" w:fill="FFFFFF"/>
        </w:rPr>
        <w:t>CAD (</w:t>
      </w:r>
      <w:r w:rsidR="006D610A" w:rsidRPr="00BF2F7F">
        <w:rPr>
          <w:rFonts w:ascii="Arial" w:hAnsi="Arial"/>
          <w:sz w:val="24"/>
          <w:szCs w:val="24"/>
          <w:shd w:val="clear" w:color="auto" w:fill="FFFFFF"/>
        </w:rPr>
        <w:t>4,1</w:t>
      </w:r>
      <w:r w:rsidRPr="00BF2F7F">
        <w:rPr>
          <w:rFonts w:ascii="Arial" w:hAnsi="Arial"/>
          <w:sz w:val="24"/>
          <w:szCs w:val="24"/>
          <w:shd w:val="clear" w:color="auto" w:fill="FFFFFF"/>
        </w:rPr>
        <w:t xml:space="preserve"> miliardi di </w:t>
      </w:r>
      <w:r w:rsidR="006D610A" w:rsidRPr="00BF2F7F">
        <w:rPr>
          <w:rFonts w:ascii="Arial" w:hAnsi="Arial"/>
          <w:sz w:val="24"/>
          <w:szCs w:val="24"/>
          <w:shd w:val="clear" w:color="auto" w:fill="FFFFFF"/>
        </w:rPr>
        <w:t>dollari statunitensi</w:t>
      </w:r>
      <w:r w:rsidRPr="00BF2F7F">
        <w:rPr>
          <w:rFonts w:ascii="Arial" w:hAnsi="Arial"/>
          <w:sz w:val="24"/>
          <w:szCs w:val="24"/>
          <w:shd w:val="clear" w:color="auto" w:fill="FFFFFF"/>
        </w:rPr>
        <w:t xml:space="preserve">) per avviare le attività, che includeranno un nuovissimo impianto di produzione di batterie a Windsor, Ontario, Canada. </w:t>
      </w:r>
      <w:r w:rsidRPr="00BF2F7F">
        <w:rPr>
          <w:rFonts w:ascii="Arial" w:hAnsi="Arial"/>
          <w:sz w:val="24"/>
          <w:szCs w:val="24"/>
        </w:rPr>
        <w:t xml:space="preserve">L’inizio delle attività </w:t>
      </w:r>
      <w:r w:rsidR="006D610A" w:rsidRPr="00BF2F7F">
        <w:rPr>
          <w:rFonts w:ascii="Arial" w:hAnsi="Arial"/>
          <w:sz w:val="24"/>
          <w:szCs w:val="24"/>
        </w:rPr>
        <w:t>per la</w:t>
      </w:r>
      <w:r w:rsidRPr="00BF2F7F">
        <w:rPr>
          <w:rFonts w:ascii="Arial" w:hAnsi="Arial"/>
          <w:sz w:val="24"/>
          <w:szCs w:val="24"/>
        </w:rPr>
        <w:t xml:space="preserve"> costruzione dello stabilimento</w:t>
      </w:r>
      <w:r w:rsidR="006D610A" w:rsidRPr="00BF2F7F">
        <w:rPr>
          <w:rFonts w:ascii="Arial" w:hAnsi="Arial"/>
          <w:sz w:val="24"/>
          <w:szCs w:val="24"/>
        </w:rPr>
        <w:t xml:space="preserve"> </w:t>
      </w:r>
      <w:r w:rsidR="00883280" w:rsidRPr="00BF2F7F">
        <w:rPr>
          <w:rFonts w:ascii="Arial" w:hAnsi="Arial"/>
          <w:sz w:val="24"/>
          <w:szCs w:val="24"/>
        </w:rPr>
        <w:t>è previsto</w:t>
      </w:r>
      <w:r w:rsidR="006D610A" w:rsidRPr="00BF2F7F">
        <w:rPr>
          <w:rFonts w:ascii="Arial" w:hAnsi="Arial"/>
          <w:sz w:val="24"/>
          <w:szCs w:val="24"/>
        </w:rPr>
        <w:t xml:space="preserve"> entro la fine dell’anno e l’avvio delle operazioni di</w:t>
      </w:r>
      <w:r w:rsidRPr="00BF2F7F">
        <w:rPr>
          <w:rFonts w:ascii="Arial" w:hAnsi="Arial"/>
          <w:sz w:val="24"/>
          <w:szCs w:val="24"/>
        </w:rPr>
        <w:t xml:space="preserve"> produzione partiranno nel primo trimestre del 202</w:t>
      </w:r>
      <w:r w:rsidR="006D610A" w:rsidRPr="00BF2F7F">
        <w:rPr>
          <w:rFonts w:ascii="Arial" w:hAnsi="Arial"/>
          <w:sz w:val="24"/>
          <w:szCs w:val="24"/>
        </w:rPr>
        <w:t>4.</w:t>
      </w:r>
    </w:p>
    <w:p w14:paraId="0FAD11DA" w14:textId="77777777" w:rsidR="006D610A" w:rsidRPr="00BF2F7F" w:rsidRDefault="006D610A" w:rsidP="00830308">
      <w:pPr>
        <w:spacing w:after="0" w:line="240" w:lineRule="auto"/>
        <w:rPr>
          <w:rFonts w:ascii="Arial" w:hAnsi="Arial" w:cs="Arial"/>
          <w:sz w:val="24"/>
          <w:szCs w:val="24"/>
        </w:rPr>
      </w:pPr>
    </w:p>
    <w:p w14:paraId="6C30A9B6" w14:textId="13551B53" w:rsidR="006061F0" w:rsidRPr="00804029" w:rsidRDefault="00E136FF" w:rsidP="00830308">
      <w:pPr>
        <w:spacing w:after="0" w:line="240" w:lineRule="auto"/>
        <w:rPr>
          <w:rFonts w:ascii="Arial" w:hAnsi="Arial" w:cs="Arial"/>
          <w:sz w:val="24"/>
          <w:szCs w:val="24"/>
        </w:rPr>
      </w:pPr>
      <w:r w:rsidRPr="00BF2F7F">
        <w:rPr>
          <w:rFonts w:ascii="Arial" w:hAnsi="Arial"/>
          <w:sz w:val="24"/>
          <w:szCs w:val="24"/>
        </w:rPr>
        <w:t>L’im</w:t>
      </w:r>
      <w:r w:rsidRPr="00BF2F7F">
        <w:rPr>
          <w:rFonts w:ascii="Arial" w:hAnsi="Arial"/>
          <w:sz w:val="24"/>
          <w:szCs w:val="24"/>
          <w:shd w:val="clear" w:color="auto" w:fill="FFFFFF"/>
        </w:rPr>
        <w:t xml:space="preserve">pianto mira ad avere una capacità produttiva annuale superiore a </w:t>
      </w:r>
      <w:r w:rsidR="006D610A" w:rsidRPr="00BF2F7F">
        <w:rPr>
          <w:rFonts w:ascii="Arial" w:hAnsi="Arial"/>
          <w:sz w:val="24"/>
          <w:szCs w:val="24"/>
          <w:shd w:val="clear" w:color="auto" w:fill="FFFFFF"/>
        </w:rPr>
        <w:t>45</w:t>
      </w:r>
      <w:r w:rsidRPr="00BF2F7F">
        <w:rPr>
          <w:rFonts w:ascii="Arial" w:hAnsi="Arial"/>
          <w:sz w:val="24"/>
          <w:szCs w:val="24"/>
          <w:shd w:val="clear" w:color="auto" w:fill="FFFFFF"/>
        </w:rPr>
        <w:t xml:space="preserve"> gigawattora (GWh) e creerà fino a </w:t>
      </w:r>
      <w:r w:rsidR="006D610A" w:rsidRPr="00BF2F7F">
        <w:rPr>
          <w:rFonts w:ascii="Arial" w:hAnsi="Arial"/>
          <w:sz w:val="24"/>
          <w:szCs w:val="24"/>
          <w:shd w:val="clear" w:color="auto" w:fill="FFFFFF"/>
        </w:rPr>
        <w:t>2.500</w:t>
      </w:r>
      <w:r w:rsidRPr="00BF2F7F">
        <w:rPr>
          <w:rFonts w:ascii="Arial" w:hAnsi="Arial"/>
          <w:sz w:val="24"/>
          <w:szCs w:val="24"/>
          <w:shd w:val="clear" w:color="auto" w:fill="FFFFFF"/>
        </w:rPr>
        <w:t xml:space="preserve"> nuovi posti di lavoro a Windsor e nelle aree circostanti. A livello comunale, provinciale e federale</w:t>
      </w:r>
      <w:r w:rsidR="00C90C7E" w:rsidRPr="00BF2F7F">
        <w:rPr>
          <w:rFonts w:ascii="Arial" w:hAnsi="Arial"/>
          <w:sz w:val="24"/>
          <w:szCs w:val="24"/>
          <w:shd w:val="clear" w:color="auto" w:fill="FFFFFF"/>
        </w:rPr>
        <w:t xml:space="preserve"> del governo </w:t>
      </w:r>
      <w:r w:rsidRPr="00BF2F7F">
        <w:rPr>
          <w:rFonts w:ascii="Arial" w:hAnsi="Arial"/>
          <w:sz w:val="24"/>
          <w:szCs w:val="24"/>
          <w:shd w:val="clear" w:color="auto" w:fill="FFFFFF"/>
        </w:rPr>
        <w:t>canadese ha accettato di sostenere in pieno il successo dell</w:t>
      </w:r>
      <w:r w:rsidR="00A265A3">
        <w:rPr>
          <w:rFonts w:ascii="Arial" w:hAnsi="Arial"/>
          <w:sz w:val="24"/>
          <w:szCs w:val="24"/>
          <w:shd w:val="clear" w:color="auto" w:fill="FFFFFF"/>
        </w:rPr>
        <w:t>’</w:t>
      </w:r>
      <w:r w:rsidRPr="00BF2F7F">
        <w:rPr>
          <w:rFonts w:ascii="Arial" w:hAnsi="Arial"/>
          <w:sz w:val="24"/>
          <w:szCs w:val="24"/>
          <w:shd w:val="clear" w:color="auto" w:fill="FFFFFF"/>
        </w:rPr>
        <w:t>operazione</w:t>
      </w:r>
      <w:r w:rsidR="00C90C7E" w:rsidRPr="00BF2F7F">
        <w:rPr>
          <w:rFonts w:ascii="Arial" w:hAnsi="Arial"/>
          <w:sz w:val="24"/>
          <w:szCs w:val="24"/>
          <w:shd w:val="clear" w:color="auto" w:fill="FFFFFF"/>
        </w:rPr>
        <w:t xml:space="preserve"> della joint venture</w:t>
      </w:r>
      <w:r w:rsidRPr="00BF2F7F">
        <w:rPr>
          <w:rFonts w:ascii="Arial" w:hAnsi="Arial"/>
          <w:sz w:val="24"/>
          <w:szCs w:val="24"/>
          <w:shd w:val="clear" w:color="auto" w:fill="FFFFFF"/>
        </w:rPr>
        <w:t>.</w:t>
      </w:r>
    </w:p>
    <w:p w14:paraId="5BC5E624" w14:textId="77777777" w:rsidR="006D610A" w:rsidRPr="00804029" w:rsidRDefault="006D610A" w:rsidP="00830308">
      <w:pPr>
        <w:spacing w:after="0" w:line="240" w:lineRule="auto"/>
        <w:rPr>
          <w:rFonts w:ascii="Arial" w:hAnsi="Arial" w:cs="Arial"/>
          <w:sz w:val="24"/>
          <w:szCs w:val="24"/>
        </w:rPr>
      </w:pPr>
    </w:p>
    <w:p w14:paraId="6A2E93A2" w14:textId="6F66C7A3" w:rsidR="00196042" w:rsidRPr="00BF2F7F" w:rsidRDefault="00196042" w:rsidP="00830308">
      <w:pPr>
        <w:spacing w:after="0" w:line="240" w:lineRule="auto"/>
        <w:rPr>
          <w:rFonts w:ascii="Arial" w:hAnsi="Arial"/>
          <w:sz w:val="24"/>
          <w:szCs w:val="24"/>
        </w:rPr>
      </w:pPr>
      <w:r w:rsidRPr="00BF2F7F">
        <w:rPr>
          <w:rFonts w:ascii="Arial" w:hAnsi="Arial"/>
          <w:sz w:val="24"/>
          <w:szCs w:val="24"/>
        </w:rPr>
        <w:t xml:space="preserve">Con la collocazione </w:t>
      </w:r>
      <w:r w:rsidR="00C90C7E" w:rsidRPr="00BF2F7F">
        <w:rPr>
          <w:rFonts w:ascii="Arial" w:hAnsi="Arial"/>
          <w:sz w:val="24"/>
          <w:szCs w:val="24"/>
        </w:rPr>
        <w:t xml:space="preserve">dell’impianto di produzione </w:t>
      </w:r>
      <w:r w:rsidRPr="00BF2F7F">
        <w:rPr>
          <w:rFonts w:ascii="Arial" w:hAnsi="Arial"/>
          <w:sz w:val="24"/>
          <w:szCs w:val="24"/>
        </w:rPr>
        <w:t>a Windsor, Ontario, sede del più grande cluster automobilistico del Canada, Stellantis e LGES prevedono che lo stabilimento f</w:t>
      </w:r>
      <w:r w:rsidR="0004730B" w:rsidRPr="00BF2F7F">
        <w:rPr>
          <w:rFonts w:ascii="Arial" w:hAnsi="Arial"/>
          <w:sz w:val="24"/>
          <w:szCs w:val="24"/>
        </w:rPr>
        <w:t>arà</w:t>
      </w:r>
      <w:r w:rsidRPr="00BF2F7F">
        <w:rPr>
          <w:rFonts w:ascii="Arial" w:hAnsi="Arial"/>
          <w:sz w:val="24"/>
          <w:szCs w:val="24"/>
        </w:rPr>
        <w:t xml:space="preserve"> da catalizzatore per la creazione di una solida catena di fornitura di batterie nella regione. Il Canada è impegnato a stabilire un ampio ecosistema locale di batterie sfruttando, tra gli altri fattori, una posizione di leadership nella produzione di elettricità da fonti rinnovabili.</w:t>
      </w:r>
    </w:p>
    <w:p w14:paraId="36D1EDC0" w14:textId="77777777" w:rsidR="006D610A" w:rsidRPr="00BF2F7F" w:rsidRDefault="006D610A" w:rsidP="00830308">
      <w:pPr>
        <w:spacing w:after="0" w:line="240" w:lineRule="auto"/>
        <w:rPr>
          <w:rFonts w:ascii="Arial" w:hAnsi="Arial"/>
          <w:sz w:val="24"/>
          <w:szCs w:val="24"/>
        </w:rPr>
      </w:pPr>
    </w:p>
    <w:p w14:paraId="332F6FB0" w14:textId="02BFD7FF" w:rsidR="00020153" w:rsidRPr="00E776B3" w:rsidRDefault="00242AD7" w:rsidP="00830308">
      <w:pPr>
        <w:spacing w:after="0" w:line="240" w:lineRule="auto"/>
        <w:rPr>
          <w:rFonts w:ascii="Arial" w:hAnsi="Arial"/>
          <w:sz w:val="24"/>
          <w:szCs w:val="24"/>
          <w:shd w:val="clear" w:color="auto" w:fill="FFFFFF"/>
        </w:rPr>
      </w:pPr>
      <w:r w:rsidRPr="00BF2F7F">
        <w:rPr>
          <w:rFonts w:ascii="Arial" w:hAnsi="Arial"/>
          <w:sz w:val="24"/>
          <w:szCs w:val="24"/>
        </w:rPr>
        <w:t xml:space="preserve">“La </w:t>
      </w:r>
      <w:r w:rsidR="00C90C7E" w:rsidRPr="00BF2F7F">
        <w:rPr>
          <w:rFonts w:ascii="Arial" w:hAnsi="Arial"/>
          <w:sz w:val="24"/>
          <w:szCs w:val="24"/>
        </w:rPr>
        <w:t xml:space="preserve">nostra </w:t>
      </w:r>
      <w:r w:rsidRPr="00BF2F7F">
        <w:rPr>
          <w:rFonts w:ascii="Arial" w:hAnsi="Arial"/>
          <w:sz w:val="24"/>
          <w:szCs w:val="24"/>
        </w:rPr>
        <w:t>joint venture con LG Energy Solution è un altro passo verso la realizzazione del nostro ambizioso piano di elettrificazione nella regione, che mira a raggiungere il 50% delle vendite di veicoli elettrici a batteria negli Stati Uniti e in Canada entro la fine del decennio”, ha dichiarato Carlos Tavares, CEO di Stellantis. “</w:t>
      </w:r>
      <w:r w:rsidRPr="00BF2F7F">
        <w:rPr>
          <w:rFonts w:ascii="Arial" w:hAnsi="Arial"/>
          <w:sz w:val="24"/>
          <w:szCs w:val="24"/>
          <w:shd w:val="clear" w:color="auto" w:fill="FFFFFF"/>
        </w:rPr>
        <w:t>Siamo grati all’amministrazione canadese a livello comunale, provinciale e federale per il sostegno dimostrato e per l’impegno nel contribuire a posizionare</w:t>
      </w:r>
      <w:r w:rsidRPr="00E776B3">
        <w:rPr>
          <w:rFonts w:ascii="Arial" w:hAnsi="Arial"/>
          <w:sz w:val="24"/>
          <w:szCs w:val="24"/>
          <w:shd w:val="clear" w:color="auto" w:fill="FFFFFF"/>
        </w:rPr>
        <w:t xml:space="preserve"> il Canada come leader nella produzione di batterie per veicoli elettrici in Nord America.”</w:t>
      </w:r>
    </w:p>
    <w:p w14:paraId="36A9A25B" w14:textId="1BA666F5" w:rsidR="00341C78" w:rsidRPr="00E776B3" w:rsidRDefault="00341C78" w:rsidP="002639D5">
      <w:pPr>
        <w:spacing w:after="0" w:line="240" w:lineRule="auto"/>
        <w:rPr>
          <w:rFonts w:ascii="Arial" w:hAnsi="Arial" w:cs="Arial"/>
          <w:sz w:val="24"/>
          <w:szCs w:val="24"/>
          <w:shd w:val="clear" w:color="auto" w:fill="FFFFFF"/>
        </w:rPr>
      </w:pPr>
    </w:p>
    <w:p w14:paraId="1C8D4386" w14:textId="4D48C74F" w:rsidR="002639D5" w:rsidRPr="00804029" w:rsidRDefault="005D3BE9" w:rsidP="003F5D02">
      <w:pPr>
        <w:spacing w:after="0" w:line="240" w:lineRule="auto"/>
        <w:rPr>
          <w:rFonts w:ascii="Arial" w:hAnsi="Arial" w:cs="Arial"/>
          <w:sz w:val="24"/>
          <w:szCs w:val="24"/>
        </w:rPr>
      </w:pPr>
      <w:r w:rsidRPr="00BE293F">
        <w:rPr>
          <w:rFonts w:ascii="Arial" w:hAnsi="Arial"/>
          <w:sz w:val="24"/>
          <w:szCs w:val="24"/>
          <w:shd w:val="clear" w:color="auto" w:fill="FFFFFF"/>
        </w:rPr>
        <w:t>“</w:t>
      </w:r>
      <w:r w:rsidR="00E776B3" w:rsidRPr="00E776B3">
        <w:rPr>
          <w:rFonts w:ascii="Arial" w:hAnsi="Arial"/>
          <w:sz w:val="24"/>
          <w:szCs w:val="24"/>
          <w:shd w:val="clear" w:color="auto" w:fill="FFFFFF"/>
        </w:rPr>
        <w:t xml:space="preserve">Attraverso questa </w:t>
      </w:r>
      <w:r w:rsidRPr="00E776B3">
        <w:rPr>
          <w:rFonts w:ascii="Arial" w:hAnsi="Arial"/>
          <w:sz w:val="24"/>
          <w:szCs w:val="24"/>
          <w:shd w:val="clear" w:color="auto" w:fill="FFFFFF"/>
        </w:rPr>
        <w:t>joint venture, LG Energy Solution si posizionerà come attore determinante nella realizzazione di catene di valore dell</w:t>
      </w:r>
      <w:r w:rsidR="00A265A3">
        <w:rPr>
          <w:rFonts w:ascii="Arial" w:hAnsi="Arial"/>
          <w:sz w:val="24"/>
          <w:szCs w:val="24"/>
          <w:shd w:val="clear" w:color="auto" w:fill="FFFFFF"/>
        </w:rPr>
        <w:t>’</w:t>
      </w:r>
      <w:r w:rsidRPr="00E776B3">
        <w:rPr>
          <w:rFonts w:ascii="Arial" w:hAnsi="Arial"/>
          <w:sz w:val="24"/>
          <w:szCs w:val="24"/>
          <w:shd w:val="clear" w:color="auto" w:fill="FFFFFF"/>
        </w:rPr>
        <w:t xml:space="preserve">energia verde nella regione”, ha dichiarato Youngsoo Kwon, CEO di LG Energy Solution. </w:t>
      </w:r>
      <w:r w:rsidRPr="00E776B3">
        <w:rPr>
          <w:rFonts w:ascii="Arial" w:hAnsi="Arial"/>
          <w:sz w:val="24"/>
          <w:szCs w:val="24"/>
        </w:rPr>
        <w:t xml:space="preserve">“Creare una joint venture </w:t>
      </w:r>
      <w:r w:rsidRPr="00E776B3">
        <w:rPr>
          <w:rFonts w:ascii="Arial" w:hAnsi="Arial"/>
          <w:sz w:val="24"/>
          <w:szCs w:val="24"/>
        </w:rPr>
        <w:lastRenderedPageBreak/>
        <w:t>per la produzione di batterie in Canada, riconosciuta come una delle nazioni leader per le risorse energetiche rinnovabili, è fondamentale per LG Energy Solution, che mira ad alimentare sempre più veicoli elettrici in tutto il mondo.”</w:t>
      </w:r>
    </w:p>
    <w:p w14:paraId="0B096401" w14:textId="77777777" w:rsidR="00E776B3" w:rsidRPr="00E776B3" w:rsidRDefault="00E776B3" w:rsidP="00830308">
      <w:pPr>
        <w:spacing w:after="0" w:line="240" w:lineRule="auto"/>
        <w:rPr>
          <w:rFonts w:ascii="Roboto" w:hAnsi="Roboto"/>
          <w:iCs/>
          <w:color w:val="000000"/>
          <w:sz w:val="27"/>
          <w:szCs w:val="27"/>
          <w:shd w:val="clear" w:color="auto" w:fill="F5F5F5"/>
        </w:rPr>
      </w:pPr>
    </w:p>
    <w:p w14:paraId="1C8FFA32" w14:textId="572775F4" w:rsidR="004C3674" w:rsidRPr="00CB753B" w:rsidRDefault="00A265A3" w:rsidP="00830308">
      <w:pPr>
        <w:spacing w:after="0" w:line="240" w:lineRule="auto"/>
        <w:rPr>
          <w:rFonts w:ascii="Arial" w:eastAsia="Times New Roman" w:hAnsi="Arial" w:cs="Arial"/>
          <w:iCs/>
          <w:sz w:val="24"/>
          <w:szCs w:val="24"/>
        </w:rPr>
      </w:pPr>
      <w:r>
        <w:rPr>
          <w:rFonts w:ascii="Arial" w:eastAsia="Times New Roman" w:hAnsi="Arial" w:cs="Arial"/>
          <w:iCs/>
          <w:sz w:val="24"/>
          <w:szCs w:val="24"/>
        </w:rPr>
        <w:t>“</w:t>
      </w:r>
      <w:r w:rsidR="00E776B3" w:rsidRPr="00E776B3">
        <w:rPr>
          <w:rFonts w:ascii="Arial" w:eastAsia="Times New Roman" w:hAnsi="Arial" w:cs="Arial"/>
          <w:iCs/>
          <w:sz w:val="24"/>
          <w:szCs w:val="24"/>
        </w:rPr>
        <w:t>L</w:t>
      </w:r>
      <w:r>
        <w:rPr>
          <w:rFonts w:ascii="Arial" w:eastAsia="Times New Roman" w:hAnsi="Arial" w:cs="Arial"/>
          <w:iCs/>
          <w:sz w:val="24"/>
          <w:szCs w:val="24"/>
        </w:rPr>
        <w:t>’</w:t>
      </w:r>
      <w:r w:rsidR="00E776B3" w:rsidRPr="00E776B3">
        <w:rPr>
          <w:rFonts w:ascii="Arial" w:eastAsia="Times New Roman" w:hAnsi="Arial" w:cs="Arial"/>
          <w:iCs/>
          <w:sz w:val="24"/>
          <w:szCs w:val="24"/>
        </w:rPr>
        <w:t>annuncio di oggi di una struttura leader mondiale per costruire batterie per veicoli elettrici a Windsor è un investimento nei nostri lavoratori, nelle nostre comunità e nel nostro futuro. Partnership come queste sono fondamentali per creare nuovi posti di lavoro e mettere il Canada all</w:t>
      </w:r>
      <w:r>
        <w:rPr>
          <w:rFonts w:ascii="Arial" w:eastAsia="Times New Roman" w:hAnsi="Arial" w:cs="Arial"/>
          <w:iCs/>
          <w:sz w:val="24"/>
          <w:szCs w:val="24"/>
        </w:rPr>
        <w:t>’</w:t>
      </w:r>
      <w:r w:rsidR="00E776B3" w:rsidRPr="00E776B3">
        <w:rPr>
          <w:rFonts w:ascii="Arial" w:eastAsia="Times New Roman" w:hAnsi="Arial" w:cs="Arial"/>
          <w:iCs/>
          <w:sz w:val="24"/>
          <w:szCs w:val="24"/>
        </w:rPr>
        <w:t>avanguardia dell</w:t>
      </w:r>
      <w:r>
        <w:rPr>
          <w:rFonts w:ascii="Arial" w:eastAsia="Times New Roman" w:hAnsi="Arial" w:cs="Arial"/>
          <w:iCs/>
          <w:sz w:val="24"/>
          <w:szCs w:val="24"/>
        </w:rPr>
        <w:t>’</w:t>
      </w:r>
      <w:r w:rsidR="00E776B3" w:rsidRPr="00E776B3">
        <w:rPr>
          <w:rFonts w:ascii="Arial" w:eastAsia="Times New Roman" w:hAnsi="Arial" w:cs="Arial"/>
          <w:iCs/>
          <w:sz w:val="24"/>
          <w:szCs w:val="24"/>
        </w:rPr>
        <w:t>economia pulita. Lavorando insieme, stiamo creando migliaia di nuovi posti di lavoro, facendo la differenza nella vita delle persone ora e assicurandoci che le generazioni future abbiano un ambiente pulito in cui vivere</w:t>
      </w:r>
      <w:r>
        <w:rPr>
          <w:rFonts w:ascii="Arial" w:eastAsia="Times New Roman" w:hAnsi="Arial" w:cs="Arial"/>
          <w:iCs/>
          <w:sz w:val="24"/>
          <w:szCs w:val="24"/>
        </w:rPr>
        <w:t>”</w:t>
      </w:r>
      <w:r w:rsidR="00E776B3">
        <w:rPr>
          <w:rFonts w:ascii="Arial" w:eastAsia="Times New Roman" w:hAnsi="Arial" w:cs="Arial"/>
          <w:iCs/>
          <w:sz w:val="24"/>
          <w:szCs w:val="24"/>
        </w:rPr>
        <w:t xml:space="preserve"> ha </w:t>
      </w:r>
      <w:r w:rsidR="00E776B3" w:rsidRPr="00BF2F7F">
        <w:rPr>
          <w:rFonts w:ascii="Arial" w:eastAsia="Times New Roman" w:hAnsi="Arial" w:cs="Arial"/>
          <w:iCs/>
          <w:sz w:val="24"/>
          <w:szCs w:val="24"/>
        </w:rPr>
        <w:t>sottolineato</w:t>
      </w:r>
      <w:r w:rsidR="00BE293F" w:rsidRPr="00BF2F7F">
        <w:rPr>
          <w:rFonts w:ascii="Arial" w:eastAsia="Times New Roman" w:hAnsi="Arial" w:cs="Arial"/>
          <w:iCs/>
          <w:sz w:val="24"/>
          <w:szCs w:val="24"/>
        </w:rPr>
        <w:t xml:space="preserve"> l’Onorevole</w:t>
      </w:r>
      <w:r w:rsidR="00E776B3">
        <w:rPr>
          <w:rFonts w:ascii="Arial" w:eastAsia="Times New Roman" w:hAnsi="Arial" w:cs="Arial"/>
          <w:iCs/>
          <w:sz w:val="24"/>
          <w:szCs w:val="24"/>
        </w:rPr>
        <w:t xml:space="preserve"> </w:t>
      </w:r>
      <w:r w:rsidR="00E776B3" w:rsidRPr="00E776B3">
        <w:rPr>
          <w:rFonts w:ascii="Arial" w:eastAsia="Times New Roman" w:hAnsi="Arial" w:cs="Arial"/>
          <w:iCs/>
          <w:sz w:val="24"/>
          <w:szCs w:val="24"/>
        </w:rPr>
        <w:t>Justin Trudeau, Primo Ministro del Canada</w:t>
      </w:r>
    </w:p>
    <w:p w14:paraId="6A42207C" w14:textId="77777777" w:rsidR="0088493C" w:rsidRPr="00CB753B" w:rsidRDefault="0088493C" w:rsidP="00830308">
      <w:pPr>
        <w:spacing w:after="0" w:line="240" w:lineRule="auto"/>
        <w:rPr>
          <w:rFonts w:ascii="Arial" w:eastAsia="Times New Roman" w:hAnsi="Arial" w:cs="Arial"/>
          <w:iCs/>
          <w:sz w:val="24"/>
          <w:szCs w:val="24"/>
        </w:rPr>
      </w:pPr>
    </w:p>
    <w:p w14:paraId="6B45BC1D" w14:textId="5F3567B3" w:rsidR="0088493C" w:rsidRPr="00CB753B" w:rsidRDefault="00A265A3" w:rsidP="00830308">
      <w:pPr>
        <w:spacing w:after="0" w:line="240" w:lineRule="auto"/>
        <w:rPr>
          <w:rFonts w:ascii="Arial" w:eastAsia="Times New Roman" w:hAnsi="Arial" w:cs="Arial"/>
          <w:iCs/>
          <w:sz w:val="24"/>
          <w:szCs w:val="24"/>
        </w:rPr>
      </w:pPr>
      <w:r>
        <w:rPr>
          <w:rFonts w:ascii="Arial" w:eastAsia="Times New Roman" w:hAnsi="Arial" w:cs="Arial"/>
          <w:iCs/>
          <w:sz w:val="24"/>
          <w:szCs w:val="24"/>
        </w:rPr>
        <w:t>“</w:t>
      </w:r>
      <w:r w:rsidR="00CB753B" w:rsidRPr="00CB753B">
        <w:rPr>
          <w:rFonts w:ascii="Arial" w:eastAsia="Times New Roman" w:hAnsi="Arial" w:cs="Arial"/>
          <w:iCs/>
          <w:sz w:val="24"/>
          <w:szCs w:val="24"/>
        </w:rPr>
        <w:t>Attrarre questo investimento multimiliardario assicurerà il posto dell</w:t>
      </w:r>
      <w:r>
        <w:rPr>
          <w:rFonts w:ascii="Arial" w:eastAsia="Times New Roman" w:hAnsi="Arial" w:cs="Arial"/>
          <w:iCs/>
          <w:sz w:val="24"/>
          <w:szCs w:val="24"/>
        </w:rPr>
        <w:t>’</w:t>
      </w:r>
      <w:r w:rsidR="00CB753B" w:rsidRPr="00CB753B">
        <w:rPr>
          <w:rFonts w:ascii="Arial" w:eastAsia="Times New Roman" w:hAnsi="Arial" w:cs="Arial"/>
          <w:iCs/>
          <w:sz w:val="24"/>
          <w:szCs w:val="24"/>
        </w:rPr>
        <w:t>Ontario come hub nordamericano per la costruzione delle auto e delle batterie del futuro. Mentre ci assicuriamo investimenti che cambiano il gioco, stiamo anche collegando le risorse, le industrie e i lavoratori dell</w:t>
      </w:r>
      <w:r>
        <w:rPr>
          <w:rFonts w:ascii="Arial" w:eastAsia="Times New Roman" w:hAnsi="Arial" w:cs="Arial"/>
          <w:iCs/>
          <w:sz w:val="24"/>
          <w:szCs w:val="24"/>
        </w:rPr>
        <w:t>’</w:t>
      </w:r>
      <w:r w:rsidR="00CB753B" w:rsidRPr="00CB753B">
        <w:rPr>
          <w:rFonts w:ascii="Arial" w:eastAsia="Times New Roman" w:hAnsi="Arial" w:cs="Arial"/>
          <w:iCs/>
          <w:sz w:val="24"/>
          <w:szCs w:val="24"/>
        </w:rPr>
        <w:t>Ontario settentrionale con la forza produttiva dell</w:t>
      </w:r>
      <w:r>
        <w:rPr>
          <w:rFonts w:ascii="Arial" w:eastAsia="Times New Roman" w:hAnsi="Arial" w:cs="Arial"/>
          <w:iCs/>
          <w:sz w:val="24"/>
          <w:szCs w:val="24"/>
        </w:rPr>
        <w:t>’</w:t>
      </w:r>
      <w:r w:rsidR="00CB753B" w:rsidRPr="00CB753B">
        <w:rPr>
          <w:rFonts w:ascii="Arial" w:eastAsia="Times New Roman" w:hAnsi="Arial" w:cs="Arial"/>
          <w:iCs/>
          <w:sz w:val="24"/>
          <w:szCs w:val="24"/>
        </w:rPr>
        <w:t>Ontario meridionale per costruire catene di approvvigionamento locali. Ogni regione dell</w:t>
      </w:r>
      <w:r>
        <w:rPr>
          <w:rFonts w:ascii="Arial" w:eastAsia="Times New Roman" w:hAnsi="Arial" w:cs="Arial"/>
          <w:iCs/>
          <w:sz w:val="24"/>
          <w:szCs w:val="24"/>
        </w:rPr>
        <w:t>’</w:t>
      </w:r>
      <w:r w:rsidR="00CB753B" w:rsidRPr="00CB753B">
        <w:rPr>
          <w:rFonts w:ascii="Arial" w:eastAsia="Times New Roman" w:hAnsi="Arial" w:cs="Arial"/>
          <w:iCs/>
          <w:sz w:val="24"/>
          <w:szCs w:val="24"/>
        </w:rPr>
        <w:t>Ontario ne beneficerà con la creazione di migliaia di posti di lavoro e un</w:t>
      </w:r>
      <w:r>
        <w:rPr>
          <w:rFonts w:ascii="Arial" w:eastAsia="Times New Roman" w:hAnsi="Arial" w:cs="Arial"/>
          <w:iCs/>
          <w:sz w:val="24"/>
          <w:szCs w:val="24"/>
        </w:rPr>
        <w:t>’</w:t>
      </w:r>
      <w:r w:rsidR="00CB753B" w:rsidRPr="00CB753B">
        <w:rPr>
          <w:rFonts w:ascii="Arial" w:eastAsia="Times New Roman" w:hAnsi="Arial" w:cs="Arial"/>
          <w:iCs/>
          <w:sz w:val="24"/>
          <w:szCs w:val="24"/>
        </w:rPr>
        <w:t>economia più forte che funziona per tutti</w:t>
      </w:r>
      <w:r>
        <w:rPr>
          <w:rFonts w:ascii="Arial" w:eastAsia="Times New Roman" w:hAnsi="Arial" w:cs="Arial"/>
          <w:iCs/>
          <w:sz w:val="24"/>
          <w:szCs w:val="24"/>
        </w:rPr>
        <w:t>”</w:t>
      </w:r>
      <w:r w:rsidR="00CB753B">
        <w:rPr>
          <w:rFonts w:ascii="Arial" w:eastAsia="Times New Roman" w:hAnsi="Arial" w:cs="Arial"/>
          <w:iCs/>
          <w:sz w:val="24"/>
          <w:szCs w:val="24"/>
        </w:rPr>
        <w:t xml:space="preserve"> ha commentato il </w:t>
      </w:r>
      <w:r w:rsidR="00CB753B" w:rsidRPr="00CB753B">
        <w:rPr>
          <w:rFonts w:ascii="Arial" w:eastAsia="Times New Roman" w:hAnsi="Arial" w:cs="Arial"/>
          <w:iCs/>
          <w:sz w:val="24"/>
          <w:szCs w:val="24"/>
        </w:rPr>
        <w:t>Premier</w:t>
      </w:r>
      <w:r w:rsidR="00CB753B">
        <w:rPr>
          <w:rFonts w:ascii="Arial" w:eastAsia="Times New Roman" w:hAnsi="Arial" w:cs="Arial"/>
          <w:iCs/>
          <w:sz w:val="24"/>
          <w:szCs w:val="24"/>
        </w:rPr>
        <w:t xml:space="preserve">, </w:t>
      </w:r>
      <w:r w:rsidR="00CB753B" w:rsidRPr="00CB753B">
        <w:rPr>
          <w:rFonts w:ascii="Arial" w:eastAsia="Times New Roman" w:hAnsi="Arial" w:cs="Arial"/>
          <w:iCs/>
          <w:sz w:val="24"/>
          <w:szCs w:val="24"/>
        </w:rPr>
        <w:t>Doug Ford</w:t>
      </w:r>
    </w:p>
    <w:p w14:paraId="2597BD4A" w14:textId="49459620" w:rsidR="00F079A3" w:rsidRPr="005A4283" w:rsidRDefault="00F079A3" w:rsidP="00830308">
      <w:pPr>
        <w:spacing w:after="0" w:line="240" w:lineRule="auto"/>
        <w:rPr>
          <w:rFonts w:ascii="Arial" w:eastAsia="Times New Roman" w:hAnsi="Arial" w:cs="Arial"/>
          <w:iCs/>
          <w:sz w:val="24"/>
          <w:szCs w:val="24"/>
        </w:rPr>
      </w:pPr>
    </w:p>
    <w:p w14:paraId="0D9D2617" w14:textId="62F573C2" w:rsidR="00F079A3" w:rsidRPr="005A4283" w:rsidRDefault="00A265A3" w:rsidP="00830308">
      <w:pPr>
        <w:spacing w:after="0" w:line="240" w:lineRule="auto"/>
        <w:rPr>
          <w:rFonts w:ascii="Arial" w:hAnsi="Arial"/>
          <w:iCs/>
          <w:sz w:val="24"/>
          <w:szCs w:val="24"/>
        </w:rPr>
      </w:pPr>
      <w:r>
        <w:rPr>
          <w:rFonts w:ascii="Arial" w:hAnsi="Arial"/>
          <w:iCs/>
          <w:sz w:val="24"/>
          <w:szCs w:val="24"/>
        </w:rPr>
        <w:t>“</w:t>
      </w:r>
      <w:r w:rsidR="005A4283" w:rsidRPr="005A4283">
        <w:rPr>
          <w:rFonts w:ascii="Arial" w:hAnsi="Arial"/>
          <w:iCs/>
          <w:sz w:val="24"/>
          <w:szCs w:val="24"/>
        </w:rPr>
        <w:t>Stellantis è il più grande datore di lavoro di Windsor e ha una ricca storia in questa comunità. Chrysler ha iniziato le operazioni in questa comunità nel 192</w:t>
      </w:r>
      <w:r w:rsidR="00AE4330">
        <w:rPr>
          <w:rFonts w:ascii="Arial" w:hAnsi="Arial"/>
          <w:iCs/>
          <w:sz w:val="24"/>
          <w:szCs w:val="24"/>
        </w:rPr>
        <w:t>5</w:t>
      </w:r>
      <w:r w:rsidR="005A4283" w:rsidRPr="005A4283">
        <w:rPr>
          <w:rFonts w:ascii="Arial" w:hAnsi="Arial"/>
          <w:iCs/>
          <w:sz w:val="24"/>
          <w:szCs w:val="24"/>
        </w:rPr>
        <w:t xml:space="preserve"> e ha impiegato generazioni di lavoratori di Windsor-Essex nel suo stabilimento. Con questo annuncio, stiamo assicurando il futuro per migliaia di altri lavoratori locali e garantendo la posizione strategica di Windsor come sede del futuro dei veicoli elettrici del Canada. Mentre il mondo si orienta verso i veicoli elettrici, Windsor sarà presto sede dell</w:t>
      </w:r>
      <w:r>
        <w:rPr>
          <w:rFonts w:ascii="Arial" w:hAnsi="Arial"/>
          <w:iCs/>
          <w:sz w:val="24"/>
          <w:szCs w:val="24"/>
        </w:rPr>
        <w:t>’</w:t>
      </w:r>
      <w:r w:rsidR="005A4283" w:rsidRPr="005A4283">
        <w:rPr>
          <w:rFonts w:ascii="Arial" w:hAnsi="Arial"/>
          <w:iCs/>
          <w:sz w:val="24"/>
          <w:szCs w:val="24"/>
        </w:rPr>
        <w:t>impianto di produzione di batterie che alimenta il tutto</w:t>
      </w:r>
      <w:r>
        <w:rPr>
          <w:rFonts w:ascii="Arial" w:hAnsi="Arial"/>
          <w:iCs/>
          <w:sz w:val="24"/>
          <w:szCs w:val="24"/>
        </w:rPr>
        <w:t>”</w:t>
      </w:r>
      <w:r w:rsidR="006923D3">
        <w:rPr>
          <w:rFonts w:ascii="Arial" w:hAnsi="Arial"/>
          <w:iCs/>
          <w:sz w:val="24"/>
          <w:szCs w:val="24"/>
        </w:rPr>
        <w:t xml:space="preserve"> ha detto il </w:t>
      </w:r>
      <w:r w:rsidR="005A4283" w:rsidRPr="005A4283">
        <w:rPr>
          <w:rFonts w:ascii="Arial" w:hAnsi="Arial"/>
          <w:iCs/>
          <w:sz w:val="24"/>
          <w:szCs w:val="24"/>
        </w:rPr>
        <w:t>Sindaco di Windsor, Drew Dilkens</w:t>
      </w:r>
    </w:p>
    <w:p w14:paraId="3B89F1E5" w14:textId="77777777" w:rsidR="0007479D" w:rsidRPr="00804029" w:rsidRDefault="0007479D" w:rsidP="00830308">
      <w:pPr>
        <w:spacing w:after="0" w:line="240" w:lineRule="auto"/>
        <w:rPr>
          <w:rFonts w:ascii="Arial" w:hAnsi="Arial" w:cs="Arial"/>
          <w:sz w:val="24"/>
          <w:szCs w:val="24"/>
          <w:shd w:val="clear" w:color="auto" w:fill="FFFFFF"/>
        </w:rPr>
      </w:pPr>
    </w:p>
    <w:p w14:paraId="756247CD" w14:textId="633AFB13" w:rsidR="00E02D79" w:rsidRPr="00804029" w:rsidRDefault="0040282E" w:rsidP="00830308">
      <w:pPr>
        <w:spacing w:after="0" w:line="240" w:lineRule="auto"/>
        <w:rPr>
          <w:rFonts w:ascii="Arial" w:hAnsi="Arial" w:cs="Arial"/>
          <w:sz w:val="24"/>
          <w:szCs w:val="24"/>
          <w:shd w:val="clear" w:color="auto" w:fill="FFFFFF"/>
        </w:rPr>
      </w:pPr>
      <w:r w:rsidRPr="00804029">
        <w:rPr>
          <w:rFonts w:ascii="Arial" w:hAnsi="Arial"/>
          <w:bCs/>
          <w:sz w:val="24"/>
          <w:szCs w:val="24"/>
        </w:rPr>
        <w:t xml:space="preserve">Come parte del piano strategico </w:t>
      </w:r>
      <w:hyperlink r:id="rId9" w:history="1">
        <w:r w:rsidRPr="00804029">
          <w:rPr>
            <w:rStyle w:val="Collegamentoipertestuale"/>
            <w:rFonts w:ascii="Arial" w:hAnsi="Arial"/>
            <w:bCs/>
            <w:sz w:val="24"/>
            <w:szCs w:val="24"/>
          </w:rPr>
          <w:t xml:space="preserve">Dare </w:t>
        </w:r>
        <w:proofErr w:type="spellStart"/>
        <w:r w:rsidRPr="00804029">
          <w:rPr>
            <w:rStyle w:val="Collegamentoipertestuale"/>
            <w:rFonts w:ascii="Arial" w:hAnsi="Arial"/>
            <w:bCs/>
            <w:sz w:val="24"/>
            <w:szCs w:val="24"/>
          </w:rPr>
          <w:t>Forward</w:t>
        </w:r>
        <w:proofErr w:type="spellEnd"/>
        <w:r w:rsidRPr="00804029">
          <w:rPr>
            <w:rStyle w:val="Collegamentoipertestuale"/>
            <w:rFonts w:ascii="Arial" w:hAnsi="Arial"/>
            <w:bCs/>
            <w:sz w:val="24"/>
            <w:szCs w:val="24"/>
          </w:rPr>
          <w:t xml:space="preserve"> 2030</w:t>
        </w:r>
      </w:hyperlink>
      <w:r w:rsidRPr="00804029">
        <w:rPr>
          <w:rFonts w:ascii="Arial" w:hAnsi="Arial"/>
          <w:bCs/>
          <w:sz w:val="24"/>
          <w:szCs w:val="24"/>
        </w:rPr>
        <w:t xml:space="preserve">, Stellantis ha annunciato piani per realizzare globalmente vendite di veicoli elettrici a batteria per cinque milioni </w:t>
      </w:r>
      <w:r w:rsidRPr="006923D3">
        <w:rPr>
          <w:rFonts w:ascii="Arial" w:hAnsi="Arial"/>
          <w:bCs/>
          <w:sz w:val="24"/>
          <w:szCs w:val="24"/>
        </w:rPr>
        <w:t>di unità nel 2030, raggiungendo con i BEV il 100% del mix di vendite di autovetture in Europa e il 50% di autovetture e veicoli commerciali leggeri in Nord America. Stellantis ha inoltre aumentato la capacità pianificata di batterie da 140 GWh a circa 400 GWh, grazie al supporto di cinque impianti di produzione di batterie e di contratti di fornitura aggiuntivi.</w:t>
      </w:r>
      <w:r w:rsidRPr="00804029">
        <w:rPr>
          <w:rFonts w:ascii="Arial" w:hAnsi="Arial"/>
          <w:bCs/>
          <w:sz w:val="24"/>
          <w:szCs w:val="24"/>
        </w:rPr>
        <w:t xml:space="preserve"> </w:t>
      </w:r>
    </w:p>
    <w:p w14:paraId="5CA1B08D" w14:textId="77777777" w:rsidR="009B1488" w:rsidRPr="00804029" w:rsidRDefault="009B1488" w:rsidP="00830308">
      <w:pPr>
        <w:spacing w:after="0" w:line="240" w:lineRule="auto"/>
        <w:rPr>
          <w:rFonts w:ascii="Arial" w:hAnsi="Arial" w:cs="Arial"/>
          <w:sz w:val="24"/>
          <w:szCs w:val="24"/>
          <w:shd w:val="clear" w:color="auto" w:fill="FFFFFF"/>
        </w:rPr>
      </w:pPr>
    </w:p>
    <w:p w14:paraId="59514B6F" w14:textId="0F9B1A8E" w:rsidR="006923D3" w:rsidRPr="00672240" w:rsidRDefault="006A7531" w:rsidP="00992449">
      <w:pPr>
        <w:spacing w:after="0" w:line="240" w:lineRule="auto"/>
        <w:rPr>
          <w:rFonts w:ascii="Arial" w:hAnsi="Arial"/>
          <w:sz w:val="24"/>
          <w:szCs w:val="24"/>
          <w:shd w:val="clear" w:color="auto" w:fill="FFFFFF"/>
        </w:rPr>
      </w:pPr>
      <w:r w:rsidRPr="006923D3">
        <w:rPr>
          <w:rFonts w:ascii="Arial" w:hAnsi="Arial"/>
          <w:sz w:val="24"/>
          <w:szCs w:val="24"/>
          <w:shd w:val="clear" w:color="auto" w:fill="FFFFFF"/>
        </w:rPr>
        <w:t>LG Energy Solution</w:t>
      </w:r>
      <w:r>
        <w:rPr>
          <w:rFonts w:ascii="Arial" w:hAnsi="Arial"/>
          <w:sz w:val="24"/>
          <w:szCs w:val="24"/>
          <w:shd w:val="clear" w:color="auto" w:fill="FFFFFF"/>
        </w:rPr>
        <w:t>,</w:t>
      </w:r>
      <w:r w:rsidRPr="006923D3">
        <w:rPr>
          <w:rFonts w:ascii="Arial" w:hAnsi="Arial"/>
          <w:sz w:val="24"/>
          <w:szCs w:val="24"/>
          <w:shd w:val="clear" w:color="auto" w:fill="FFFFFF"/>
        </w:rPr>
        <w:t xml:space="preserve"> </w:t>
      </w:r>
      <w:r>
        <w:rPr>
          <w:rFonts w:ascii="Arial" w:hAnsi="Arial"/>
          <w:sz w:val="24"/>
          <w:szCs w:val="24"/>
          <w:shd w:val="clear" w:color="auto" w:fill="FFFFFF"/>
        </w:rPr>
        <w:t>c</w:t>
      </w:r>
      <w:r w:rsidR="002B33FC" w:rsidRPr="006923D3">
        <w:rPr>
          <w:rFonts w:ascii="Arial" w:hAnsi="Arial"/>
          <w:sz w:val="24"/>
          <w:szCs w:val="24"/>
          <w:shd w:val="clear" w:color="auto" w:fill="FFFFFF"/>
        </w:rPr>
        <w:t xml:space="preserve">on </w:t>
      </w:r>
      <w:r>
        <w:rPr>
          <w:rFonts w:ascii="Arial" w:hAnsi="Arial"/>
          <w:sz w:val="24"/>
          <w:szCs w:val="24"/>
          <w:shd w:val="clear" w:color="auto" w:fill="FFFFFF"/>
        </w:rPr>
        <w:t>quest’</w:t>
      </w:r>
      <w:r w:rsidR="002B33FC" w:rsidRPr="006923D3">
        <w:rPr>
          <w:rFonts w:ascii="Arial" w:hAnsi="Arial"/>
          <w:sz w:val="24"/>
          <w:szCs w:val="24"/>
          <w:shd w:val="clear" w:color="auto" w:fill="FFFFFF"/>
        </w:rPr>
        <w:t xml:space="preserve">ultimo annuncio, si è assicurata una capacità di produzione </w:t>
      </w:r>
      <w:r w:rsidR="002B33FC" w:rsidRPr="00BF2F7F">
        <w:rPr>
          <w:rFonts w:ascii="Arial" w:hAnsi="Arial"/>
          <w:sz w:val="24"/>
          <w:szCs w:val="24"/>
          <w:shd w:val="clear" w:color="auto" w:fill="FFFFFF"/>
        </w:rPr>
        <w:t xml:space="preserve">di </w:t>
      </w:r>
      <w:r w:rsidR="003317D4" w:rsidRPr="00BF2F7F">
        <w:rPr>
          <w:rFonts w:ascii="Arial" w:hAnsi="Arial"/>
          <w:sz w:val="24"/>
          <w:szCs w:val="24"/>
          <w:shd w:val="clear" w:color="auto" w:fill="FFFFFF"/>
        </w:rPr>
        <w:t xml:space="preserve">oltre </w:t>
      </w:r>
      <w:r w:rsidR="002B33FC" w:rsidRPr="00BF2F7F">
        <w:rPr>
          <w:rFonts w:ascii="Arial" w:hAnsi="Arial"/>
          <w:sz w:val="24"/>
          <w:szCs w:val="24"/>
          <w:shd w:val="clear" w:color="auto" w:fill="FFFFFF"/>
        </w:rPr>
        <w:t>200 GWh in Nord America ogni anno, che consentirà la produzione di 2,5 milioni di veicoli elettrici ad alte prestazioni.</w:t>
      </w:r>
      <w:r w:rsidRPr="00BF2F7F">
        <w:rPr>
          <w:rFonts w:ascii="Arial" w:hAnsi="Arial"/>
          <w:sz w:val="24"/>
          <w:szCs w:val="24"/>
          <w:shd w:val="clear" w:color="auto" w:fill="FFFFFF"/>
        </w:rPr>
        <w:t xml:space="preserve"> </w:t>
      </w:r>
      <w:r w:rsidR="002B33FC" w:rsidRPr="00BF2F7F">
        <w:rPr>
          <w:rFonts w:ascii="Arial" w:hAnsi="Arial"/>
          <w:sz w:val="24"/>
          <w:szCs w:val="24"/>
          <w:shd w:val="clear" w:color="auto" w:fill="FFFFFF"/>
        </w:rPr>
        <w:t>Il produttore di batterie ha precedentemente annunciato</w:t>
      </w:r>
      <w:r w:rsidR="002B33FC" w:rsidRPr="006923D3">
        <w:rPr>
          <w:rFonts w:ascii="Arial" w:hAnsi="Arial"/>
          <w:sz w:val="24"/>
          <w:szCs w:val="24"/>
          <w:shd w:val="clear" w:color="auto" w:fill="FFFFFF"/>
        </w:rPr>
        <w:t xml:space="preserve"> piani per investire circa 4,6 miliardi di </w:t>
      </w:r>
      <w:r w:rsidR="006923D3" w:rsidRPr="006923D3">
        <w:rPr>
          <w:rFonts w:ascii="Arial" w:hAnsi="Arial"/>
          <w:sz w:val="24"/>
          <w:szCs w:val="24"/>
          <w:shd w:val="clear" w:color="auto" w:fill="FFFFFF"/>
        </w:rPr>
        <w:t>dollari statunitensi</w:t>
      </w:r>
      <w:r w:rsidR="002B33FC" w:rsidRPr="006923D3">
        <w:rPr>
          <w:rFonts w:ascii="Arial" w:hAnsi="Arial"/>
          <w:sz w:val="24"/>
          <w:szCs w:val="24"/>
          <w:shd w:val="clear" w:color="auto" w:fill="FFFFFF"/>
        </w:rPr>
        <w:t xml:space="preserve"> in impianti dedicati alla produzione di batterie in Nord America. A livello globale, LGES è in procinto di espandere la propria rete di produzione internazionale in più continenti, inclusi Paesi come Canada, Stati Uniti, Polonia, Indonesia, Cina e Corea del Sud. </w:t>
      </w:r>
    </w:p>
    <w:p w14:paraId="4FC54894" w14:textId="77777777" w:rsidR="006923D3" w:rsidRPr="006923D3" w:rsidRDefault="006923D3" w:rsidP="006923D3">
      <w:pPr>
        <w:spacing w:after="0" w:line="240" w:lineRule="auto"/>
        <w:rPr>
          <w:rFonts w:ascii="Arial" w:hAnsi="Arial" w:cs="Arial"/>
          <w:sz w:val="24"/>
          <w:szCs w:val="24"/>
          <w:shd w:val="clear" w:color="auto" w:fill="FFFFFF"/>
        </w:rPr>
      </w:pPr>
    </w:p>
    <w:p w14:paraId="792FCD49" w14:textId="7D66C9DE" w:rsidR="00621455" w:rsidRPr="00672240" w:rsidRDefault="006923D3" w:rsidP="00992449">
      <w:pPr>
        <w:spacing w:after="0" w:line="240" w:lineRule="auto"/>
        <w:rPr>
          <w:rFonts w:ascii="Arial" w:hAnsi="Arial" w:cs="Arial"/>
          <w:sz w:val="24"/>
          <w:szCs w:val="24"/>
          <w:highlight w:val="green"/>
          <w:shd w:val="clear" w:color="auto" w:fill="FFFFFF"/>
        </w:rPr>
      </w:pPr>
      <w:r w:rsidRPr="006923D3">
        <w:rPr>
          <w:rFonts w:ascii="Arial" w:hAnsi="Arial" w:cs="Arial"/>
          <w:sz w:val="24"/>
          <w:szCs w:val="24"/>
          <w:shd w:val="clear" w:color="auto" w:fill="FFFFFF"/>
        </w:rPr>
        <w:t>La chiusura è soggetta alle consuete condizioni di chiusura, comprese le approvazioni normative</w:t>
      </w:r>
      <w:r w:rsidR="00A265A3">
        <w:rPr>
          <w:rFonts w:ascii="Arial" w:hAnsi="Arial" w:cs="Arial"/>
          <w:sz w:val="24"/>
          <w:szCs w:val="24"/>
          <w:shd w:val="clear" w:color="auto" w:fill="FFFFFF"/>
        </w:rPr>
        <w:t>.</w:t>
      </w:r>
    </w:p>
    <w:p w14:paraId="0BD85575" w14:textId="77777777" w:rsidR="006923D3" w:rsidRPr="00715230" w:rsidRDefault="006923D3" w:rsidP="00672240">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lastRenderedPageBreak/>
        <w:t># # #</w:t>
      </w:r>
    </w:p>
    <w:p w14:paraId="6E0676EA" w14:textId="77777777" w:rsidR="006A7531" w:rsidRDefault="006A7531" w:rsidP="00A347A1">
      <w:pPr>
        <w:tabs>
          <w:tab w:val="left" w:pos="4140"/>
        </w:tabs>
        <w:spacing w:after="0" w:line="240" w:lineRule="auto"/>
        <w:contextualSpacing/>
        <w:rPr>
          <w:rFonts w:ascii="Arial" w:hAnsi="Arial"/>
          <w:b/>
          <w:sz w:val="24"/>
          <w:szCs w:val="24"/>
        </w:rPr>
      </w:pPr>
    </w:p>
    <w:p w14:paraId="4F6FE5E1" w14:textId="77777777" w:rsidR="006A7531" w:rsidRPr="00B76FEA" w:rsidRDefault="006A7531" w:rsidP="00A347A1">
      <w:pPr>
        <w:tabs>
          <w:tab w:val="left" w:pos="4140"/>
        </w:tabs>
        <w:spacing w:after="0" w:line="240" w:lineRule="auto"/>
        <w:contextualSpacing/>
        <w:rPr>
          <w:rFonts w:ascii="Arial" w:hAnsi="Arial" w:cs="Arial"/>
          <w:b/>
          <w:szCs w:val="20"/>
        </w:rPr>
      </w:pPr>
    </w:p>
    <w:p w14:paraId="013D35C8" w14:textId="090CE9BE" w:rsidR="00A347A1" w:rsidRPr="00700BF5" w:rsidRDefault="00A347A1" w:rsidP="00A347A1">
      <w:pPr>
        <w:tabs>
          <w:tab w:val="left" w:pos="4140"/>
        </w:tabs>
        <w:spacing w:after="0" w:line="240" w:lineRule="auto"/>
        <w:contextualSpacing/>
        <w:rPr>
          <w:rFonts w:ascii="Arial" w:eastAsia="Arial" w:hAnsi="Arial" w:cs="Arial"/>
          <w:b/>
          <w:szCs w:val="20"/>
        </w:rPr>
      </w:pPr>
      <w:r w:rsidRPr="00700BF5">
        <w:rPr>
          <w:rFonts w:ascii="Arial" w:hAnsi="Arial" w:cs="Arial"/>
          <w:b/>
          <w:szCs w:val="20"/>
        </w:rPr>
        <w:t>Stellantis</w:t>
      </w:r>
    </w:p>
    <w:p w14:paraId="2444EE08" w14:textId="4FACBB98" w:rsidR="00A347A1" w:rsidRPr="00700BF5" w:rsidRDefault="00804029" w:rsidP="00A347A1">
      <w:pPr>
        <w:tabs>
          <w:tab w:val="left" w:pos="4140"/>
        </w:tabs>
        <w:spacing w:after="0" w:line="240" w:lineRule="auto"/>
        <w:contextualSpacing/>
        <w:rPr>
          <w:rFonts w:ascii="Arial" w:eastAsia="Arial" w:hAnsi="Arial" w:cs="Arial"/>
          <w:szCs w:val="20"/>
        </w:rPr>
      </w:pPr>
      <w:r w:rsidRPr="00700BF5">
        <w:rPr>
          <w:rFonts w:ascii="Arial" w:hAnsi="Arial" w:cs="Arial"/>
          <w:szCs w:val="20"/>
        </w:rPr>
        <w:t>Stellantis N.V. (NYSE / MTA / Euronext Paris: STLA)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puntando a diventare la più significativa azienda tech di mobilità, non la più grande, creando valore aggiunto per tutti gli stakeholder e le comunità in cui opera. Per maggiori informazioni, consultare il sito www.stellantis.com/it.</w:t>
      </w:r>
    </w:p>
    <w:p w14:paraId="48690DA4" w14:textId="77777777" w:rsidR="00A347A1" w:rsidRPr="00700BF5" w:rsidRDefault="00A347A1" w:rsidP="005D28B8">
      <w:pPr>
        <w:pStyle w:val="Nessunaspaziatura"/>
        <w:spacing w:line="259" w:lineRule="auto"/>
        <w:jc w:val="both"/>
        <w:rPr>
          <w:rFonts w:ascii="Arial" w:hAnsi="Arial" w:cs="Arial"/>
          <w:b/>
          <w:sz w:val="20"/>
          <w:szCs w:val="20"/>
        </w:rPr>
      </w:pPr>
    </w:p>
    <w:p w14:paraId="266514BF" w14:textId="421F5E14" w:rsidR="005D28B8" w:rsidRPr="00700BF5" w:rsidRDefault="005D28B8" w:rsidP="005D28B8">
      <w:pPr>
        <w:pStyle w:val="Nessunaspaziatura"/>
        <w:spacing w:line="259" w:lineRule="auto"/>
        <w:jc w:val="both"/>
        <w:rPr>
          <w:rFonts w:ascii="Arial" w:hAnsi="Arial" w:cs="Arial"/>
          <w:b/>
          <w:sz w:val="20"/>
          <w:szCs w:val="20"/>
        </w:rPr>
      </w:pPr>
      <w:r w:rsidRPr="00700BF5">
        <w:rPr>
          <w:rFonts w:ascii="Arial" w:hAnsi="Arial" w:cs="Arial"/>
          <w:b/>
          <w:sz w:val="20"/>
          <w:szCs w:val="20"/>
        </w:rPr>
        <w:t>LG Energy Solution</w:t>
      </w:r>
    </w:p>
    <w:p w14:paraId="0ED9BAD5" w14:textId="7642624E" w:rsidR="005D28B8" w:rsidRPr="00700BF5" w:rsidRDefault="005D28B8" w:rsidP="005D28B8">
      <w:pPr>
        <w:pStyle w:val="Nessunaspaziatura"/>
        <w:jc w:val="both"/>
        <w:rPr>
          <w:rFonts w:ascii="Arial" w:hAnsi="Arial" w:cs="Arial"/>
          <w:sz w:val="20"/>
          <w:szCs w:val="20"/>
        </w:rPr>
      </w:pPr>
      <w:r w:rsidRPr="00700BF5">
        <w:rPr>
          <w:rFonts w:ascii="Arial" w:hAnsi="Arial" w:cs="Arial"/>
          <w:sz w:val="20"/>
          <w:szCs w:val="20"/>
        </w:rPr>
        <w:t>LG Energy Solution (</w:t>
      </w:r>
      <w:r w:rsidRPr="00700BF5">
        <w:rPr>
          <w:rFonts w:ascii="Arial" w:hAnsi="Arial" w:cs="Arial"/>
          <w:sz w:val="20"/>
          <w:szCs w:val="20"/>
          <w:shd w:val="clear" w:color="auto" w:fill="FFFFFF"/>
        </w:rPr>
        <w:t xml:space="preserve">KRX: 373220) </w:t>
      </w:r>
      <w:r w:rsidRPr="00700BF5">
        <w:rPr>
          <w:rFonts w:ascii="Arial" w:hAnsi="Arial" w:cs="Arial"/>
          <w:sz w:val="20"/>
          <w:szCs w:val="20"/>
        </w:rPr>
        <w:t xml:space="preserve">è un leader globale nella fornitura di batterie avanzate agli ioni di litio per veicoli elettrici (EV), applicazioni di mobilità e IT e sistemi di accumulo dell'energia (ESS). Con 30 anni di esperienza nel settore delle tecnologie di accumulo avanzate, procede rapidamente verso la realizzazione di una vita sostenibile. Con una solida rete globale negli Stati Uniti, Europa, Asia e Australia, LG Energy Solution è più focalizzata che mai sullo sviluppo delle tecnologie innovative per trasformare in realtà l’energia del futuro. Fedele alla sua vision ASG “We CHARGE toward a better future” (RICARICHIAMO per raggiungere un futuro migliore), LG Energy Solution si impegna a dare priorità all'ambiente, adempiere alle proprie responsabilità sociali e dare forma a un futuro sostenibile. Per maggiori informazioni, visitare https://www.lgensol.com. </w:t>
      </w:r>
    </w:p>
    <w:p w14:paraId="33B6976D" w14:textId="77777777" w:rsidR="00603406" w:rsidRPr="00700BF5" w:rsidRDefault="00603406" w:rsidP="005C18FB">
      <w:pPr>
        <w:spacing w:after="0" w:line="240" w:lineRule="auto"/>
        <w:rPr>
          <w:rFonts w:ascii="Arial" w:hAnsi="Arial" w:cs="Arial"/>
          <w:sz w:val="28"/>
          <w:szCs w:val="28"/>
        </w:rPr>
      </w:pPr>
    </w:p>
    <w:p w14:paraId="2AB61C75" w14:textId="4724FC97" w:rsidR="00F52E65" w:rsidRPr="00804029" w:rsidRDefault="00F52E65" w:rsidP="00C21D55">
      <w:pPr>
        <w:spacing w:after="0" w:line="240" w:lineRule="auto"/>
        <w:rPr>
          <w:rFonts w:ascii="Arial" w:hAnsi="Arial" w:cs="Arial"/>
          <w:b/>
          <w:sz w:val="24"/>
          <w:szCs w:val="24"/>
        </w:rPr>
      </w:pPr>
    </w:p>
    <w:p w14:paraId="70FB1740" w14:textId="77777777" w:rsidR="00603406" w:rsidRPr="00804029" w:rsidRDefault="00603406" w:rsidP="00C21D55">
      <w:pPr>
        <w:spacing w:after="0" w:line="240" w:lineRule="auto"/>
        <w:rPr>
          <w:rFonts w:ascii="Arial" w:hAnsi="Arial" w:cs="Arial"/>
          <w:b/>
          <w:sz w:val="24"/>
          <w:szCs w:val="24"/>
        </w:rPr>
        <w:sectPr w:rsidR="00603406" w:rsidRPr="00804029" w:rsidSect="00F52E65">
          <w:headerReference w:type="default" r:id="rId10"/>
          <w:type w:val="continuous"/>
          <w:pgSz w:w="11906" w:h="16838"/>
          <w:pgMar w:top="1701" w:right="1440" w:bottom="1440" w:left="1440" w:header="851" w:footer="992" w:gutter="0"/>
          <w:cols w:space="425"/>
          <w:docGrid w:linePitch="360"/>
        </w:sectPr>
      </w:pPr>
    </w:p>
    <w:p w14:paraId="27E995CF" w14:textId="106115B2" w:rsidR="00603406" w:rsidRPr="00804029" w:rsidRDefault="00603406" w:rsidP="00603406">
      <w:pPr>
        <w:spacing w:after="0"/>
        <w:rPr>
          <w:rFonts w:ascii="Arial" w:eastAsia="Arial" w:hAnsi="Arial" w:cs="Arial"/>
          <w:b/>
          <w:sz w:val="24"/>
          <w:szCs w:val="24"/>
        </w:rPr>
      </w:pPr>
      <w:r w:rsidRPr="00804029">
        <w:rPr>
          <w:rFonts w:ascii="Arial" w:hAnsi="Arial"/>
          <w:b/>
          <w:sz w:val="24"/>
          <w:szCs w:val="24"/>
        </w:rPr>
        <w:t>Contatti:</w:t>
      </w:r>
    </w:p>
    <w:p w14:paraId="03A85DD3" w14:textId="77777777" w:rsidR="0007479D" w:rsidRPr="00804029" w:rsidRDefault="0007479D" w:rsidP="00C21D55">
      <w:pPr>
        <w:spacing w:after="0" w:line="240" w:lineRule="auto"/>
        <w:rPr>
          <w:rFonts w:ascii="Arial" w:eastAsia="Arial" w:hAnsi="Arial" w:cs="Arial"/>
          <w:b/>
          <w:sz w:val="24"/>
          <w:szCs w:val="24"/>
        </w:rPr>
      </w:pPr>
    </w:p>
    <w:p w14:paraId="324174DB" w14:textId="77777777" w:rsidR="00603406" w:rsidRPr="00B76FEA" w:rsidRDefault="00603406" w:rsidP="00603406">
      <w:pPr>
        <w:spacing w:after="0"/>
        <w:rPr>
          <w:rFonts w:ascii="Arial" w:eastAsia="Arial" w:hAnsi="Arial" w:cs="Arial"/>
          <w:b/>
          <w:szCs w:val="20"/>
        </w:rPr>
      </w:pPr>
      <w:r w:rsidRPr="00B76FEA">
        <w:rPr>
          <w:rFonts w:ascii="Arial" w:hAnsi="Arial" w:cs="Arial"/>
          <w:b/>
          <w:szCs w:val="20"/>
        </w:rPr>
        <w:t>Sally Seung Yeon Lee</w:t>
      </w:r>
    </w:p>
    <w:p w14:paraId="142CC237" w14:textId="77777777" w:rsidR="00603406" w:rsidRPr="00B76FEA" w:rsidRDefault="00603406" w:rsidP="00603406">
      <w:pPr>
        <w:spacing w:after="0"/>
        <w:rPr>
          <w:rFonts w:ascii="Arial" w:hAnsi="Arial" w:cs="Arial"/>
          <w:szCs w:val="20"/>
        </w:rPr>
      </w:pPr>
      <w:r w:rsidRPr="00B76FEA">
        <w:rPr>
          <w:rFonts w:ascii="Arial" w:hAnsi="Arial" w:cs="Arial"/>
          <w:szCs w:val="20"/>
        </w:rPr>
        <w:t xml:space="preserve">Global Communications Team / LG Energy Solution </w:t>
      </w:r>
    </w:p>
    <w:p w14:paraId="1423647E" w14:textId="77777777" w:rsidR="00603406" w:rsidRPr="00B76FEA" w:rsidRDefault="00603406" w:rsidP="00603406">
      <w:pPr>
        <w:spacing w:after="0"/>
        <w:rPr>
          <w:rFonts w:ascii="Arial" w:hAnsi="Arial" w:cs="Arial"/>
          <w:szCs w:val="20"/>
        </w:rPr>
      </w:pPr>
      <w:r w:rsidRPr="00B76FEA">
        <w:rPr>
          <w:rFonts w:ascii="Arial" w:hAnsi="Arial" w:cs="Arial"/>
          <w:szCs w:val="20"/>
        </w:rPr>
        <w:t>lsyciel@lgensol.com</w:t>
      </w:r>
    </w:p>
    <w:p w14:paraId="2CD2E534" w14:textId="77777777" w:rsidR="00603406" w:rsidRPr="00B76FEA" w:rsidRDefault="00603406" w:rsidP="00603406">
      <w:pPr>
        <w:spacing w:after="0"/>
        <w:rPr>
          <w:rFonts w:ascii="Arial" w:hAnsi="Arial" w:cs="Arial"/>
          <w:szCs w:val="20"/>
          <w:lang w:val="en-US"/>
        </w:rPr>
      </w:pPr>
      <w:r w:rsidRPr="00B76FEA">
        <w:rPr>
          <w:rFonts w:ascii="Arial" w:hAnsi="Arial" w:cs="Arial"/>
          <w:szCs w:val="20"/>
          <w:lang w:val="en-US"/>
        </w:rPr>
        <w:t>+82 2 3773 6571</w:t>
      </w:r>
    </w:p>
    <w:p w14:paraId="31AFD4E8" w14:textId="77777777" w:rsidR="00603406" w:rsidRPr="00B76FEA" w:rsidRDefault="00603406" w:rsidP="00603406">
      <w:pPr>
        <w:spacing w:after="0"/>
        <w:rPr>
          <w:rFonts w:ascii="Arial" w:hAnsi="Arial" w:cs="Arial"/>
          <w:b/>
          <w:szCs w:val="20"/>
          <w:lang w:val="en-US"/>
        </w:rPr>
      </w:pPr>
    </w:p>
    <w:p w14:paraId="41879A07" w14:textId="77777777" w:rsidR="00603406" w:rsidRPr="00B76FEA" w:rsidRDefault="00603406" w:rsidP="00603406">
      <w:pPr>
        <w:spacing w:after="0"/>
        <w:rPr>
          <w:rFonts w:ascii="Arial" w:eastAsia="Arial" w:hAnsi="Arial" w:cs="Arial"/>
          <w:b/>
          <w:szCs w:val="20"/>
          <w:lang w:val="en-US"/>
        </w:rPr>
      </w:pPr>
      <w:r w:rsidRPr="00B76FEA">
        <w:rPr>
          <w:rFonts w:ascii="Arial" w:hAnsi="Arial" w:cs="Arial"/>
          <w:b/>
          <w:szCs w:val="20"/>
          <w:lang w:val="en-US"/>
        </w:rPr>
        <w:t>Ashlee Semin Shin</w:t>
      </w:r>
    </w:p>
    <w:p w14:paraId="0A2CDEE8" w14:textId="77777777" w:rsidR="00603406" w:rsidRPr="00B76FEA" w:rsidRDefault="00603406" w:rsidP="00603406">
      <w:pPr>
        <w:spacing w:after="0"/>
        <w:rPr>
          <w:rFonts w:ascii="Arial" w:eastAsia="Arial" w:hAnsi="Arial" w:cs="Arial"/>
          <w:szCs w:val="20"/>
          <w:lang w:val="en-US"/>
        </w:rPr>
      </w:pPr>
      <w:r w:rsidRPr="00B76FEA">
        <w:rPr>
          <w:rFonts w:ascii="Arial" w:hAnsi="Arial" w:cs="Arial"/>
          <w:szCs w:val="20"/>
          <w:lang w:val="en-US"/>
        </w:rPr>
        <w:t xml:space="preserve">Global Communications Team / LG Energy Solution </w:t>
      </w:r>
    </w:p>
    <w:p w14:paraId="76700E05" w14:textId="77777777" w:rsidR="00603406" w:rsidRPr="00B76FEA" w:rsidRDefault="00C53758" w:rsidP="00603406">
      <w:pPr>
        <w:spacing w:after="0"/>
        <w:rPr>
          <w:rFonts w:ascii="Arial" w:eastAsia="Arial" w:hAnsi="Arial" w:cs="Arial"/>
          <w:szCs w:val="20"/>
          <w:lang w:val="fr-FR"/>
        </w:rPr>
      </w:pPr>
      <w:hyperlink r:id="rId11" w:history="1">
        <w:r w:rsidR="00445EFD" w:rsidRPr="00B76FEA">
          <w:rPr>
            <w:rFonts w:ascii="Arial" w:hAnsi="Arial" w:cs="Arial"/>
            <w:szCs w:val="20"/>
            <w:lang w:val="fr-FR"/>
          </w:rPr>
          <w:t>ashin0@lgensol.com</w:t>
        </w:r>
      </w:hyperlink>
    </w:p>
    <w:p w14:paraId="43D6C84F" w14:textId="77777777" w:rsidR="00603406" w:rsidRPr="00B76FEA" w:rsidRDefault="00603406" w:rsidP="00603406">
      <w:pPr>
        <w:spacing w:after="0"/>
        <w:rPr>
          <w:rFonts w:ascii="Arial" w:eastAsia="Arial" w:hAnsi="Arial" w:cs="Arial"/>
          <w:szCs w:val="20"/>
          <w:lang w:val="fr-FR"/>
        </w:rPr>
      </w:pPr>
      <w:r w:rsidRPr="00B76FEA">
        <w:rPr>
          <w:rFonts w:ascii="Arial" w:hAnsi="Arial" w:cs="Arial"/>
          <w:szCs w:val="20"/>
          <w:lang w:val="fr-FR"/>
        </w:rPr>
        <w:t>+ 82 2 3773 4381</w:t>
      </w:r>
    </w:p>
    <w:p w14:paraId="4A206931" w14:textId="77777777" w:rsidR="00CE6AA6" w:rsidRPr="00B76FEA" w:rsidRDefault="00CE6AA6" w:rsidP="00C21D55">
      <w:pPr>
        <w:spacing w:after="0" w:line="240" w:lineRule="auto"/>
        <w:rPr>
          <w:rFonts w:ascii="Arial" w:eastAsia="Arial" w:hAnsi="Arial" w:cs="Arial"/>
          <w:szCs w:val="20"/>
          <w:lang w:val="fr-FR"/>
        </w:rPr>
      </w:pPr>
    </w:p>
    <w:p w14:paraId="35B8986F" w14:textId="09540CDE" w:rsidR="00876171" w:rsidRPr="00B76FEA" w:rsidRDefault="00876171" w:rsidP="00205671">
      <w:pPr>
        <w:tabs>
          <w:tab w:val="left" w:pos="2592"/>
        </w:tabs>
        <w:spacing w:after="0" w:line="240" w:lineRule="auto"/>
        <w:rPr>
          <w:rFonts w:ascii="Arial" w:eastAsia="Arial" w:hAnsi="Arial" w:cs="Arial"/>
          <w:b/>
          <w:bCs/>
          <w:szCs w:val="20"/>
          <w:lang w:val="fr-FR"/>
        </w:rPr>
      </w:pPr>
      <w:proofErr w:type="spellStart"/>
      <w:r w:rsidRPr="00B76FEA">
        <w:rPr>
          <w:rFonts w:ascii="Arial" w:hAnsi="Arial" w:cs="Arial"/>
          <w:b/>
          <w:bCs/>
          <w:szCs w:val="20"/>
          <w:lang w:val="fr-FR"/>
        </w:rPr>
        <w:t>Fernão</w:t>
      </w:r>
      <w:proofErr w:type="spellEnd"/>
      <w:r w:rsidRPr="00B76FEA">
        <w:rPr>
          <w:rFonts w:ascii="Arial" w:hAnsi="Arial" w:cs="Arial"/>
          <w:b/>
          <w:bCs/>
          <w:szCs w:val="20"/>
          <w:lang w:val="fr-FR"/>
        </w:rPr>
        <w:t xml:space="preserve"> Silveira </w:t>
      </w:r>
    </w:p>
    <w:p w14:paraId="787E589E" w14:textId="2DA71AF7" w:rsidR="00876171" w:rsidRPr="00B76FEA" w:rsidRDefault="00876171" w:rsidP="00205671">
      <w:pPr>
        <w:tabs>
          <w:tab w:val="left" w:pos="2592"/>
        </w:tabs>
        <w:spacing w:after="0" w:line="240" w:lineRule="auto"/>
        <w:rPr>
          <w:rFonts w:ascii="Arial" w:eastAsia="Arial" w:hAnsi="Arial" w:cs="Arial"/>
          <w:szCs w:val="20"/>
          <w:lang w:val="fr-FR"/>
        </w:rPr>
      </w:pPr>
      <w:r w:rsidRPr="00B76FEA">
        <w:rPr>
          <w:rFonts w:ascii="Arial" w:hAnsi="Arial" w:cs="Arial"/>
          <w:szCs w:val="20"/>
          <w:lang w:val="fr-FR"/>
        </w:rPr>
        <w:t>Global Communications / Stellantis</w:t>
      </w:r>
    </w:p>
    <w:p w14:paraId="1884337A" w14:textId="77777777" w:rsidR="00876171" w:rsidRPr="00B76FEA" w:rsidRDefault="00876171" w:rsidP="00205671">
      <w:pPr>
        <w:tabs>
          <w:tab w:val="left" w:pos="2592"/>
        </w:tabs>
        <w:spacing w:after="0" w:line="240" w:lineRule="auto"/>
        <w:rPr>
          <w:rFonts w:ascii="Arial" w:eastAsia="Arial" w:hAnsi="Arial" w:cs="Arial"/>
          <w:szCs w:val="20"/>
          <w:lang w:val="en-US"/>
        </w:rPr>
      </w:pPr>
      <w:r w:rsidRPr="00B76FEA">
        <w:rPr>
          <w:rFonts w:ascii="Arial" w:hAnsi="Arial" w:cs="Arial"/>
          <w:szCs w:val="20"/>
          <w:lang w:val="en-US"/>
        </w:rPr>
        <w:t xml:space="preserve">fernao.silveira@stellantis.com </w:t>
      </w:r>
    </w:p>
    <w:p w14:paraId="1F89ABF6" w14:textId="2F3828DB" w:rsidR="00876171" w:rsidRPr="00B76FEA" w:rsidRDefault="00876171" w:rsidP="00205671">
      <w:pPr>
        <w:tabs>
          <w:tab w:val="left" w:pos="2592"/>
        </w:tabs>
        <w:spacing w:after="0" w:line="240" w:lineRule="auto"/>
        <w:rPr>
          <w:rFonts w:ascii="Arial" w:eastAsia="Arial" w:hAnsi="Arial" w:cs="Arial"/>
          <w:szCs w:val="20"/>
          <w:lang w:val="en-US"/>
        </w:rPr>
      </w:pPr>
      <w:r w:rsidRPr="00B76FEA">
        <w:rPr>
          <w:rFonts w:ascii="Arial" w:hAnsi="Arial" w:cs="Arial"/>
          <w:szCs w:val="20"/>
          <w:lang w:val="en-US"/>
        </w:rPr>
        <w:t>+31 6 43 25 43 41</w:t>
      </w:r>
    </w:p>
    <w:p w14:paraId="2B9803BB" w14:textId="523C83E2" w:rsidR="00876171" w:rsidRPr="00B76FEA" w:rsidRDefault="00876171" w:rsidP="00205671">
      <w:pPr>
        <w:tabs>
          <w:tab w:val="left" w:pos="2592"/>
        </w:tabs>
        <w:spacing w:after="0" w:line="240" w:lineRule="auto"/>
        <w:rPr>
          <w:rFonts w:ascii="Arial" w:eastAsia="Arial" w:hAnsi="Arial" w:cs="Arial"/>
          <w:szCs w:val="20"/>
          <w:lang w:val="en-US"/>
        </w:rPr>
      </w:pPr>
    </w:p>
    <w:p w14:paraId="769C4AAB" w14:textId="39769608" w:rsidR="00876171" w:rsidRPr="00B76FEA" w:rsidRDefault="00876171" w:rsidP="00205671">
      <w:pPr>
        <w:tabs>
          <w:tab w:val="left" w:pos="2592"/>
        </w:tabs>
        <w:spacing w:after="0" w:line="240" w:lineRule="auto"/>
        <w:rPr>
          <w:rFonts w:ascii="Arial" w:eastAsia="Arial" w:hAnsi="Arial" w:cs="Arial"/>
          <w:b/>
          <w:bCs/>
          <w:szCs w:val="20"/>
          <w:lang w:val="en-US"/>
        </w:rPr>
      </w:pPr>
      <w:r w:rsidRPr="00B76FEA">
        <w:rPr>
          <w:rFonts w:ascii="Arial" w:hAnsi="Arial" w:cs="Arial"/>
          <w:b/>
          <w:bCs/>
          <w:szCs w:val="20"/>
          <w:lang w:val="en-US"/>
        </w:rPr>
        <w:t>Shawn Morgan</w:t>
      </w:r>
    </w:p>
    <w:p w14:paraId="156681C2" w14:textId="79A9D652" w:rsidR="00876171" w:rsidRPr="00B76FEA" w:rsidRDefault="00876171" w:rsidP="00205671">
      <w:pPr>
        <w:tabs>
          <w:tab w:val="left" w:pos="2592"/>
        </w:tabs>
        <w:spacing w:after="0" w:line="240" w:lineRule="auto"/>
        <w:rPr>
          <w:rFonts w:ascii="Arial" w:eastAsia="Arial" w:hAnsi="Arial" w:cs="Arial"/>
          <w:szCs w:val="20"/>
          <w:lang w:val="en-US"/>
        </w:rPr>
      </w:pPr>
      <w:r w:rsidRPr="00B76FEA">
        <w:rPr>
          <w:rFonts w:ascii="Arial" w:hAnsi="Arial" w:cs="Arial"/>
          <w:szCs w:val="20"/>
          <w:lang w:val="en-US"/>
        </w:rPr>
        <w:t>North America Communications / Stellantis</w:t>
      </w:r>
    </w:p>
    <w:p w14:paraId="038FFC3B" w14:textId="6AD02A68" w:rsidR="00876171" w:rsidRPr="00B76FEA" w:rsidRDefault="00876171" w:rsidP="00205671">
      <w:pPr>
        <w:tabs>
          <w:tab w:val="left" w:pos="2592"/>
        </w:tabs>
        <w:spacing w:after="0" w:line="240" w:lineRule="auto"/>
        <w:rPr>
          <w:rFonts w:ascii="Arial" w:eastAsia="Arial" w:hAnsi="Arial" w:cs="Arial"/>
          <w:szCs w:val="20"/>
          <w:lang w:val="en-US"/>
        </w:rPr>
      </w:pPr>
      <w:r w:rsidRPr="00B76FEA">
        <w:rPr>
          <w:rFonts w:ascii="Arial" w:hAnsi="Arial" w:cs="Arial"/>
          <w:szCs w:val="20"/>
          <w:lang w:val="en-US"/>
        </w:rPr>
        <w:t>shawn.morgan@stellantis.com</w:t>
      </w:r>
    </w:p>
    <w:p w14:paraId="36D9880B" w14:textId="5FEFDF94" w:rsidR="00876171" w:rsidRPr="00B76FEA" w:rsidRDefault="00876171" w:rsidP="00205671">
      <w:pPr>
        <w:tabs>
          <w:tab w:val="left" w:pos="2592"/>
        </w:tabs>
        <w:spacing w:after="0" w:line="240" w:lineRule="auto"/>
        <w:rPr>
          <w:rFonts w:ascii="Arial" w:eastAsia="Arial" w:hAnsi="Arial" w:cs="Arial"/>
          <w:szCs w:val="20"/>
          <w:lang w:val="en-US"/>
        </w:rPr>
      </w:pPr>
      <w:r w:rsidRPr="00B76FEA">
        <w:rPr>
          <w:rFonts w:ascii="Arial" w:hAnsi="Arial" w:cs="Arial"/>
          <w:szCs w:val="20"/>
          <w:lang w:val="en-US"/>
        </w:rPr>
        <w:t>+1 (248) 760-2621</w:t>
      </w:r>
    </w:p>
    <w:p w14:paraId="69F7E167" w14:textId="6DD182DA" w:rsidR="00B76FEA" w:rsidRDefault="00B76FEA">
      <w:pPr>
        <w:widowControl/>
        <w:wordWrap/>
        <w:autoSpaceDE/>
        <w:autoSpaceDN/>
        <w:spacing w:after="160" w:line="259" w:lineRule="auto"/>
        <w:rPr>
          <w:rFonts w:ascii="Arial" w:eastAsia="Arial" w:hAnsi="Arial" w:cs="Arial"/>
          <w:sz w:val="24"/>
          <w:szCs w:val="24"/>
          <w:lang w:val="en-US"/>
        </w:rPr>
      </w:pPr>
      <w:r>
        <w:rPr>
          <w:rFonts w:ascii="Arial" w:eastAsia="Arial" w:hAnsi="Arial" w:cs="Arial"/>
          <w:sz w:val="24"/>
          <w:szCs w:val="24"/>
          <w:lang w:val="en-US"/>
        </w:rPr>
        <w:br w:type="page"/>
      </w:r>
    </w:p>
    <w:p w14:paraId="3FCBD459" w14:textId="3F304A4A" w:rsidR="00B76FEA" w:rsidRPr="00B76FEA" w:rsidRDefault="00B76FEA" w:rsidP="00B76FEA">
      <w:pPr>
        <w:tabs>
          <w:tab w:val="left" w:pos="2592"/>
        </w:tabs>
        <w:spacing w:after="0" w:line="240" w:lineRule="auto"/>
        <w:rPr>
          <w:rFonts w:ascii="Arial" w:eastAsia="Arial" w:hAnsi="Arial" w:cs="Arial"/>
          <w:b/>
          <w:bCs/>
          <w:i/>
          <w:iCs/>
          <w:sz w:val="18"/>
          <w:szCs w:val="18"/>
          <w:lang w:val="es-ES"/>
        </w:rPr>
      </w:pPr>
      <w:r w:rsidRPr="00B76FEA">
        <w:rPr>
          <w:rFonts w:ascii="Arial" w:eastAsia="Arial" w:hAnsi="Arial" w:cs="Arial"/>
          <w:b/>
          <w:bCs/>
          <w:i/>
          <w:iCs/>
          <w:sz w:val="18"/>
          <w:szCs w:val="18"/>
          <w:lang w:val="es-ES"/>
        </w:rPr>
        <w:t>DICHIARAZIONI PREVISIONALI</w:t>
      </w:r>
    </w:p>
    <w:p w14:paraId="3A9EDBF0" w14:textId="77777777" w:rsidR="00B76FEA" w:rsidRPr="00B76FEA" w:rsidRDefault="00B76FEA" w:rsidP="00B76FEA">
      <w:pPr>
        <w:tabs>
          <w:tab w:val="left" w:pos="2592"/>
        </w:tabs>
        <w:spacing w:after="0" w:line="240" w:lineRule="auto"/>
        <w:rPr>
          <w:rFonts w:ascii="Arial" w:eastAsia="Arial" w:hAnsi="Arial" w:cs="Arial"/>
          <w:i/>
          <w:iCs/>
          <w:sz w:val="18"/>
          <w:szCs w:val="18"/>
          <w:lang w:val="es-ES"/>
        </w:rPr>
      </w:pPr>
    </w:p>
    <w:p w14:paraId="099E32D3" w14:textId="7DD9DD7F" w:rsidR="00B76FEA" w:rsidRPr="00B76FEA" w:rsidRDefault="00B76FEA" w:rsidP="00B76FEA">
      <w:pPr>
        <w:tabs>
          <w:tab w:val="left" w:pos="2592"/>
        </w:tabs>
        <w:spacing w:after="0" w:line="240" w:lineRule="auto"/>
        <w:rPr>
          <w:rFonts w:ascii="Arial" w:eastAsia="Arial" w:hAnsi="Arial" w:cs="Arial"/>
          <w:i/>
          <w:iCs/>
          <w:sz w:val="18"/>
          <w:szCs w:val="18"/>
          <w:lang w:val="es-ES"/>
        </w:rPr>
      </w:pPr>
      <w:r w:rsidRPr="00B76FEA">
        <w:rPr>
          <w:rFonts w:ascii="Arial" w:eastAsia="Arial" w:hAnsi="Arial" w:cs="Arial"/>
          <w:i/>
          <w:iCs/>
          <w:sz w:val="18"/>
          <w:szCs w:val="18"/>
          <w:lang w:val="es-ES"/>
        </w:rPr>
        <w:t xml:space="preserve">La presente </w:t>
      </w:r>
      <w:proofErr w:type="spellStart"/>
      <w:r w:rsidRPr="00B76FEA">
        <w:rPr>
          <w:rFonts w:ascii="Arial" w:eastAsia="Arial" w:hAnsi="Arial" w:cs="Arial"/>
          <w:i/>
          <w:iCs/>
          <w:sz w:val="18"/>
          <w:szCs w:val="18"/>
          <w:lang w:val="es-ES"/>
        </w:rPr>
        <w:t>comunicazione</w:t>
      </w:r>
      <w:proofErr w:type="spellEnd"/>
      <w:r w:rsidRPr="00B76FEA">
        <w:rPr>
          <w:rFonts w:ascii="Arial" w:eastAsia="Arial" w:hAnsi="Arial" w:cs="Arial"/>
          <w:i/>
          <w:iCs/>
          <w:sz w:val="18"/>
          <w:szCs w:val="18"/>
          <w:lang w:val="es-ES"/>
        </w:rPr>
        <w:t xml:space="preserve"> contiene </w:t>
      </w:r>
      <w:proofErr w:type="spellStart"/>
      <w:r w:rsidRPr="00B76FEA">
        <w:rPr>
          <w:rFonts w:ascii="Arial" w:eastAsia="Arial" w:hAnsi="Arial" w:cs="Arial"/>
          <w:i/>
          <w:iCs/>
          <w:sz w:val="18"/>
          <w:szCs w:val="18"/>
          <w:lang w:val="es-ES"/>
        </w:rPr>
        <w:t>dichiarazioni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previsionali</w:t>
      </w:r>
      <w:proofErr w:type="spellEnd"/>
      <w:r w:rsidRPr="00B76FEA">
        <w:rPr>
          <w:rFonts w:ascii="Arial" w:eastAsia="Arial" w:hAnsi="Arial" w:cs="Arial"/>
          <w:i/>
          <w:iCs/>
          <w:sz w:val="18"/>
          <w:szCs w:val="18"/>
          <w:lang w:val="es-ES"/>
        </w:rPr>
        <w:t xml:space="preserve">. In </w:t>
      </w:r>
      <w:proofErr w:type="spellStart"/>
      <w:r w:rsidRPr="00B76FEA">
        <w:rPr>
          <w:rFonts w:ascii="Arial" w:eastAsia="Arial" w:hAnsi="Arial" w:cs="Arial"/>
          <w:i/>
          <w:iCs/>
          <w:sz w:val="18"/>
          <w:szCs w:val="18"/>
          <w:lang w:val="es-ES"/>
        </w:rPr>
        <w:t>particolare</w:t>
      </w:r>
      <w:proofErr w:type="spellEnd"/>
      <w:r w:rsidRPr="00B76FEA">
        <w:rPr>
          <w:rFonts w:ascii="Arial" w:eastAsia="Arial" w:hAnsi="Arial" w:cs="Arial"/>
          <w:i/>
          <w:iCs/>
          <w:sz w:val="18"/>
          <w:szCs w:val="18"/>
          <w:lang w:val="es-ES"/>
        </w:rPr>
        <w:t xml:space="preserve">, le </w:t>
      </w:r>
      <w:proofErr w:type="spellStart"/>
      <w:r w:rsidRPr="00B76FEA">
        <w:rPr>
          <w:rFonts w:ascii="Arial" w:eastAsia="Arial" w:hAnsi="Arial" w:cs="Arial"/>
          <w:i/>
          <w:iCs/>
          <w:sz w:val="18"/>
          <w:szCs w:val="18"/>
          <w:lang w:val="es-ES"/>
        </w:rPr>
        <w:t>dichiarazioni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riguardanti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gli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eventi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futuri</w:t>
      </w:r>
      <w:proofErr w:type="spellEnd"/>
      <w:r w:rsidRPr="00B76FEA">
        <w:rPr>
          <w:rFonts w:ascii="Arial" w:eastAsia="Arial" w:hAnsi="Arial" w:cs="Arial"/>
          <w:i/>
          <w:iCs/>
          <w:sz w:val="18"/>
          <w:szCs w:val="18"/>
          <w:lang w:val="es-ES"/>
        </w:rPr>
        <w:t xml:space="preserve"> e i </w:t>
      </w:r>
      <w:proofErr w:type="spellStart"/>
      <w:r w:rsidRPr="00B76FEA">
        <w:rPr>
          <w:rFonts w:ascii="Arial" w:eastAsia="Arial" w:hAnsi="Arial" w:cs="Arial"/>
          <w:i/>
          <w:iCs/>
          <w:sz w:val="18"/>
          <w:szCs w:val="18"/>
          <w:lang w:val="es-ES"/>
        </w:rPr>
        <w:t>risultati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previsti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operazioni</w:t>
      </w:r>
      <w:proofErr w:type="spellEnd"/>
      <w:r w:rsidRPr="00B76FEA">
        <w:rPr>
          <w:rFonts w:ascii="Arial" w:eastAsia="Arial" w:hAnsi="Arial" w:cs="Arial"/>
          <w:i/>
          <w:iCs/>
          <w:sz w:val="18"/>
          <w:szCs w:val="18"/>
          <w:lang w:val="es-ES"/>
        </w:rPr>
        <w:t xml:space="preserve">, le </w:t>
      </w:r>
      <w:proofErr w:type="spellStart"/>
      <w:r w:rsidRPr="00B76FEA">
        <w:rPr>
          <w:rFonts w:ascii="Arial" w:eastAsia="Arial" w:hAnsi="Arial" w:cs="Arial"/>
          <w:i/>
          <w:iCs/>
          <w:sz w:val="18"/>
          <w:szCs w:val="18"/>
          <w:lang w:val="es-ES"/>
        </w:rPr>
        <w:t>strategie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aziendali</w:t>
      </w:r>
      <w:proofErr w:type="spellEnd"/>
      <w:r w:rsidRPr="00B76FEA">
        <w:rPr>
          <w:rFonts w:ascii="Arial" w:eastAsia="Arial" w:hAnsi="Arial" w:cs="Arial"/>
          <w:i/>
          <w:iCs/>
          <w:sz w:val="18"/>
          <w:szCs w:val="18"/>
          <w:lang w:val="es-ES"/>
        </w:rPr>
        <w:t xml:space="preserve">, la </w:t>
      </w:r>
      <w:proofErr w:type="spellStart"/>
      <w:r w:rsidRPr="00B76FEA">
        <w:rPr>
          <w:rFonts w:ascii="Arial" w:eastAsia="Arial" w:hAnsi="Arial" w:cs="Arial"/>
          <w:i/>
          <w:iCs/>
          <w:sz w:val="18"/>
          <w:szCs w:val="18"/>
          <w:lang w:val="es-ES"/>
        </w:rPr>
        <w:t>previsione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benefici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ottenuti</w:t>
      </w:r>
      <w:proofErr w:type="spellEnd"/>
      <w:r w:rsidRPr="00B76FEA">
        <w:rPr>
          <w:rFonts w:ascii="Arial" w:eastAsia="Arial" w:hAnsi="Arial" w:cs="Arial"/>
          <w:i/>
          <w:iCs/>
          <w:sz w:val="18"/>
          <w:szCs w:val="18"/>
          <w:lang w:val="es-ES"/>
        </w:rPr>
        <w:t xml:space="preserve"> dalla </w:t>
      </w:r>
      <w:proofErr w:type="spellStart"/>
      <w:r w:rsidRPr="00B76FEA">
        <w:rPr>
          <w:rFonts w:ascii="Arial" w:eastAsia="Arial" w:hAnsi="Arial" w:cs="Arial"/>
          <w:i/>
          <w:iCs/>
          <w:sz w:val="18"/>
          <w:szCs w:val="18"/>
          <w:lang w:val="es-ES"/>
        </w:rPr>
        <w:t>transazione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proposta</w:t>
      </w:r>
      <w:proofErr w:type="spellEnd"/>
      <w:r w:rsidRPr="00B76FEA">
        <w:rPr>
          <w:rFonts w:ascii="Arial" w:eastAsia="Arial" w:hAnsi="Arial" w:cs="Arial"/>
          <w:i/>
          <w:iCs/>
          <w:sz w:val="18"/>
          <w:szCs w:val="18"/>
          <w:lang w:val="es-ES"/>
        </w:rPr>
        <w:t xml:space="preserve">, i </w:t>
      </w:r>
      <w:proofErr w:type="spellStart"/>
      <w:r w:rsidRPr="00B76FEA">
        <w:rPr>
          <w:rFonts w:ascii="Arial" w:eastAsia="Arial" w:hAnsi="Arial" w:cs="Arial"/>
          <w:i/>
          <w:iCs/>
          <w:sz w:val="18"/>
          <w:szCs w:val="18"/>
          <w:lang w:val="es-ES"/>
        </w:rPr>
        <w:t>risultati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finanziari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operativi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futuri</w:t>
      </w:r>
      <w:proofErr w:type="spellEnd"/>
      <w:r w:rsidRPr="00B76FEA">
        <w:rPr>
          <w:rFonts w:ascii="Arial" w:eastAsia="Arial" w:hAnsi="Arial" w:cs="Arial"/>
          <w:i/>
          <w:iCs/>
          <w:sz w:val="18"/>
          <w:szCs w:val="18"/>
          <w:lang w:val="es-ES"/>
        </w:rPr>
        <w:t xml:space="preserve">, la data di </w:t>
      </w:r>
      <w:proofErr w:type="spellStart"/>
      <w:r w:rsidRPr="00B76FEA">
        <w:rPr>
          <w:rFonts w:ascii="Arial" w:eastAsia="Arial" w:hAnsi="Arial" w:cs="Arial"/>
          <w:i/>
          <w:iCs/>
          <w:sz w:val="18"/>
          <w:szCs w:val="18"/>
          <w:lang w:val="es-ES"/>
        </w:rPr>
        <w:t>chiusura</w:t>
      </w:r>
      <w:proofErr w:type="spellEnd"/>
      <w:r w:rsidRPr="00B76FEA">
        <w:rPr>
          <w:rFonts w:ascii="Arial" w:eastAsia="Arial" w:hAnsi="Arial" w:cs="Arial"/>
          <w:i/>
          <w:iCs/>
          <w:sz w:val="18"/>
          <w:szCs w:val="18"/>
          <w:lang w:val="es-ES"/>
        </w:rPr>
        <w:t xml:space="preserve"> prevista per la </w:t>
      </w:r>
      <w:proofErr w:type="spellStart"/>
      <w:r w:rsidRPr="00B76FEA">
        <w:rPr>
          <w:rFonts w:ascii="Arial" w:eastAsia="Arial" w:hAnsi="Arial" w:cs="Arial"/>
          <w:i/>
          <w:iCs/>
          <w:sz w:val="18"/>
          <w:szCs w:val="18"/>
          <w:lang w:val="es-ES"/>
        </w:rPr>
        <w:t>transazione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proposta</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gli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altri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aspetti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previsti</w:t>
      </w:r>
      <w:proofErr w:type="spellEnd"/>
      <w:r w:rsidRPr="00B76FEA">
        <w:rPr>
          <w:rFonts w:ascii="Arial" w:eastAsia="Arial" w:hAnsi="Arial" w:cs="Arial"/>
          <w:i/>
          <w:iCs/>
          <w:sz w:val="18"/>
          <w:szCs w:val="18"/>
          <w:lang w:val="es-ES"/>
        </w:rPr>
        <w:t xml:space="preserve"> relativamente </w:t>
      </w:r>
      <w:proofErr w:type="spellStart"/>
      <w:r w:rsidRPr="00B76FEA">
        <w:rPr>
          <w:rFonts w:ascii="Arial" w:eastAsia="Arial" w:hAnsi="Arial" w:cs="Arial"/>
          <w:i/>
          <w:iCs/>
          <w:sz w:val="18"/>
          <w:szCs w:val="18"/>
          <w:lang w:val="es-ES"/>
        </w:rPr>
        <w:t>alle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nostre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operazioni</w:t>
      </w:r>
      <w:proofErr w:type="spellEnd"/>
      <w:r w:rsidRPr="00B76FEA">
        <w:rPr>
          <w:rFonts w:ascii="Arial" w:eastAsia="Arial" w:hAnsi="Arial" w:cs="Arial"/>
          <w:i/>
          <w:iCs/>
          <w:sz w:val="18"/>
          <w:szCs w:val="18"/>
          <w:lang w:val="es-ES"/>
        </w:rPr>
        <w:t xml:space="preserve"> o </w:t>
      </w:r>
      <w:proofErr w:type="spellStart"/>
      <w:r w:rsidRPr="00B76FEA">
        <w:rPr>
          <w:rFonts w:ascii="Arial" w:eastAsia="Arial" w:hAnsi="Arial" w:cs="Arial"/>
          <w:i/>
          <w:iCs/>
          <w:sz w:val="18"/>
          <w:szCs w:val="18"/>
          <w:lang w:val="es-ES"/>
        </w:rPr>
        <w:t>ai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nostri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risultati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operativi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sono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dichiarazioni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previsionali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Tali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dichiarazioni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possono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includere</w:t>
      </w:r>
      <w:proofErr w:type="spellEnd"/>
      <w:r w:rsidRPr="00B76FEA">
        <w:rPr>
          <w:rFonts w:ascii="Arial" w:eastAsia="Arial" w:hAnsi="Arial" w:cs="Arial"/>
          <w:i/>
          <w:iCs/>
          <w:sz w:val="18"/>
          <w:szCs w:val="18"/>
          <w:lang w:val="es-ES"/>
        </w:rPr>
        <w:t xml:space="preserve"> i </w:t>
      </w:r>
      <w:proofErr w:type="spellStart"/>
      <w:r w:rsidRPr="00B76FEA">
        <w:rPr>
          <w:rFonts w:ascii="Arial" w:eastAsia="Arial" w:hAnsi="Arial" w:cs="Arial"/>
          <w:i/>
          <w:iCs/>
          <w:sz w:val="18"/>
          <w:szCs w:val="18"/>
          <w:lang w:val="es-ES"/>
        </w:rPr>
        <w:t>termini</w:t>
      </w:r>
      <w:proofErr w:type="spellEnd"/>
      <w:r w:rsidRPr="00B76FEA">
        <w:rPr>
          <w:rFonts w:ascii="Arial" w:eastAsia="Arial" w:hAnsi="Arial" w:cs="Arial"/>
          <w:i/>
          <w:iCs/>
          <w:sz w:val="18"/>
          <w:szCs w:val="18"/>
          <w:lang w:val="es-ES"/>
        </w:rPr>
        <w:t xml:space="preserve"> come “</w:t>
      </w:r>
      <w:proofErr w:type="spellStart"/>
      <w:r w:rsidRPr="00B76FEA">
        <w:rPr>
          <w:rFonts w:ascii="Arial" w:eastAsia="Arial" w:hAnsi="Arial" w:cs="Arial"/>
          <w:i/>
          <w:iCs/>
          <w:sz w:val="18"/>
          <w:szCs w:val="18"/>
          <w:lang w:val="es-ES"/>
        </w:rPr>
        <w:t>possono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saranno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prevedono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potrebbero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dovrebbero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intendono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stimano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anticipano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credono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rimangono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sulla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buona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strada</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progettano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obiettivo</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previsione</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proiezione</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prospettiva</w:t>
      </w:r>
      <w:proofErr w:type="spellEnd"/>
      <w:r w:rsidRPr="00B76FEA">
        <w:rPr>
          <w:rFonts w:ascii="Arial" w:eastAsia="Arial" w:hAnsi="Arial" w:cs="Arial"/>
          <w:i/>
          <w:iCs/>
          <w:sz w:val="18"/>
          <w:szCs w:val="18"/>
          <w:lang w:val="es-ES"/>
        </w:rPr>
        <w:t>”, “</w:t>
      </w:r>
      <w:proofErr w:type="spellStart"/>
      <w:r w:rsidRPr="00B76FEA">
        <w:rPr>
          <w:rFonts w:ascii="Arial" w:eastAsia="Arial" w:hAnsi="Arial" w:cs="Arial"/>
          <w:i/>
          <w:iCs/>
          <w:sz w:val="18"/>
          <w:szCs w:val="18"/>
          <w:lang w:val="es-ES"/>
        </w:rPr>
        <w:t>prospettive</w:t>
      </w:r>
      <w:proofErr w:type="spellEnd"/>
      <w:r w:rsidRPr="00B76FEA">
        <w:rPr>
          <w:rFonts w:ascii="Arial" w:eastAsia="Arial" w:hAnsi="Arial" w:cs="Arial"/>
          <w:i/>
          <w:iCs/>
          <w:sz w:val="18"/>
          <w:szCs w:val="18"/>
          <w:lang w:val="es-ES"/>
        </w:rPr>
        <w:t xml:space="preserve">”, “piano” o </w:t>
      </w:r>
      <w:proofErr w:type="spellStart"/>
      <w:r w:rsidRPr="00B76FEA">
        <w:rPr>
          <w:rFonts w:ascii="Arial" w:eastAsia="Arial" w:hAnsi="Arial" w:cs="Arial"/>
          <w:i/>
          <w:iCs/>
          <w:sz w:val="18"/>
          <w:szCs w:val="18"/>
          <w:lang w:val="es-ES"/>
        </w:rPr>
        <w:t>termini</w:t>
      </w:r>
      <w:proofErr w:type="spellEnd"/>
      <w:r w:rsidRPr="00B76FEA">
        <w:rPr>
          <w:rFonts w:ascii="Arial" w:eastAsia="Arial" w:hAnsi="Arial" w:cs="Arial"/>
          <w:i/>
          <w:iCs/>
          <w:sz w:val="18"/>
          <w:szCs w:val="18"/>
          <w:lang w:val="es-ES"/>
        </w:rPr>
        <w:t xml:space="preserve"> simili. Le </w:t>
      </w:r>
      <w:proofErr w:type="spellStart"/>
      <w:r w:rsidRPr="00B76FEA">
        <w:rPr>
          <w:rFonts w:ascii="Arial" w:eastAsia="Arial" w:hAnsi="Arial" w:cs="Arial"/>
          <w:i/>
          <w:iCs/>
          <w:sz w:val="18"/>
          <w:szCs w:val="18"/>
          <w:lang w:val="es-ES"/>
        </w:rPr>
        <w:t>dichiarazioni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previsionali</w:t>
      </w:r>
      <w:proofErr w:type="spellEnd"/>
      <w:r w:rsidRPr="00B76FEA">
        <w:rPr>
          <w:rFonts w:ascii="Arial" w:eastAsia="Arial" w:hAnsi="Arial" w:cs="Arial"/>
          <w:i/>
          <w:iCs/>
          <w:sz w:val="18"/>
          <w:szCs w:val="18"/>
          <w:lang w:val="es-ES"/>
        </w:rPr>
        <w:t xml:space="preserve"> non </w:t>
      </w:r>
      <w:proofErr w:type="spellStart"/>
      <w:r w:rsidRPr="00B76FEA">
        <w:rPr>
          <w:rFonts w:ascii="Arial" w:eastAsia="Arial" w:hAnsi="Arial" w:cs="Arial"/>
          <w:i/>
          <w:iCs/>
          <w:sz w:val="18"/>
          <w:szCs w:val="18"/>
          <w:lang w:val="es-ES"/>
        </w:rPr>
        <w:t>sono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garanzie</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prestazioni</w:t>
      </w:r>
      <w:proofErr w:type="spellEnd"/>
      <w:r w:rsidRPr="00B76FEA">
        <w:rPr>
          <w:rFonts w:ascii="Arial" w:eastAsia="Arial" w:hAnsi="Arial" w:cs="Arial"/>
          <w:i/>
          <w:iCs/>
          <w:sz w:val="18"/>
          <w:szCs w:val="18"/>
          <w:lang w:val="es-ES"/>
        </w:rPr>
        <w:t xml:space="preserve"> future. </w:t>
      </w:r>
      <w:proofErr w:type="spellStart"/>
      <w:r w:rsidRPr="00B76FEA">
        <w:rPr>
          <w:rFonts w:ascii="Arial" w:eastAsia="Arial" w:hAnsi="Arial" w:cs="Arial"/>
          <w:i/>
          <w:iCs/>
          <w:sz w:val="18"/>
          <w:szCs w:val="18"/>
          <w:lang w:val="es-ES"/>
        </w:rPr>
        <w:t>Piuttosto</w:t>
      </w:r>
      <w:proofErr w:type="spellEnd"/>
      <w:r w:rsidRPr="00B76FEA">
        <w:rPr>
          <w:rFonts w:ascii="Arial" w:eastAsia="Arial" w:hAnsi="Arial" w:cs="Arial"/>
          <w:i/>
          <w:iCs/>
          <w:sz w:val="18"/>
          <w:szCs w:val="18"/>
          <w:lang w:val="es-ES"/>
        </w:rPr>
        <w:t xml:space="preserve">, si </w:t>
      </w:r>
      <w:proofErr w:type="spellStart"/>
      <w:r w:rsidRPr="00B76FEA">
        <w:rPr>
          <w:rFonts w:ascii="Arial" w:eastAsia="Arial" w:hAnsi="Arial" w:cs="Arial"/>
          <w:i/>
          <w:iCs/>
          <w:sz w:val="18"/>
          <w:szCs w:val="18"/>
          <w:lang w:val="es-ES"/>
        </w:rPr>
        <w:t>basano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sullo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stato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attuale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conoscenze</w:t>
      </w:r>
      <w:proofErr w:type="spellEnd"/>
      <w:r w:rsidRPr="00B76FEA">
        <w:rPr>
          <w:rFonts w:ascii="Arial" w:eastAsia="Arial" w:hAnsi="Arial" w:cs="Arial"/>
          <w:i/>
          <w:iCs/>
          <w:sz w:val="18"/>
          <w:szCs w:val="18"/>
          <w:lang w:val="es-ES"/>
        </w:rPr>
        <w:t xml:space="preserve"> di Stellantis, </w:t>
      </w:r>
      <w:proofErr w:type="spellStart"/>
      <w:r w:rsidRPr="00B76FEA">
        <w:rPr>
          <w:rFonts w:ascii="Arial" w:eastAsia="Arial" w:hAnsi="Arial" w:cs="Arial"/>
          <w:i/>
          <w:iCs/>
          <w:sz w:val="18"/>
          <w:szCs w:val="18"/>
          <w:lang w:val="es-ES"/>
        </w:rPr>
        <w:t>sulle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aspettative</w:t>
      </w:r>
      <w:proofErr w:type="spellEnd"/>
      <w:r w:rsidRPr="00B76FEA">
        <w:rPr>
          <w:rFonts w:ascii="Arial" w:eastAsia="Arial" w:hAnsi="Arial" w:cs="Arial"/>
          <w:i/>
          <w:iCs/>
          <w:sz w:val="18"/>
          <w:szCs w:val="18"/>
          <w:lang w:val="es-ES"/>
        </w:rPr>
        <w:t xml:space="preserve"> future e </w:t>
      </w:r>
      <w:proofErr w:type="spellStart"/>
      <w:r w:rsidRPr="00B76FEA">
        <w:rPr>
          <w:rFonts w:ascii="Arial" w:eastAsia="Arial" w:hAnsi="Arial" w:cs="Arial"/>
          <w:i/>
          <w:iCs/>
          <w:sz w:val="18"/>
          <w:szCs w:val="18"/>
          <w:lang w:val="es-ES"/>
        </w:rPr>
        <w:t>sulle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proiezioni</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eventi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futuri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sono</w:t>
      </w:r>
      <w:proofErr w:type="spellEnd"/>
      <w:r w:rsidRPr="00B76FEA">
        <w:rPr>
          <w:rFonts w:ascii="Arial" w:eastAsia="Arial" w:hAnsi="Arial" w:cs="Arial"/>
          <w:i/>
          <w:iCs/>
          <w:sz w:val="18"/>
          <w:szCs w:val="18"/>
          <w:lang w:val="es-ES"/>
        </w:rPr>
        <w:t xml:space="preserve">, </w:t>
      </w:r>
      <w:proofErr w:type="gramStart"/>
      <w:r w:rsidRPr="00B76FEA">
        <w:rPr>
          <w:rFonts w:ascii="Arial" w:eastAsia="Arial" w:hAnsi="Arial" w:cs="Arial"/>
          <w:i/>
          <w:iCs/>
          <w:sz w:val="18"/>
          <w:szCs w:val="18"/>
          <w:lang w:val="es-ES"/>
        </w:rPr>
        <w:t>per loro</w:t>
      </w:r>
      <w:proofErr w:type="gramEnd"/>
      <w:r w:rsidRPr="00B76FEA">
        <w:rPr>
          <w:rFonts w:ascii="Arial" w:eastAsia="Arial" w:hAnsi="Arial" w:cs="Arial"/>
          <w:i/>
          <w:iCs/>
          <w:sz w:val="18"/>
          <w:szCs w:val="18"/>
          <w:lang w:val="es-ES"/>
        </w:rPr>
        <w:t xml:space="preserve"> natura, </w:t>
      </w:r>
      <w:proofErr w:type="spellStart"/>
      <w:r w:rsidRPr="00B76FEA">
        <w:rPr>
          <w:rFonts w:ascii="Arial" w:eastAsia="Arial" w:hAnsi="Arial" w:cs="Arial"/>
          <w:i/>
          <w:iCs/>
          <w:sz w:val="18"/>
          <w:szCs w:val="18"/>
          <w:lang w:val="es-ES"/>
        </w:rPr>
        <w:t>soggette</w:t>
      </w:r>
      <w:proofErr w:type="spellEnd"/>
      <w:r w:rsidRPr="00B76FEA">
        <w:rPr>
          <w:rFonts w:ascii="Arial" w:eastAsia="Arial" w:hAnsi="Arial" w:cs="Arial"/>
          <w:i/>
          <w:iCs/>
          <w:sz w:val="18"/>
          <w:szCs w:val="18"/>
          <w:lang w:val="es-ES"/>
        </w:rPr>
        <w:t xml:space="preserve"> a </w:t>
      </w:r>
      <w:proofErr w:type="spellStart"/>
      <w:r w:rsidRPr="00B76FEA">
        <w:rPr>
          <w:rFonts w:ascii="Arial" w:eastAsia="Arial" w:hAnsi="Arial" w:cs="Arial"/>
          <w:i/>
          <w:iCs/>
          <w:sz w:val="18"/>
          <w:szCs w:val="18"/>
          <w:lang w:val="es-ES"/>
        </w:rPr>
        <w:t>rischi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incertezze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intrinseche</w:t>
      </w:r>
      <w:proofErr w:type="spellEnd"/>
      <w:r w:rsidRPr="00B76FEA">
        <w:rPr>
          <w:rFonts w:ascii="Arial" w:eastAsia="Arial" w:hAnsi="Arial" w:cs="Arial"/>
          <w:i/>
          <w:iCs/>
          <w:sz w:val="18"/>
          <w:szCs w:val="18"/>
          <w:lang w:val="es-ES"/>
        </w:rPr>
        <w:t xml:space="preserve">. Si </w:t>
      </w:r>
      <w:proofErr w:type="spellStart"/>
      <w:r w:rsidRPr="00B76FEA">
        <w:rPr>
          <w:rFonts w:ascii="Arial" w:eastAsia="Arial" w:hAnsi="Arial" w:cs="Arial"/>
          <w:i/>
          <w:iCs/>
          <w:sz w:val="18"/>
          <w:szCs w:val="18"/>
          <w:lang w:val="es-ES"/>
        </w:rPr>
        <w:t>riferiscono</w:t>
      </w:r>
      <w:proofErr w:type="spellEnd"/>
      <w:r w:rsidRPr="00B76FEA">
        <w:rPr>
          <w:rFonts w:ascii="Arial" w:eastAsia="Arial" w:hAnsi="Arial" w:cs="Arial"/>
          <w:i/>
          <w:iCs/>
          <w:sz w:val="18"/>
          <w:szCs w:val="18"/>
          <w:lang w:val="es-ES"/>
        </w:rPr>
        <w:t xml:space="preserve"> a </w:t>
      </w:r>
      <w:proofErr w:type="spellStart"/>
      <w:r w:rsidRPr="00B76FEA">
        <w:rPr>
          <w:rFonts w:ascii="Arial" w:eastAsia="Arial" w:hAnsi="Arial" w:cs="Arial"/>
          <w:i/>
          <w:iCs/>
          <w:sz w:val="18"/>
          <w:szCs w:val="18"/>
          <w:lang w:val="es-ES"/>
        </w:rPr>
        <w:t>eventi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dipendono</w:t>
      </w:r>
      <w:proofErr w:type="spellEnd"/>
      <w:r w:rsidRPr="00B76FEA">
        <w:rPr>
          <w:rFonts w:ascii="Arial" w:eastAsia="Arial" w:hAnsi="Arial" w:cs="Arial"/>
          <w:i/>
          <w:iCs/>
          <w:sz w:val="18"/>
          <w:szCs w:val="18"/>
          <w:lang w:val="es-ES"/>
        </w:rPr>
        <w:t xml:space="preserve"> da </w:t>
      </w:r>
      <w:proofErr w:type="spellStart"/>
      <w:r w:rsidRPr="00B76FEA">
        <w:rPr>
          <w:rFonts w:ascii="Arial" w:eastAsia="Arial" w:hAnsi="Arial" w:cs="Arial"/>
          <w:i/>
          <w:iCs/>
          <w:sz w:val="18"/>
          <w:szCs w:val="18"/>
          <w:lang w:val="es-ES"/>
        </w:rPr>
        <w:t>circostanze</w:t>
      </w:r>
      <w:proofErr w:type="spellEnd"/>
      <w:r w:rsidRPr="00B76FEA">
        <w:rPr>
          <w:rFonts w:ascii="Arial" w:eastAsia="Arial" w:hAnsi="Arial" w:cs="Arial"/>
          <w:i/>
          <w:iCs/>
          <w:sz w:val="18"/>
          <w:szCs w:val="18"/>
          <w:lang w:val="es-ES"/>
        </w:rPr>
        <w:t xml:space="preserve"> che </w:t>
      </w:r>
      <w:proofErr w:type="spellStart"/>
      <w:r w:rsidRPr="00B76FEA">
        <w:rPr>
          <w:rFonts w:ascii="Arial" w:eastAsia="Arial" w:hAnsi="Arial" w:cs="Arial"/>
          <w:i/>
          <w:iCs/>
          <w:sz w:val="18"/>
          <w:szCs w:val="18"/>
          <w:lang w:val="es-ES"/>
        </w:rPr>
        <w:t>possono</w:t>
      </w:r>
      <w:proofErr w:type="spellEnd"/>
      <w:r w:rsidRPr="00B76FEA">
        <w:rPr>
          <w:rFonts w:ascii="Arial" w:eastAsia="Arial" w:hAnsi="Arial" w:cs="Arial"/>
          <w:i/>
          <w:iCs/>
          <w:sz w:val="18"/>
          <w:szCs w:val="18"/>
          <w:lang w:val="es-ES"/>
        </w:rPr>
        <w:t xml:space="preserve"> o non </w:t>
      </w:r>
      <w:proofErr w:type="spellStart"/>
      <w:r w:rsidRPr="00B76FEA">
        <w:rPr>
          <w:rFonts w:ascii="Arial" w:eastAsia="Arial" w:hAnsi="Arial" w:cs="Arial"/>
          <w:i/>
          <w:iCs/>
          <w:sz w:val="18"/>
          <w:szCs w:val="18"/>
          <w:lang w:val="es-ES"/>
        </w:rPr>
        <w:t>possono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verificarsi</w:t>
      </w:r>
      <w:proofErr w:type="spellEnd"/>
      <w:r w:rsidRPr="00B76FEA">
        <w:rPr>
          <w:rFonts w:ascii="Arial" w:eastAsia="Arial" w:hAnsi="Arial" w:cs="Arial"/>
          <w:i/>
          <w:iCs/>
          <w:sz w:val="18"/>
          <w:szCs w:val="18"/>
          <w:lang w:val="es-ES"/>
        </w:rPr>
        <w:t xml:space="preserve"> o </w:t>
      </w:r>
      <w:proofErr w:type="spellStart"/>
      <w:r w:rsidRPr="00B76FEA">
        <w:rPr>
          <w:rFonts w:ascii="Arial" w:eastAsia="Arial" w:hAnsi="Arial" w:cs="Arial"/>
          <w:i/>
          <w:iCs/>
          <w:sz w:val="18"/>
          <w:szCs w:val="18"/>
          <w:lang w:val="es-ES"/>
        </w:rPr>
        <w:t>esistere</w:t>
      </w:r>
      <w:proofErr w:type="spellEnd"/>
      <w:r w:rsidRPr="00B76FEA">
        <w:rPr>
          <w:rFonts w:ascii="Arial" w:eastAsia="Arial" w:hAnsi="Arial" w:cs="Arial"/>
          <w:i/>
          <w:iCs/>
          <w:sz w:val="18"/>
          <w:szCs w:val="18"/>
          <w:lang w:val="es-ES"/>
        </w:rPr>
        <w:t xml:space="preserve"> in futuro e, </w:t>
      </w:r>
      <w:proofErr w:type="spellStart"/>
      <w:r w:rsidRPr="00B76FEA">
        <w:rPr>
          <w:rFonts w:ascii="Arial" w:eastAsia="Arial" w:hAnsi="Arial" w:cs="Arial"/>
          <w:i/>
          <w:iCs/>
          <w:sz w:val="18"/>
          <w:szCs w:val="18"/>
          <w:lang w:val="es-ES"/>
        </w:rPr>
        <w:t>pertanto</w:t>
      </w:r>
      <w:proofErr w:type="spellEnd"/>
      <w:r w:rsidRPr="00B76FEA">
        <w:rPr>
          <w:rFonts w:ascii="Arial" w:eastAsia="Arial" w:hAnsi="Arial" w:cs="Arial"/>
          <w:i/>
          <w:iCs/>
          <w:sz w:val="18"/>
          <w:szCs w:val="18"/>
          <w:lang w:val="es-ES"/>
        </w:rPr>
        <w:t xml:space="preserve">, che non </w:t>
      </w:r>
      <w:proofErr w:type="spellStart"/>
      <w:r w:rsidRPr="00B76FEA">
        <w:rPr>
          <w:rFonts w:ascii="Arial" w:eastAsia="Arial" w:hAnsi="Arial" w:cs="Arial"/>
          <w:i/>
          <w:iCs/>
          <w:sz w:val="18"/>
          <w:szCs w:val="18"/>
          <w:lang w:val="es-ES"/>
        </w:rPr>
        <w:t>dovrebbero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essere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oggetto</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eccessivo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affidamento</w:t>
      </w:r>
      <w:proofErr w:type="spellEnd"/>
      <w:r w:rsidRPr="00B76FEA">
        <w:rPr>
          <w:rFonts w:ascii="Arial" w:eastAsia="Arial" w:hAnsi="Arial" w:cs="Arial"/>
          <w:i/>
          <w:iCs/>
          <w:sz w:val="18"/>
          <w:szCs w:val="18"/>
          <w:lang w:val="es-ES"/>
        </w:rPr>
        <w:t>.</w:t>
      </w:r>
    </w:p>
    <w:p w14:paraId="2A133DA2" w14:textId="77777777" w:rsidR="00B76FEA" w:rsidRPr="00B76FEA" w:rsidRDefault="00B76FEA" w:rsidP="00B76FEA">
      <w:pPr>
        <w:tabs>
          <w:tab w:val="left" w:pos="2592"/>
        </w:tabs>
        <w:spacing w:after="0" w:line="240" w:lineRule="auto"/>
        <w:rPr>
          <w:rFonts w:ascii="Arial" w:eastAsia="Arial" w:hAnsi="Arial" w:cs="Arial"/>
          <w:i/>
          <w:iCs/>
          <w:sz w:val="18"/>
          <w:szCs w:val="18"/>
          <w:lang w:val="es-ES"/>
        </w:rPr>
      </w:pPr>
    </w:p>
    <w:p w14:paraId="15108FFD" w14:textId="73ECFCCF" w:rsidR="00B76FEA" w:rsidRPr="00B76FEA" w:rsidRDefault="00B76FEA" w:rsidP="00B76FEA">
      <w:pPr>
        <w:tabs>
          <w:tab w:val="left" w:pos="2592"/>
        </w:tabs>
        <w:spacing w:after="0" w:line="240" w:lineRule="auto"/>
        <w:rPr>
          <w:rFonts w:ascii="Arial" w:eastAsia="Arial" w:hAnsi="Arial" w:cs="Arial"/>
          <w:i/>
          <w:iCs/>
          <w:sz w:val="18"/>
          <w:szCs w:val="18"/>
          <w:lang w:val="es-ES"/>
        </w:rPr>
      </w:pPr>
      <w:r w:rsidRPr="00B76FEA">
        <w:rPr>
          <w:rFonts w:ascii="Arial" w:eastAsia="Arial" w:hAnsi="Arial" w:cs="Arial"/>
          <w:i/>
          <w:iCs/>
          <w:sz w:val="18"/>
          <w:szCs w:val="18"/>
          <w:lang w:val="es-ES"/>
        </w:rPr>
        <w:t xml:space="preserve">I </w:t>
      </w:r>
      <w:proofErr w:type="spellStart"/>
      <w:r w:rsidRPr="00B76FEA">
        <w:rPr>
          <w:rFonts w:ascii="Arial" w:eastAsia="Arial" w:hAnsi="Arial" w:cs="Arial"/>
          <w:i/>
          <w:iCs/>
          <w:sz w:val="18"/>
          <w:szCs w:val="18"/>
          <w:lang w:val="es-ES"/>
        </w:rPr>
        <w:t>risultati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reali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possono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differire</w:t>
      </w:r>
      <w:proofErr w:type="spellEnd"/>
      <w:r w:rsidRPr="00B76FEA">
        <w:rPr>
          <w:rFonts w:ascii="Arial" w:eastAsia="Arial" w:hAnsi="Arial" w:cs="Arial"/>
          <w:i/>
          <w:iCs/>
          <w:sz w:val="18"/>
          <w:szCs w:val="18"/>
          <w:lang w:val="es-ES"/>
        </w:rPr>
        <w:t xml:space="preserve"> materialmente da </w:t>
      </w:r>
      <w:proofErr w:type="spellStart"/>
      <w:r w:rsidRPr="00B76FEA">
        <w:rPr>
          <w:rFonts w:ascii="Arial" w:eastAsia="Arial" w:hAnsi="Arial" w:cs="Arial"/>
          <w:i/>
          <w:iCs/>
          <w:sz w:val="18"/>
          <w:szCs w:val="18"/>
          <w:lang w:val="es-ES"/>
        </w:rPr>
        <w:t>quelli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espressi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dichiarazioni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previsionali</w:t>
      </w:r>
      <w:proofErr w:type="spellEnd"/>
      <w:r w:rsidRPr="00B76FEA">
        <w:rPr>
          <w:rFonts w:ascii="Arial" w:eastAsia="Arial" w:hAnsi="Arial" w:cs="Arial"/>
          <w:i/>
          <w:iCs/>
          <w:sz w:val="18"/>
          <w:szCs w:val="18"/>
          <w:lang w:val="es-ES"/>
        </w:rPr>
        <w:t xml:space="preserve"> in </w:t>
      </w:r>
      <w:proofErr w:type="spellStart"/>
      <w:r w:rsidRPr="00B76FEA">
        <w:rPr>
          <w:rFonts w:ascii="Arial" w:eastAsia="Arial" w:hAnsi="Arial" w:cs="Arial"/>
          <w:i/>
          <w:iCs/>
          <w:sz w:val="18"/>
          <w:szCs w:val="18"/>
          <w:lang w:val="es-ES"/>
        </w:rPr>
        <w:t>conseguenza</w:t>
      </w:r>
      <w:proofErr w:type="spellEnd"/>
      <w:r w:rsidRPr="00B76FEA">
        <w:rPr>
          <w:rFonts w:ascii="Arial" w:eastAsia="Arial" w:hAnsi="Arial" w:cs="Arial"/>
          <w:i/>
          <w:iCs/>
          <w:sz w:val="18"/>
          <w:szCs w:val="18"/>
          <w:lang w:val="es-ES"/>
        </w:rPr>
        <w:t xml:space="preserve"> di vari </w:t>
      </w:r>
      <w:proofErr w:type="spellStart"/>
      <w:r w:rsidRPr="00B76FEA">
        <w:rPr>
          <w:rFonts w:ascii="Arial" w:eastAsia="Arial" w:hAnsi="Arial" w:cs="Arial"/>
          <w:i/>
          <w:iCs/>
          <w:sz w:val="18"/>
          <w:szCs w:val="18"/>
          <w:lang w:val="es-ES"/>
        </w:rPr>
        <w:t>fattori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quali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l’impatto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della</w:t>
      </w:r>
      <w:proofErr w:type="spellEnd"/>
      <w:r w:rsidRPr="00B76FEA">
        <w:rPr>
          <w:rFonts w:ascii="Arial" w:eastAsia="Arial" w:hAnsi="Arial" w:cs="Arial"/>
          <w:i/>
          <w:iCs/>
          <w:sz w:val="18"/>
          <w:szCs w:val="18"/>
          <w:lang w:val="es-ES"/>
        </w:rPr>
        <w:t xml:space="preserve"> pandemia COVID-19, la </w:t>
      </w:r>
      <w:proofErr w:type="spellStart"/>
      <w:r w:rsidRPr="00B76FEA">
        <w:rPr>
          <w:rFonts w:ascii="Arial" w:eastAsia="Arial" w:hAnsi="Arial" w:cs="Arial"/>
          <w:i/>
          <w:iCs/>
          <w:sz w:val="18"/>
          <w:szCs w:val="18"/>
          <w:lang w:val="es-ES"/>
        </w:rPr>
        <w:t>capacità</w:t>
      </w:r>
      <w:proofErr w:type="spellEnd"/>
      <w:r w:rsidRPr="00B76FEA">
        <w:rPr>
          <w:rFonts w:ascii="Arial" w:eastAsia="Arial" w:hAnsi="Arial" w:cs="Arial"/>
          <w:i/>
          <w:iCs/>
          <w:sz w:val="18"/>
          <w:szCs w:val="18"/>
          <w:lang w:val="es-ES"/>
        </w:rPr>
        <w:t xml:space="preserve"> di Stellantis di </w:t>
      </w:r>
      <w:proofErr w:type="spellStart"/>
      <w:r w:rsidRPr="00B76FEA">
        <w:rPr>
          <w:rFonts w:ascii="Arial" w:eastAsia="Arial" w:hAnsi="Arial" w:cs="Arial"/>
          <w:i/>
          <w:iCs/>
          <w:sz w:val="18"/>
          <w:szCs w:val="18"/>
          <w:lang w:val="es-ES"/>
        </w:rPr>
        <w:t>lanciare</w:t>
      </w:r>
      <w:proofErr w:type="spellEnd"/>
      <w:r w:rsidRPr="00B76FEA">
        <w:rPr>
          <w:rFonts w:ascii="Arial" w:eastAsia="Arial" w:hAnsi="Arial" w:cs="Arial"/>
          <w:i/>
          <w:iCs/>
          <w:sz w:val="18"/>
          <w:szCs w:val="18"/>
          <w:lang w:val="es-ES"/>
        </w:rPr>
        <w:t xml:space="preserve"> con </w:t>
      </w:r>
      <w:proofErr w:type="spellStart"/>
      <w:r w:rsidRPr="00B76FEA">
        <w:rPr>
          <w:rFonts w:ascii="Arial" w:eastAsia="Arial" w:hAnsi="Arial" w:cs="Arial"/>
          <w:i/>
          <w:iCs/>
          <w:sz w:val="18"/>
          <w:szCs w:val="18"/>
          <w:lang w:val="es-ES"/>
        </w:rPr>
        <w:t>successo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nuovi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prodotti</w:t>
      </w:r>
      <w:proofErr w:type="spellEnd"/>
      <w:r w:rsidRPr="00B76FEA">
        <w:rPr>
          <w:rFonts w:ascii="Arial" w:eastAsia="Arial" w:hAnsi="Arial" w:cs="Arial"/>
          <w:i/>
          <w:iCs/>
          <w:sz w:val="18"/>
          <w:szCs w:val="18"/>
          <w:lang w:val="es-ES"/>
        </w:rPr>
        <w:t xml:space="preserve"> e di </w:t>
      </w:r>
      <w:proofErr w:type="spellStart"/>
      <w:r w:rsidRPr="00B76FEA">
        <w:rPr>
          <w:rFonts w:ascii="Arial" w:eastAsia="Arial" w:hAnsi="Arial" w:cs="Arial"/>
          <w:i/>
          <w:iCs/>
          <w:sz w:val="18"/>
          <w:szCs w:val="18"/>
          <w:lang w:val="es-ES"/>
        </w:rPr>
        <w:t>garantire</w:t>
      </w:r>
      <w:proofErr w:type="spellEnd"/>
      <w:r w:rsidRPr="00B76FEA">
        <w:rPr>
          <w:rFonts w:ascii="Arial" w:eastAsia="Arial" w:hAnsi="Arial" w:cs="Arial"/>
          <w:i/>
          <w:iCs/>
          <w:sz w:val="18"/>
          <w:szCs w:val="18"/>
          <w:lang w:val="es-ES"/>
        </w:rPr>
        <w:t xml:space="preserve"> i </w:t>
      </w:r>
      <w:proofErr w:type="spellStart"/>
      <w:r w:rsidRPr="00B76FEA">
        <w:rPr>
          <w:rFonts w:ascii="Arial" w:eastAsia="Arial" w:hAnsi="Arial" w:cs="Arial"/>
          <w:i/>
          <w:iCs/>
          <w:sz w:val="18"/>
          <w:szCs w:val="18"/>
          <w:lang w:val="es-ES"/>
        </w:rPr>
        <w:t>volumi</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spedizione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veicoli</w:t>
      </w:r>
      <w:proofErr w:type="spellEnd"/>
      <w:r w:rsidRPr="00B76FEA">
        <w:rPr>
          <w:rFonts w:ascii="Arial" w:eastAsia="Arial" w:hAnsi="Arial" w:cs="Arial"/>
          <w:i/>
          <w:iCs/>
          <w:sz w:val="18"/>
          <w:szCs w:val="18"/>
          <w:lang w:val="es-ES"/>
        </w:rPr>
        <w:t xml:space="preserve">; i </w:t>
      </w:r>
      <w:proofErr w:type="spellStart"/>
      <w:r w:rsidRPr="00B76FEA">
        <w:rPr>
          <w:rFonts w:ascii="Arial" w:eastAsia="Arial" w:hAnsi="Arial" w:cs="Arial"/>
          <w:i/>
          <w:iCs/>
          <w:sz w:val="18"/>
          <w:szCs w:val="18"/>
          <w:lang w:val="es-ES"/>
        </w:rPr>
        <w:t>cambiamenti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mercati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finanziari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globali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il</w:t>
      </w:r>
      <w:proofErr w:type="spellEnd"/>
      <w:r w:rsidRPr="00B76FEA">
        <w:rPr>
          <w:rFonts w:ascii="Arial" w:eastAsia="Arial" w:hAnsi="Arial" w:cs="Arial"/>
          <w:i/>
          <w:iCs/>
          <w:sz w:val="18"/>
          <w:szCs w:val="18"/>
          <w:lang w:val="es-ES"/>
        </w:rPr>
        <w:t xml:space="preserve"> contesto </w:t>
      </w:r>
      <w:proofErr w:type="spellStart"/>
      <w:r w:rsidRPr="00B76FEA">
        <w:rPr>
          <w:rFonts w:ascii="Arial" w:eastAsia="Arial" w:hAnsi="Arial" w:cs="Arial"/>
          <w:i/>
          <w:iCs/>
          <w:sz w:val="18"/>
          <w:szCs w:val="18"/>
          <w:lang w:val="es-ES"/>
        </w:rPr>
        <w:t>economico</w:t>
      </w:r>
      <w:proofErr w:type="spellEnd"/>
      <w:r w:rsidRPr="00B76FEA">
        <w:rPr>
          <w:rFonts w:ascii="Arial" w:eastAsia="Arial" w:hAnsi="Arial" w:cs="Arial"/>
          <w:i/>
          <w:iCs/>
          <w:sz w:val="18"/>
          <w:szCs w:val="18"/>
          <w:lang w:val="es-ES"/>
        </w:rPr>
        <w:t xml:space="preserve"> generale e i </w:t>
      </w:r>
      <w:proofErr w:type="spellStart"/>
      <w:r w:rsidRPr="00B76FEA">
        <w:rPr>
          <w:rFonts w:ascii="Arial" w:eastAsia="Arial" w:hAnsi="Arial" w:cs="Arial"/>
          <w:i/>
          <w:iCs/>
          <w:sz w:val="18"/>
          <w:szCs w:val="18"/>
          <w:lang w:val="es-ES"/>
        </w:rPr>
        <w:t>cambiamenti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nella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domanda</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prodotti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automobilistici</w:t>
      </w:r>
      <w:proofErr w:type="spellEnd"/>
      <w:r w:rsidRPr="00B76FEA">
        <w:rPr>
          <w:rFonts w:ascii="Arial" w:eastAsia="Arial" w:hAnsi="Arial" w:cs="Arial"/>
          <w:i/>
          <w:iCs/>
          <w:sz w:val="18"/>
          <w:szCs w:val="18"/>
          <w:lang w:val="es-ES"/>
        </w:rPr>
        <w:t xml:space="preserve">, che è </w:t>
      </w:r>
      <w:proofErr w:type="spellStart"/>
      <w:r w:rsidRPr="00B76FEA">
        <w:rPr>
          <w:rFonts w:ascii="Arial" w:eastAsia="Arial" w:hAnsi="Arial" w:cs="Arial"/>
          <w:i/>
          <w:iCs/>
          <w:sz w:val="18"/>
          <w:szCs w:val="18"/>
          <w:lang w:val="es-ES"/>
        </w:rPr>
        <w:t>soggetta</w:t>
      </w:r>
      <w:proofErr w:type="spellEnd"/>
      <w:r w:rsidRPr="00B76FEA">
        <w:rPr>
          <w:rFonts w:ascii="Arial" w:eastAsia="Arial" w:hAnsi="Arial" w:cs="Arial"/>
          <w:i/>
          <w:iCs/>
          <w:sz w:val="18"/>
          <w:szCs w:val="18"/>
          <w:lang w:val="es-ES"/>
        </w:rPr>
        <w:t xml:space="preserve"> a </w:t>
      </w:r>
      <w:proofErr w:type="spellStart"/>
      <w:r w:rsidRPr="00B76FEA">
        <w:rPr>
          <w:rFonts w:ascii="Arial" w:eastAsia="Arial" w:hAnsi="Arial" w:cs="Arial"/>
          <w:i/>
          <w:iCs/>
          <w:sz w:val="18"/>
          <w:szCs w:val="18"/>
          <w:lang w:val="es-ES"/>
        </w:rPr>
        <w:t>ciclicità</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cambiamenti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condizioni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economiche</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politiche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locali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cambiamenti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politiche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commerciali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l’imposizione</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tariffe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globali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regionali</w:t>
      </w:r>
      <w:proofErr w:type="spellEnd"/>
      <w:r w:rsidRPr="00B76FEA">
        <w:rPr>
          <w:rFonts w:ascii="Arial" w:eastAsia="Arial" w:hAnsi="Arial" w:cs="Arial"/>
          <w:i/>
          <w:iCs/>
          <w:sz w:val="18"/>
          <w:szCs w:val="18"/>
          <w:lang w:val="es-ES"/>
        </w:rPr>
        <w:t xml:space="preserve"> o di </w:t>
      </w:r>
      <w:proofErr w:type="spellStart"/>
      <w:r w:rsidRPr="00B76FEA">
        <w:rPr>
          <w:rFonts w:ascii="Arial" w:eastAsia="Arial" w:hAnsi="Arial" w:cs="Arial"/>
          <w:i/>
          <w:iCs/>
          <w:sz w:val="18"/>
          <w:szCs w:val="18"/>
          <w:lang w:val="es-ES"/>
        </w:rPr>
        <w:t>tariffe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mirate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all’industria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automobilistica</w:t>
      </w:r>
      <w:proofErr w:type="spellEnd"/>
      <w:r w:rsidRPr="00B76FEA">
        <w:rPr>
          <w:rFonts w:ascii="Arial" w:eastAsia="Arial" w:hAnsi="Arial" w:cs="Arial"/>
          <w:i/>
          <w:iCs/>
          <w:sz w:val="18"/>
          <w:szCs w:val="18"/>
          <w:lang w:val="es-ES"/>
        </w:rPr>
        <w:t xml:space="preserve">, la </w:t>
      </w:r>
      <w:proofErr w:type="spellStart"/>
      <w:r w:rsidRPr="00B76FEA">
        <w:rPr>
          <w:rFonts w:ascii="Arial" w:eastAsia="Arial" w:hAnsi="Arial" w:cs="Arial"/>
          <w:i/>
          <w:iCs/>
          <w:sz w:val="18"/>
          <w:szCs w:val="18"/>
          <w:lang w:val="es-ES"/>
        </w:rPr>
        <w:t>promulgazione</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riforme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fiscali</w:t>
      </w:r>
      <w:proofErr w:type="spellEnd"/>
      <w:r w:rsidRPr="00B76FEA">
        <w:rPr>
          <w:rFonts w:ascii="Arial" w:eastAsia="Arial" w:hAnsi="Arial" w:cs="Arial"/>
          <w:i/>
          <w:iCs/>
          <w:sz w:val="18"/>
          <w:szCs w:val="18"/>
          <w:lang w:val="es-ES"/>
        </w:rPr>
        <w:t xml:space="preserve"> o </w:t>
      </w:r>
      <w:proofErr w:type="spellStart"/>
      <w:r w:rsidRPr="00B76FEA">
        <w:rPr>
          <w:rFonts w:ascii="Arial" w:eastAsia="Arial" w:hAnsi="Arial" w:cs="Arial"/>
          <w:i/>
          <w:iCs/>
          <w:sz w:val="18"/>
          <w:szCs w:val="18"/>
          <w:lang w:val="es-ES"/>
        </w:rPr>
        <w:t>altri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cambiamenti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leggi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dei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regolamenti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fiscali</w:t>
      </w:r>
      <w:proofErr w:type="spellEnd"/>
      <w:r w:rsidRPr="00B76FEA">
        <w:rPr>
          <w:rFonts w:ascii="Arial" w:eastAsia="Arial" w:hAnsi="Arial" w:cs="Arial"/>
          <w:i/>
          <w:iCs/>
          <w:sz w:val="18"/>
          <w:szCs w:val="18"/>
          <w:lang w:val="es-ES"/>
        </w:rPr>
        <w:t xml:space="preserve">; la </w:t>
      </w:r>
      <w:proofErr w:type="spellStart"/>
      <w:r w:rsidRPr="00B76FEA">
        <w:rPr>
          <w:rFonts w:ascii="Arial" w:eastAsia="Arial" w:hAnsi="Arial" w:cs="Arial"/>
          <w:i/>
          <w:iCs/>
          <w:sz w:val="18"/>
          <w:szCs w:val="18"/>
          <w:lang w:val="es-ES"/>
        </w:rPr>
        <w:t>capacità</w:t>
      </w:r>
      <w:proofErr w:type="spellEnd"/>
      <w:r w:rsidRPr="00B76FEA">
        <w:rPr>
          <w:rFonts w:ascii="Arial" w:eastAsia="Arial" w:hAnsi="Arial" w:cs="Arial"/>
          <w:i/>
          <w:iCs/>
          <w:sz w:val="18"/>
          <w:szCs w:val="18"/>
          <w:lang w:val="es-ES"/>
        </w:rPr>
        <w:t xml:space="preserve"> di Stellantis di </w:t>
      </w:r>
      <w:proofErr w:type="spellStart"/>
      <w:r w:rsidRPr="00B76FEA">
        <w:rPr>
          <w:rFonts w:ascii="Arial" w:eastAsia="Arial" w:hAnsi="Arial" w:cs="Arial"/>
          <w:i/>
          <w:iCs/>
          <w:sz w:val="18"/>
          <w:szCs w:val="18"/>
          <w:lang w:val="es-ES"/>
        </w:rPr>
        <w:t>espandere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alcuni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suoi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brand</w:t>
      </w:r>
      <w:proofErr w:type="spellEnd"/>
      <w:r w:rsidRPr="00B76FEA">
        <w:rPr>
          <w:rFonts w:ascii="Arial" w:eastAsia="Arial" w:hAnsi="Arial" w:cs="Arial"/>
          <w:i/>
          <w:iCs/>
          <w:sz w:val="18"/>
          <w:szCs w:val="18"/>
          <w:lang w:val="es-ES"/>
        </w:rPr>
        <w:t xml:space="preserve"> a </w:t>
      </w:r>
      <w:proofErr w:type="spellStart"/>
      <w:r w:rsidRPr="00B76FEA">
        <w:rPr>
          <w:rFonts w:ascii="Arial" w:eastAsia="Arial" w:hAnsi="Arial" w:cs="Arial"/>
          <w:i/>
          <w:iCs/>
          <w:sz w:val="18"/>
          <w:szCs w:val="18"/>
          <w:lang w:val="es-ES"/>
        </w:rPr>
        <w:t>livello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globale</w:t>
      </w:r>
      <w:proofErr w:type="spellEnd"/>
      <w:r w:rsidRPr="00B76FEA">
        <w:rPr>
          <w:rFonts w:ascii="Arial" w:eastAsia="Arial" w:hAnsi="Arial" w:cs="Arial"/>
          <w:i/>
          <w:iCs/>
          <w:sz w:val="18"/>
          <w:szCs w:val="18"/>
          <w:lang w:val="es-ES"/>
        </w:rPr>
        <w:t xml:space="preserve">; la </w:t>
      </w:r>
      <w:proofErr w:type="spellStart"/>
      <w:r w:rsidRPr="00B76FEA">
        <w:rPr>
          <w:rFonts w:ascii="Arial" w:eastAsia="Arial" w:hAnsi="Arial" w:cs="Arial"/>
          <w:i/>
          <w:iCs/>
          <w:sz w:val="18"/>
          <w:szCs w:val="18"/>
          <w:lang w:val="es-ES"/>
        </w:rPr>
        <w:t>sua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capacità</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offrire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prodotti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innovativi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attraenti</w:t>
      </w:r>
      <w:proofErr w:type="spellEnd"/>
      <w:r w:rsidRPr="00B76FEA">
        <w:rPr>
          <w:rFonts w:ascii="Arial" w:eastAsia="Arial" w:hAnsi="Arial" w:cs="Arial"/>
          <w:i/>
          <w:iCs/>
          <w:sz w:val="18"/>
          <w:szCs w:val="18"/>
          <w:lang w:val="es-ES"/>
        </w:rPr>
        <w:t xml:space="preserve">; la </w:t>
      </w:r>
      <w:proofErr w:type="spellStart"/>
      <w:r w:rsidRPr="00B76FEA">
        <w:rPr>
          <w:rFonts w:ascii="Arial" w:eastAsia="Arial" w:hAnsi="Arial" w:cs="Arial"/>
          <w:i/>
          <w:iCs/>
          <w:sz w:val="18"/>
          <w:szCs w:val="18"/>
          <w:lang w:val="es-ES"/>
        </w:rPr>
        <w:t>sua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capacità</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sviluppare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produrre</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vendere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veicoli</w:t>
      </w:r>
      <w:proofErr w:type="spellEnd"/>
      <w:r w:rsidRPr="00B76FEA">
        <w:rPr>
          <w:rFonts w:ascii="Arial" w:eastAsia="Arial" w:hAnsi="Arial" w:cs="Arial"/>
          <w:i/>
          <w:iCs/>
          <w:sz w:val="18"/>
          <w:szCs w:val="18"/>
          <w:lang w:val="es-ES"/>
        </w:rPr>
        <w:t xml:space="preserve"> con </w:t>
      </w:r>
      <w:proofErr w:type="spellStart"/>
      <w:r w:rsidRPr="00B76FEA">
        <w:rPr>
          <w:rFonts w:ascii="Arial" w:eastAsia="Arial" w:hAnsi="Arial" w:cs="Arial"/>
          <w:i/>
          <w:iCs/>
          <w:sz w:val="18"/>
          <w:szCs w:val="18"/>
          <w:lang w:val="es-ES"/>
        </w:rPr>
        <w:t>caratteristiche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avanzate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tra</w:t>
      </w:r>
      <w:proofErr w:type="spellEnd"/>
      <w:r w:rsidRPr="00B76FEA">
        <w:rPr>
          <w:rFonts w:ascii="Arial" w:eastAsia="Arial" w:hAnsi="Arial" w:cs="Arial"/>
          <w:i/>
          <w:iCs/>
          <w:sz w:val="18"/>
          <w:szCs w:val="18"/>
          <w:lang w:val="es-ES"/>
        </w:rPr>
        <w:t xml:space="preserve"> cui </w:t>
      </w:r>
      <w:proofErr w:type="spellStart"/>
      <w:r w:rsidRPr="00B76FEA">
        <w:rPr>
          <w:rFonts w:ascii="Arial" w:eastAsia="Arial" w:hAnsi="Arial" w:cs="Arial"/>
          <w:i/>
          <w:iCs/>
          <w:sz w:val="18"/>
          <w:szCs w:val="18"/>
          <w:lang w:val="es-ES"/>
        </w:rPr>
        <w:t>elettrificazione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avanzata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connettività</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caratteristiche</w:t>
      </w:r>
      <w:proofErr w:type="spellEnd"/>
      <w:r w:rsidRPr="00B76FEA">
        <w:rPr>
          <w:rFonts w:ascii="Arial" w:eastAsia="Arial" w:hAnsi="Arial" w:cs="Arial"/>
          <w:i/>
          <w:iCs/>
          <w:sz w:val="18"/>
          <w:szCs w:val="18"/>
          <w:lang w:val="es-ES"/>
        </w:rPr>
        <w:t xml:space="preserve"> di guida </w:t>
      </w:r>
      <w:proofErr w:type="spellStart"/>
      <w:r w:rsidRPr="00B76FEA">
        <w:rPr>
          <w:rFonts w:ascii="Arial" w:eastAsia="Arial" w:hAnsi="Arial" w:cs="Arial"/>
          <w:i/>
          <w:iCs/>
          <w:sz w:val="18"/>
          <w:szCs w:val="18"/>
          <w:lang w:val="es-ES"/>
        </w:rPr>
        <w:t>autonoma</w:t>
      </w:r>
      <w:proofErr w:type="spellEnd"/>
      <w:r w:rsidRPr="00B76FEA">
        <w:rPr>
          <w:rFonts w:ascii="Arial" w:eastAsia="Arial" w:hAnsi="Arial" w:cs="Arial"/>
          <w:i/>
          <w:iCs/>
          <w:sz w:val="18"/>
          <w:szCs w:val="18"/>
          <w:lang w:val="es-ES"/>
        </w:rPr>
        <w:t xml:space="preserve">; vari tipi di </w:t>
      </w:r>
      <w:proofErr w:type="spellStart"/>
      <w:r w:rsidRPr="00B76FEA">
        <w:rPr>
          <w:rFonts w:ascii="Arial" w:eastAsia="Arial" w:hAnsi="Arial" w:cs="Arial"/>
          <w:i/>
          <w:iCs/>
          <w:sz w:val="18"/>
          <w:szCs w:val="18"/>
          <w:lang w:val="es-ES"/>
        </w:rPr>
        <w:t>reclami</w:t>
      </w:r>
      <w:proofErr w:type="spellEnd"/>
      <w:r w:rsidRPr="00B76FEA">
        <w:rPr>
          <w:rFonts w:ascii="Arial" w:eastAsia="Arial" w:hAnsi="Arial" w:cs="Arial"/>
          <w:i/>
          <w:iCs/>
          <w:sz w:val="18"/>
          <w:szCs w:val="18"/>
          <w:lang w:val="es-ES"/>
        </w:rPr>
        <w:t xml:space="preserve">, cause </w:t>
      </w:r>
      <w:proofErr w:type="spellStart"/>
      <w:r w:rsidRPr="00B76FEA">
        <w:rPr>
          <w:rFonts w:ascii="Arial" w:eastAsia="Arial" w:hAnsi="Arial" w:cs="Arial"/>
          <w:i/>
          <w:iCs/>
          <w:sz w:val="18"/>
          <w:szCs w:val="18"/>
          <w:lang w:val="es-ES"/>
        </w:rPr>
        <w:t>legali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indagini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governative</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altri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imprevisti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tra</w:t>
      </w:r>
      <w:proofErr w:type="spellEnd"/>
      <w:r w:rsidRPr="00B76FEA">
        <w:rPr>
          <w:rFonts w:ascii="Arial" w:eastAsia="Arial" w:hAnsi="Arial" w:cs="Arial"/>
          <w:i/>
          <w:iCs/>
          <w:sz w:val="18"/>
          <w:szCs w:val="18"/>
          <w:lang w:val="es-ES"/>
        </w:rPr>
        <w:t xml:space="preserve"> cui </w:t>
      </w:r>
      <w:proofErr w:type="spellStart"/>
      <w:r w:rsidRPr="00B76FEA">
        <w:rPr>
          <w:rFonts w:ascii="Arial" w:eastAsia="Arial" w:hAnsi="Arial" w:cs="Arial"/>
          <w:i/>
          <w:iCs/>
          <w:sz w:val="18"/>
          <w:szCs w:val="18"/>
          <w:lang w:val="es-ES"/>
        </w:rPr>
        <w:t>responsabilità</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prodotto</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rivendicazioni</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garanzia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indagini</w:t>
      </w:r>
      <w:proofErr w:type="spellEnd"/>
      <w:r w:rsidRPr="00B76FEA">
        <w:rPr>
          <w:rFonts w:ascii="Arial" w:eastAsia="Arial" w:hAnsi="Arial" w:cs="Arial"/>
          <w:i/>
          <w:iCs/>
          <w:sz w:val="18"/>
          <w:szCs w:val="18"/>
          <w:lang w:val="es-ES"/>
        </w:rPr>
        <w:t xml:space="preserve"> e cause </w:t>
      </w:r>
      <w:proofErr w:type="spellStart"/>
      <w:r w:rsidRPr="00B76FEA">
        <w:rPr>
          <w:rFonts w:ascii="Arial" w:eastAsia="Arial" w:hAnsi="Arial" w:cs="Arial"/>
          <w:i/>
          <w:iCs/>
          <w:sz w:val="18"/>
          <w:szCs w:val="18"/>
          <w:lang w:val="es-ES"/>
        </w:rPr>
        <w:t>ambientali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spese</w:t>
      </w:r>
      <w:proofErr w:type="spellEnd"/>
      <w:r w:rsidRPr="00B76FEA">
        <w:rPr>
          <w:rFonts w:ascii="Arial" w:eastAsia="Arial" w:hAnsi="Arial" w:cs="Arial"/>
          <w:i/>
          <w:iCs/>
          <w:sz w:val="18"/>
          <w:szCs w:val="18"/>
          <w:lang w:val="es-ES"/>
        </w:rPr>
        <w:t xml:space="preserve"> operative </w:t>
      </w:r>
      <w:proofErr w:type="spellStart"/>
      <w:r w:rsidRPr="00B76FEA">
        <w:rPr>
          <w:rFonts w:ascii="Arial" w:eastAsia="Arial" w:hAnsi="Arial" w:cs="Arial"/>
          <w:i/>
          <w:iCs/>
          <w:sz w:val="18"/>
          <w:szCs w:val="18"/>
          <w:lang w:val="es-ES"/>
        </w:rPr>
        <w:t>materiali</w:t>
      </w:r>
      <w:proofErr w:type="spellEnd"/>
      <w:r w:rsidRPr="00B76FEA">
        <w:rPr>
          <w:rFonts w:ascii="Arial" w:eastAsia="Arial" w:hAnsi="Arial" w:cs="Arial"/>
          <w:i/>
          <w:iCs/>
          <w:sz w:val="18"/>
          <w:szCs w:val="18"/>
          <w:lang w:val="es-ES"/>
        </w:rPr>
        <w:t xml:space="preserve"> in </w:t>
      </w:r>
      <w:proofErr w:type="spellStart"/>
      <w:r w:rsidRPr="00B76FEA">
        <w:rPr>
          <w:rFonts w:ascii="Arial" w:eastAsia="Arial" w:hAnsi="Arial" w:cs="Arial"/>
          <w:i/>
          <w:iCs/>
          <w:sz w:val="18"/>
          <w:szCs w:val="18"/>
          <w:lang w:val="es-ES"/>
        </w:rPr>
        <w:t>relazione</w:t>
      </w:r>
      <w:proofErr w:type="spellEnd"/>
      <w:r w:rsidRPr="00B76FEA">
        <w:rPr>
          <w:rFonts w:ascii="Arial" w:eastAsia="Arial" w:hAnsi="Arial" w:cs="Arial"/>
          <w:i/>
          <w:iCs/>
          <w:sz w:val="18"/>
          <w:szCs w:val="18"/>
          <w:lang w:val="es-ES"/>
        </w:rPr>
        <w:t xml:space="preserve"> al </w:t>
      </w:r>
      <w:proofErr w:type="spellStart"/>
      <w:r w:rsidRPr="00B76FEA">
        <w:rPr>
          <w:rFonts w:ascii="Arial" w:eastAsia="Arial" w:hAnsi="Arial" w:cs="Arial"/>
          <w:i/>
          <w:iCs/>
          <w:sz w:val="18"/>
          <w:szCs w:val="18"/>
          <w:lang w:val="es-ES"/>
        </w:rPr>
        <w:t>rispetto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delle</w:t>
      </w:r>
      <w:proofErr w:type="spellEnd"/>
      <w:r w:rsidRPr="00B76FEA">
        <w:rPr>
          <w:rFonts w:ascii="Arial" w:eastAsia="Arial" w:hAnsi="Arial" w:cs="Arial"/>
          <w:i/>
          <w:iCs/>
          <w:sz w:val="18"/>
          <w:szCs w:val="18"/>
          <w:lang w:val="es-ES"/>
        </w:rPr>
        <w:t xml:space="preserve"> normative </w:t>
      </w:r>
      <w:proofErr w:type="spellStart"/>
      <w:r w:rsidRPr="00B76FEA">
        <w:rPr>
          <w:rFonts w:ascii="Arial" w:eastAsia="Arial" w:hAnsi="Arial" w:cs="Arial"/>
          <w:i/>
          <w:iCs/>
          <w:sz w:val="18"/>
          <w:szCs w:val="18"/>
          <w:lang w:val="es-ES"/>
        </w:rPr>
        <w:t>ambientali</w:t>
      </w:r>
      <w:proofErr w:type="spellEnd"/>
      <w:r w:rsidRPr="00B76FEA">
        <w:rPr>
          <w:rFonts w:ascii="Arial" w:eastAsia="Arial" w:hAnsi="Arial" w:cs="Arial"/>
          <w:i/>
          <w:iCs/>
          <w:sz w:val="18"/>
          <w:szCs w:val="18"/>
          <w:lang w:val="es-ES"/>
        </w:rPr>
        <w:t xml:space="preserve">, sanitarie e di </w:t>
      </w:r>
      <w:proofErr w:type="spellStart"/>
      <w:r w:rsidRPr="00B76FEA">
        <w:rPr>
          <w:rFonts w:ascii="Arial" w:eastAsia="Arial" w:hAnsi="Arial" w:cs="Arial"/>
          <w:i/>
          <w:iCs/>
          <w:sz w:val="18"/>
          <w:szCs w:val="18"/>
          <w:lang w:val="es-ES"/>
        </w:rPr>
        <w:t>sicurezza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l’elevato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livello</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concorrenza</w:t>
      </w:r>
      <w:proofErr w:type="spellEnd"/>
      <w:r w:rsidRPr="00B76FEA">
        <w:rPr>
          <w:rFonts w:ascii="Arial" w:eastAsia="Arial" w:hAnsi="Arial" w:cs="Arial"/>
          <w:i/>
          <w:iCs/>
          <w:sz w:val="18"/>
          <w:szCs w:val="18"/>
          <w:lang w:val="es-ES"/>
        </w:rPr>
        <w:t xml:space="preserve"> nel </w:t>
      </w:r>
      <w:proofErr w:type="spellStart"/>
      <w:r w:rsidRPr="00B76FEA">
        <w:rPr>
          <w:rFonts w:ascii="Arial" w:eastAsia="Arial" w:hAnsi="Arial" w:cs="Arial"/>
          <w:i/>
          <w:iCs/>
          <w:sz w:val="18"/>
          <w:szCs w:val="18"/>
          <w:lang w:val="es-ES"/>
        </w:rPr>
        <w:t>settore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automobilistico</w:t>
      </w:r>
      <w:proofErr w:type="spellEnd"/>
      <w:r w:rsidRPr="00B76FEA">
        <w:rPr>
          <w:rFonts w:ascii="Arial" w:eastAsia="Arial" w:hAnsi="Arial" w:cs="Arial"/>
          <w:i/>
          <w:iCs/>
          <w:sz w:val="18"/>
          <w:szCs w:val="18"/>
          <w:lang w:val="es-ES"/>
        </w:rPr>
        <w:t xml:space="preserve">, che </w:t>
      </w:r>
      <w:proofErr w:type="spellStart"/>
      <w:r w:rsidRPr="00B76FEA">
        <w:rPr>
          <w:rFonts w:ascii="Arial" w:eastAsia="Arial" w:hAnsi="Arial" w:cs="Arial"/>
          <w:i/>
          <w:iCs/>
          <w:sz w:val="18"/>
          <w:szCs w:val="18"/>
          <w:lang w:val="es-ES"/>
        </w:rPr>
        <w:t>potrebbe</w:t>
      </w:r>
      <w:proofErr w:type="spellEnd"/>
      <w:r w:rsidRPr="00B76FEA">
        <w:rPr>
          <w:rFonts w:ascii="Arial" w:eastAsia="Arial" w:hAnsi="Arial" w:cs="Arial"/>
          <w:i/>
          <w:iCs/>
          <w:sz w:val="18"/>
          <w:szCs w:val="18"/>
          <w:lang w:val="es-ES"/>
        </w:rPr>
        <w:t xml:space="preserve"> aumentare a causa del </w:t>
      </w:r>
      <w:proofErr w:type="spellStart"/>
      <w:r w:rsidRPr="00B76FEA">
        <w:rPr>
          <w:rFonts w:ascii="Arial" w:eastAsia="Arial" w:hAnsi="Arial" w:cs="Arial"/>
          <w:i/>
          <w:iCs/>
          <w:sz w:val="18"/>
          <w:szCs w:val="18"/>
          <w:lang w:val="es-ES"/>
        </w:rPr>
        <w:t>consolidamento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l’esposizione</w:t>
      </w:r>
      <w:proofErr w:type="spellEnd"/>
      <w:r w:rsidRPr="00B76FEA">
        <w:rPr>
          <w:rFonts w:ascii="Arial" w:eastAsia="Arial" w:hAnsi="Arial" w:cs="Arial"/>
          <w:i/>
          <w:iCs/>
          <w:sz w:val="18"/>
          <w:szCs w:val="18"/>
          <w:lang w:val="es-ES"/>
        </w:rPr>
        <w:t xml:space="preserve"> a </w:t>
      </w:r>
      <w:proofErr w:type="spellStart"/>
      <w:r w:rsidRPr="00B76FEA">
        <w:rPr>
          <w:rFonts w:ascii="Arial" w:eastAsia="Arial" w:hAnsi="Arial" w:cs="Arial"/>
          <w:i/>
          <w:iCs/>
          <w:sz w:val="18"/>
          <w:szCs w:val="18"/>
          <w:lang w:val="es-ES"/>
        </w:rPr>
        <w:t>carenze</w:t>
      </w:r>
      <w:proofErr w:type="spellEnd"/>
      <w:r w:rsidRPr="00B76FEA">
        <w:rPr>
          <w:rFonts w:ascii="Arial" w:eastAsia="Arial" w:hAnsi="Arial" w:cs="Arial"/>
          <w:i/>
          <w:iCs/>
          <w:sz w:val="18"/>
          <w:szCs w:val="18"/>
          <w:lang w:val="es-ES"/>
        </w:rPr>
        <w:t xml:space="preserve"> nel </w:t>
      </w:r>
      <w:proofErr w:type="spellStart"/>
      <w:r w:rsidRPr="00B76FEA">
        <w:rPr>
          <w:rFonts w:ascii="Arial" w:eastAsia="Arial" w:hAnsi="Arial" w:cs="Arial"/>
          <w:i/>
          <w:iCs/>
          <w:sz w:val="18"/>
          <w:szCs w:val="18"/>
          <w:lang w:val="es-ES"/>
        </w:rPr>
        <w:t>finanziamento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piani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pensionistici</w:t>
      </w:r>
      <w:proofErr w:type="spellEnd"/>
      <w:r w:rsidRPr="00B76FEA">
        <w:rPr>
          <w:rFonts w:ascii="Arial" w:eastAsia="Arial" w:hAnsi="Arial" w:cs="Arial"/>
          <w:i/>
          <w:iCs/>
          <w:sz w:val="18"/>
          <w:szCs w:val="18"/>
          <w:lang w:val="es-ES"/>
        </w:rPr>
        <w:t xml:space="preserve"> a </w:t>
      </w:r>
      <w:proofErr w:type="spellStart"/>
      <w:r w:rsidRPr="00B76FEA">
        <w:rPr>
          <w:rFonts w:ascii="Arial" w:eastAsia="Arial" w:hAnsi="Arial" w:cs="Arial"/>
          <w:i/>
          <w:iCs/>
          <w:sz w:val="18"/>
          <w:szCs w:val="18"/>
          <w:lang w:val="es-ES"/>
        </w:rPr>
        <w:t>benefici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definiti</w:t>
      </w:r>
      <w:proofErr w:type="spellEnd"/>
      <w:r w:rsidRPr="00B76FEA">
        <w:rPr>
          <w:rFonts w:ascii="Arial" w:eastAsia="Arial" w:hAnsi="Arial" w:cs="Arial"/>
          <w:i/>
          <w:iCs/>
          <w:sz w:val="18"/>
          <w:szCs w:val="18"/>
          <w:lang w:val="es-ES"/>
        </w:rPr>
        <w:t xml:space="preserve"> di Stellantis; la </w:t>
      </w:r>
      <w:proofErr w:type="spellStart"/>
      <w:r w:rsidRPr="00B76FEA">
        <w:rPr>
          <w:rFonts w:ascii="Arial" w:eastAsia="Arial" w:hAnsi="Arial" w:cs="Arial"/>
          <w:i/>
          <w:iCs/>
          <w:sz w:val="18"/>
          <w:szCs w:val="18"/>
          <w:lang w:val="es-ES"/>
        </w:rPr>
        <w:t>capacità</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fornire</w:t>
      </w:r>
      <w:proofErr w:type="spellEnd"/>
      <w:r w:rsidRPr="00B76FEA">
        <w:rPr>
          <w:rFonts w:ascii="Arial" w:eastAsia="Arial" w:hAnsi="Arial" w:cs="Arial"/>
          <w:i/>
          <w:iCs/>
          <w:sz w:val="18"/>
          <w:szCs w:val="18"/>
          <w:lang w:val="es-ES"/>
        </w:rPr>
        <w:t xml:space="preserve"> o </w:t>
      </w:r>
      <w:proofErr w:type="spellStart"/>
      <w:r w:rsidRPr="00B76FEA">
        <w:rPr>
          <w:rFonts w:ascii="Arial" w:eastAsia="Arial" w:hAnsi="Arial" w:cs="Arial"/>
          <w:i/>
          <w:iCs/>
          <w:sz w:val="18"/>
          <w:szCs w:val="18"/>
          <w:lang w:val="es-ES"/>
        </w:rPr>
        <w:t>organizzare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l’accesso</w:t>
      </w:r>
      <w:proofErr w:type="spellEnd"/>
      <w:r w:rsidRPr="00B76FEA">
        <w:rPr>
          <w:rFonts w:ascii="Arial" w:eastAsia="Arial" w:hAnsi="Arial" w:cs="Arial"/>
          <w:i/>
          <w:iCs/>
          <w:sz w:val="18"/>
          <w:szCs w:val="18"/>
          <w:lang w:val="es-ES"/>
        </w:rPr>
        <w:t xml:space="preserve"> a </w:t>
      </w:r>
      <w:proofErr w:type="spellStart"/>
      <w:r w:rsidRPr="00B76FEA">
        <w:rPr>
          <w:rFonts w:ascii="Arial" w:eastAsia="Arial" w:hAnsi="Arial" w:cs="Arial"/>
          <w:i/>
          <w:iCs/>
          <w:sz w:val="18"/>
          <w:szCs w:val="18"/>
          <w:lang w:val="es-ES"/>
        </w:rPr>
        <w:t>finanziamenti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adeguati</w:t>
      </w:r>
      <w:proofErr w:type="spellEnd"/>
      <w:r w:rsidRPr="00B76FEA">
        <w:rPr>
          <w:rFonts w:ascii="Arial" w:eastAsia="Arial" w:hAnsi="Arial" w:cs="Arial"/>
          <w:i/>
          <w:iCs/>
          <w:sz w:val="18"/>
          <w:szCs w:val="18"/>
          <w:lang w:val="es-ES"/>
        </w:rPr>
        <w:t xml:space="preserve"> per i </w:t>
      </w:r>
      <w:proofErr w:type="spellStart"/>
      <w:r w:rsidRPr="00B76FEA">
        <w:rPr>
          <w:rFonts w:ascii="Arial" w:eastAsia="Arial" w:hAnsi="Arial" w:cs="Arial"/>
          <w:i/>
          <w:iCs/>
          <w:sz w:val="18"/>
          <w:szCs w:val="18"/>
          <w:lang w:val="es-ES"/>
        </w:rPr>
        <w:t>concessionari</w:t>
      </w:r>
      <w:proofErr w:type="spellEnd"/>
      <w:r w:rsidRPr="00B76FEA">
        <w:rPr>
          <w:rFonts w:ascii="Arial" w:eastAsia="Arial" w:hAnsi="Arial" w:cs="Arial"/>
          <w:i/>
          <w:iCs/>
          <w:sz w:val="18"/>
          <w:szCs w:val="18"/>
          <w:lang w:val="es-ES"/>
        </w:rPr>
        <w:t xml:space="preserve"> e i </w:t>
      </w:r>
      <w:proofErr w:type="spellStart"/>
      <w:r w:rsidRPr="00B76FEA">
        <w:rPr>
          <w:rFonts w:ascii="Arial" w:eastAsia="Arial" w:hAnsi="Arial" w:cs="Arial"/>
          <w:i/>
          <w:iCs/>
          <w:sz w:val="18"/>
          <w:szCs w:val="18"/>
          <w:lang w:val="es-ES"/>
        </w:rPr>
        <w:t>clienti</w:t>
      </w:r>
      <w:proofErr w:type="spellEnd"/>
      <w:r w:rsidRPr="00B76FEA">
        <w:rPr>
          <w:rFonts w:ascii="Arial" w:eastAsia="Arial" w:hAnsi="Arial" w:cs="Arial"/>
          <w:i/>
          <w:iCs/>
          <w:sz w:val="18"/>
          <w:szCs w:val="18"/>
          <w:lang w:val="es-ES"/>
        </w:rPr>
        <w:t xml:space="preserve"> al </w:t>
      </w:r>
      <w:proofErr w:type="spellStart"/>
      <w:r w:rsidRPr="00B76FEA">
        <w:rPr>
          <w:rFonts w:ascii="Arial" w:eastAsia="Arial" w:hAnsi="Arial" w:cs="Arial"/>
          <w:i/>
          <w:iCs/>
          <w:sz w:val="18"/>
          <w:szCs w:val="18"/>
          <w:lang w:val="es-ES"/>
        </w:rPr>
        <w:t>dettaglio</w:t>
      </w:r>
      <w:proofErr w:type="spellEnd"/>
      <w:r w:rsidRPr="00B76FEA">
        <w:rPr>
          <w:rFonts w:ascii="Arial" w:eastAsia="Arial" w:hAnsi="Arial" w:cs="Arial"/>
          <w:i/>
          <w:iCs/>
          <w:sz w:val="18"/>
          <w:szCs w:val="18"/>
          <w:lang w:val="es-ES"/>
        </w:rPr>
        <w:t xml:space="preserve"> e i </w:t>
      </w:r>
      <w:proofErr w:type="spellStart"/>
      <w:r w:rsidRPr="00B76FEA">
        <w:rPr>
          <w:rFonts w:ascii="Arial" w:eastAsia="Arial" w:hAnsi="Arial" w:cs="Arial"/>
          <w:i/>
          <w:iCs/>
          <w:sz w:val="18"/>
          <w:szCs w:val="18"/>
          <w:lang w:val="es-ES"/>
        </w:rPr>
        <w:t>rischi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associati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alla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creazione</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alle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operazioni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società</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servizi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finanziari</w:t>
      </w:r>
      <w:proofErr w:type="spellEnd"/>
      <w:r w:rsidRPr="00B76FEA">
        <w:rPr>
          <w:rFonts w:ascii="Arial" w:eastAsia="Arial" w:hAnsi="Arial" w:cs="Arial"/>
          <w:i/>
          <w:iCs/>
          <w:sz w:val="18"/>
          <w:szCs w:val="18"/>
          <w:lang w:val="es-ES"/>
        </w:rPr>
        <w:t xml:space="preserve">; la </w:t>
      </w:r>
      <w:proofErr w:type="spellStart"/>
      <w:r w:rsidRPr="00B76FEA">
        <w:rPr>
          <w:rFonts w:ascii="Arial" w:eastAsia="Arial" w:hAnsi="Arial" w:cs="Arial"/>
          <w:i/>
          <w:iCs/>
          <w:sz w:val="18"/>
          <w:szCs w:val="18"/>
          <w:lang w:val="es-ES"/>
        </w:rPr>
        <w:t>capacità</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accedere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finanziamenti</w:t>
      </w:r>
      <w:proofErr w:type="spellEnd"/>
      <w:r w:rsidRPr="00B76FEA">
        <w:rPr>
          <w:rFonts w:ascii="Arial" w:eastAsia="Arial" w:hAnsi="Arial" w:cs="Arial"/>
          <w:i/>
          <w:iCs/>
          <w:sz w:val="18"/>
          <w:szCs w:val="18"/>
          <w:lang w:val="es-ES"/>
        </w:rPr>
        <w:t xml:space="preserve"> per </w:t>
      </w:r>
      <w:proofErr w:type="spellStart"/>
      <w:r w:rsidRPr="00B76FEA">
        <w:rPr>
          <w:rFonts w:ascii="Arial" w:eastAsia="Arial" w:hAnsi="Arial" w:cs="Arial"/>
          <w:i/>
          <w:iCs/>
          <w:sz w:val="18"/>
          <w:szCs w:val="18"/>
          <w:lang w:val="es-ES"/>
        </w:rPr>
        <w:t>attuare</w:t>
      </w:r>
      <w:proofErr w:type="spellEnd"/>
      <w:r w:rsidRPr="00B76FEA">
        <w:rPr>
          <w:rFonts w:ascii="Arial" w:eastAsia="Arial" w:hAnsi="Arial" w:cs="Arial"/>
          <w:i/>
          <w:iCs/>
          <w:sz w:val="18"/>
          <w:szCs w:val="18"/>
          <w:lang w:val="es-ES"/>
        </w:rPr>
        <w:t xml:space="preserve"> i </w:t>
      </w:r>
      <w:proofErr w:type="spellStart"/>
      <w:r w:rsidRPr="00B76FEA">
        <w:rPr>
          <w:rFonts w:ascii="Arial" w:eastAsia="Arial" w:hAnsi="Arial" w:cs="Arial"/>
          <w:i/>
          <w:iCs/>
          <w:sz w:val="18"/>
          <w:szCs w:val="18"/>
          <w:lang w:val="es-ES"/>
        </w:rPr>
        <w:t>piani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aziendali</w:t>
      </w:r>
      <w:proofErr w:type="spellEnd"/>
      <w:r w:rsidRPr="00B76FEA">
        <w:rPr>
          <w:rFonts w:ascii="Arial" w:eastAsia="Arial" w:hAnsi="Arial" w:cs="Arial"/>
          <w:i/>
          <w:iCs/>
          <w:sz w:val="18"/>
          <w:szCs w:val="18"/>
          <w:lang w:val="es-ES"/>
        </w:rPr>
        <w:t xml:space="preserve"> di Stellantis e </w:t>
      </w:r>
      <w:proofErr w:type="spellStart"/>
      <w:r w:rsidRPr="00B76FEA">
        <w:rPr>
          <w:rFonts w:ascii="Arial" w:eastAsia="Arial" w:hAnsi="Arial" w:cs="Arial"/>
          <w:i/>
          <w:iCs/>
          <w:sz w:val="18"/>
          <w:szCs w:val="18"/>
          <w:lang w:val="es-ES"/>
        </w:rPr>
        <w:t>migliorare</w:t>
      </w:r>
      <w:proofErr w:type="spellEnd"/>
      <w:r w:rsidRPr="00B76FEA">
        <w:rPr>
          <w:rFonts w:ascii="Arial" w:eastAsia="Arial" w:hAnsi="Arial" w:cs="Arial"/>
          <w:i/>
          <w:iCs/>
          <w:sz w:val="18"/>
          <w:szCs w:val="18"/>
          <w:lang w:val="es-ES"/>
        </w:rPr>
        <w:t xml:space="preserve"> le </w:t>
      </w:r>
      <w:proofErr w:type="spellStart"/>
      <w:r w:rsidRPr="00B76FEA">
        <w:rPr>
          <w:rFonts w:ascii="Arial" w:eastAsia="Arial" w:hAnsi="Arial" w:cs="Arial"/>
          <w:i/>
          <w:iCs/>
          <w:sz w:val="18"/>
          <w:szCs w:val="18"/>
          <w:lang w:val="es-ES"/>
        </w:rPr>
        <w:t>sue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attività</w:t>
      </w:r>
      <w:proofErr w:type="spellEnd"/>
      <w:r w:rsidRPr="00B76FEA">
        <w:rPr>
          <w:rFonts w:ascii="Arial" w:eastAsia="Arial" w:hAnsi="Arial" w:cs="Arial"/>
          <w:i/>
          <w:iCs/>
          <w:sz w:val="18"/>
          <w:szCs w:val="18"/>
          <w:lang w:val="es-ES"/>
        </w:rPr>
        <w:t xml:space="preserve">, le </w:t>
      </w:r>
      <w:proofErr w:type="spellStart"/>
      <w:r w:rsidRPr="00B76FEA">
        <w:rPr>
          <w:rFonts w:ascii="Arial" w:eastAsia="Arial" w:hAnsi="Arial" w:cs="Arial"/>
          <w:i/>
          <w:iCs/>
          <w:sz w:val="18"/>
          <w:szCs w:val="18"/>
          <w:lang w:val="es-ES"/>
        </w:rPr>
        <w:t>condizioni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finanziarie</w:t>
      </w:r>
      <w:proofErr w:type="spellEnd"/>
      <w:r w:rsidRPr="00B76FEA">
        <w:rPr>
          <w:rFonts w:ascii="Arial" w:eastAsia="Arial" w:hAnsi="Arial" w:cs="Arial"/>
          <w:i/>
          <w:iCs/>
          <w:sz w:val="18"/>
          <w:szCs w:val="18"/>
          <w:lang w:val="es-ES"/>
        </w:rPr>
        <w:t xml:space="preserve"> e i </w:t>
      </w:r>
      <w:proofErr w:type="spellStart"/>
      <w:r w:rsidRPr="00B76FEA">
        <w:rPr>
          <w:rFonts w:ascii="Arial" w:eastAsia="Arial" w:hAnsi="Arial" w:cs="Arial"/>
          <w:i/>
          <w:iCs/>
          <w:sz w:val="18"/>
          <w:szCs w:val="18"/>
          <w:lang w:val="es-ES"/>
        </w:rPr>
        <w:t>risultati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operazioni</w:t>
      </w:r>
      <w:proofErr w:type="spellEnd"/>
      <w:r w:rsidRPr="00B76FEA">
        <w:rPr>
          <w:rFonts w:ascii="Arial" w:eastAsia="Arial" w:hAnsi="Arial" w:cs="Arial"/>
          <w:i/>
          <w:iCs/>
          <w:sz w:val="18"/>
          <w:szCs w:val="18"/>
          <w:lang w:val="es-ES"/>
        </w:rPr>
        <w:t xml:space="preserve">; un </w:t>
      </w:r>
      <w:proofErr w:type="spellStart"/>
      <w:r w:rsidRPr="00B76FEA">
        <w:rPr>
          <w:rFonts w:ascii="Arial" w:eastAsia="Arial" w:hAnsi="Arial" w:cs="Arial"/>
          <w:i/>
          <w:iCs/>
          <w:sz w:val="18"/>
          <w:szCs w:val="18"/>
          <w:lang w:val="es-ES"/>
        </w:rPr>
        <w:t>malfunzionamento</w:t>
      </w:r>
      <w:proofErr w:type="spellEnd"/>
      <w:r w:rsidRPr="00B76FEA">
        <w:rPr>
          <w:rFonts w:ascii="Arial" w:eastAsia="Arial" w:hAnsi="Arial" w:cs="Arial"/>
          <w:i/>
          <w:iCs/>
          <w:sz w:val="18"/>
          <w:szCs w:val="18"/>
          <w:lang w:val="es-ES"/>
        </w:rPr>
        <w:t xml:space="preserve"> significativo, </w:t>
      </w:r>
      <w:proofErr w:type="spellStart"/>
      <w:r w:rsidRPr="00B76FEA">
        <w:rPr>
          <w:rFonts w:ascii="Arial" w:eastAsia="Arial" w:hAnsi="Arial" w:cs="Arial"/>
          <w:i/>
          <w:iCs/>
          <w:sz w:val="18"/>
          <w:szCs w:val="18"/>
          <w:lang w:val="es-ES"/>
        </w:rPr>
        <w:t>un’interruzione</w:t>
      </w:r>
      <w:proofErr w:type="spellEnd"/>
      <w:r w:rsidRPr="00B76FEA">
        <w:rPr>
          <w:rFonts w:ascii="Arial" w:eastAsia="Arial" w:hAnsi="Arial" w:cs="Arial"/>
          <w:i/>
          <w:iCs/>
          <w:sz w:val="18"/>
          <w:szCs w:val="18"/>
          <w:lang w:val="es-ES"/>
        </w:rPr>
        <w:t xml:space="preserve"> o una </w:t>
      </w:r>
      <w:proofErr w:type="spellStart"/>
      <w:r w:rsidRPr="00B76FEA">
        <w:rPr>
          <w:rFonts w:ascii="Arial" w:eastAsia="Arial" w:hAnsi="Arial" w:cs="Arial"/>
          <w:i/>
          <w:iCs/>
          <w:sz w:val="18"/>
          <w:szCs w:val="18"/>
          <w:lang w:val="es-ES"/>
        </w:rPr>
        <w:t>violazione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sicurezza</w:t>
      </w:r>
      <w:proofErr w:type="spellEnd"/>
      <w:r w:rsidRPr="00B76FEA">
        <w:rPr>
          <w:rFonts w:ascii="Arial" w:eastAsia="Arial" w:hAnsi="Arial" w:cs="Arial"/>
          <w:i/>
          <w:iCs/>
          <w:sz w:val="18"/>
          <w:szCs w:val="18"/>
          <w:lang w:val="es-ES"/>
        </w:rPr>
        <w:t xml:space="preserve"> che </w:t>
      </w:r>
      <w:proofErr w:type="spellStart"/>
      <w:r w:rsidRPr="00B76FEA">
        <w:rPr>
          <w:rFonts w:ascii="Arial" w:eastAsia="Arial" w:hAnsi="Arial" w:cs="Arial"/>
          <w:i/>
          <w:iCs/>
          <w:sz w:val="18"/>
          <w:szCs w:val="18"/>
          <w:lang w:val="es-ES"/>
        </w:rPr>
        <w:t>comprometta</w:t>
      </w:r>
      <w:proofErr w:type="spellEnd"/>
      <w:r w:rsidRPr="00B76FEA">
        <w:rPr>
          <w:rFonts w:ascii="Arial" w:eastAsia="Arial" w:hAnsi="Arial" w:cs="Arial"/>
          <w:i/>
          <w:iCs/>
          <w:sz w:val="18"/>
          <w:szCs w:val="18"/>
          <w:lang w:val="es-ES"/>
        </w:rPr>
        <w:t xml:space="preserve"> i </w:t>
      </w:r>
      <w:proofErr w:type="spellStart"/>
      <w:r w:rsidRPr="00B76FEA">
        <w:rPr>
          <w:rFonts w:ascii="Arial" w:eastAsia="Arial" w:hAnsi="Arial" w:cs="Arial"/>
          <w:i/>
          <w:iCs/>
          <w:sz w:val="18"/>
          <w:szCs w:val="18"/>
          <w:lang w:val="es-ES"/>
        </w:rPr>
        <w:t>sistemi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informatici</w:t>
      </w:r>
      <w:proofErr w:type="spellEnd"/>
      <w:r w:rsidRPr="00B76FEA">
        <w:rPr>
          <w:rFonts w:ascii="Arial" w:eastAsia="Arial" w:hAnsi="Arial" w:cs="Arial"/>
          <w:i/>
          <w:iCs/>
          <w:sz w:val="18"/>
          <w:szCs w:val="18"/>
          <w:lang w:val="es-ES"/>
        </w:rPr>
        <w:t xml:space="preserve"> o i </w:t>
      </w:r>
      <w:proofErr w:type="spellStart"/>
      <w:r w:rsidRPr="00B76FEA">
        <w:rPr>
          <w:rFonts w:ascii="Arial" w:eastAsia="Arial" w:hAnsi="Arial" w:cs="Arial"/>
          <w:i/>
          <w:iCs/>
          <w:sz w:val="18"/>
          <w:szCs w:val="18"/>
          <w:lang w:val="es-ES"/>
        </w:rPr>
        <w:t>sistemi</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controllo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elettronici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contenuti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veicoli</w:t>
      </w:r>
      <w:proofErr w:type="spellEnd"/>
      <w:r w:rsidRPr="00B76FEA">
        <w:rPr>
          <w:rFonts w:ascii="Arial" w:eastAsia="Arial" w:hAnsi="Arial" w:cs="Arial"/>
          <w:i/>
          <w:iCs/>
          <w:sz w:val="18"/>
          <w:szCs w:val="18"/>
          <w:lang w:val="es-ES"/>
        </w:rPr>
        <w:t xml:space="preserve"> di Stellantis; la </w:t>
      </w:r>
      <w:proofErr w:type="spellStart"/>
      <w:r w:rsidRPr="00B76FEA">
        <w:rPr>
          <w:rFonts w:ascii="Arial" w:eastAsia="Arial" w:hAnsi="Arial" w:cs="Arial"/>
          <w:i/>
          <w:iCs/>
          <w:sz w:val="18"/>
          <w:szCs w:val="18"/>
          <w:lang w:val="es-ES"/>
        </w:rPr>
        <w:t>capacità</w:t>
      </w:r>
      <w:proofErr w:type="spellEnd"/>
      <w:r w:rsidRPr="00B76FEA">
        <w:rPr>
          <w:rFonts w:ascii="Arial" w:eastAsia="Arial" w:hAnsi="Arial" w:cs="Arial"/>
          <w:i/>
          <w:iCs/>
          <w:sz w:val="18"/>
          <w:szCs w:val="18"/>
          <w:lang w:val="es-ES"/>
        </w:rPr>
        <w:t xml:space="preserve"> di Stellantis di </w:t>
      </w:r>
      <w:proofErr w:type="spellStart"/>
      <w:r w:rsidRPr="00B76FEA">
        <w:rPr>
          <w:rFonts w:ascii="Arial" w:eastAsia="Arial" w:hAnsi="Arial" w:cs="Arial"/>
          <w:i/>
          <w:iCs/>
          <w:sz w:val="18"/>
          <w:szCs w:val="18"/>
          <w:lang w:val="es-ES"/>
        </w:rPr>
        <w:t>realizzare</w:t>
      </w:r>
      <w:proofErr w:type="spellEnd"/>
      <w:r w:rsidRPr="00B76FEA">
        <w:rPr>
          <w:rFonts w:ascii="Arial" w:eastAsia="Arial" w:hAnsi="Arial" w:cs="Arial"/>
          <w:i/>
          <w:iCs/>
          <w:sz w:val="18"/>
          <w:szCs w:val="18"/>
          <w:lang w:val="es-ES"/>
        </w:rPr>
        <w:t xml:space="preserve"> i </w:t>
      </w:r>
      <w:proofErr w:type="spellStart"/>
      <w:r w:rsidRPr="00B76FEA">
        <w:rPr>
          <w:rFonts w:ascii="Arial" w:eastAsia="Arial" w:hAnsi="Arial" w:cs="Arial"/>
          <w:i/>
          <w:iCs/>
          <w:sz w:val="18"/>
          <w:szCs w:val="18"/>
          <w:lang w:val="es-ES"/>
        </w:rPr>
        <w:t>benefici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previsti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dagli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accordi</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joint</w:t>
      </w:r>
      <w:proofErr w:type="spellEnd"/>
      <w:r w:rsidRPr="00B76FEA">
        <w:rPr>
          <w:rFonts w:ascii="Arial" w:eastAsia="Arial" w:hAnsi="Arial" w:cs="Arial"/>
          <w:i/>
          <w:iCs/>
          <w:sz w:val="18"/>
          <w:szCs w:val="18"/>
          <w:lang w:val="es-ES"/>
        </w:rPr>
        <w:t xml:space="preserve"> venture; </w:t>
      </w:r>
      <w:proofErr w:type="spellStart"/>
      <w:r w:rsidRPr="00B76FEA">
        <w:rPr>
          <w:rFonts w:ascii="Arial" w:eastAsia="Arial" w:hAnsi="Arial" w:cs="Arial"/>
          <w:i/>
          <w:iCs/>
          <w:sz w:val="18"/>
          <w:szCs w:val="18"/>
          <w:lang w:val="es-ES"/>
        </w:rPr>
        <w:t>interruzioni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derivanti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dall’instabilità</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politica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sociale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ed</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economica</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rischi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associati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rapporti</w:t>
      </w:r>
      <w:proofErr w:type="spellEnd"/>
      <w:r w:rsidRPr="00B76FEA">
        <w:rPr>
          <w:rFonts w:ascii="Arial" w:eastAsia="Arial" w:hAnsi="Arial" w:cs="Arial"/>
          <w:i/>
          <w:iCs/>
          <w:sz w:val="18"/>
          <w:szCs w:val="18"/>
          <w:lang w:val="es-ES"/>
        </w:rPr>
        <w:t xml:space="preserve"> con </w:t>
      </w:r>
      <w:proofErr w:type="spellStart"/>
      <w:r w:rsidRPr="00B76FEA">
        <w:rPr>
          <w:rFonts w:ascii="Arial" w:eastAsia="Arial" w:hAnsi="Arial" w:cs="Arial"/>
          <w:i/>
          <w:iCs/>
          <w:sz w:val="18"/>
          <w:szCs w:val="18"/>
          <w:lang w:val="es-ES"/>
        </w:rPr>
        <w:t>dipendenti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concessionari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fornitori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aumenti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costi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interruzioni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forniture</w:t>
      </w:r>
      <w:proofErr w:type="spellEnd"/>
      <w:r w:rsidRPr="00B76FEA">
        <w:rPr>
          <w:rFonts w:ascii="Arial" w:eastAsia="Arial" w:hAnsi="Arial" w:cs="Arial"/>
          <w:i/>
          <w:iCs/>
          <w:sz w:val="18"/>
          <w:szCs w:val="18"/>
          <w:lang w:val="es-ES"/>
        </w:rPr>
        <w:t xml:space="preserve"> o </w:t>
      </w:r>
      <w:proofErr w:type="spellStart"/>
      <w:r w:rsidRPr="00B76FEA">
        <w:rPr>
          <w:rFonts w:ascii="Arial" w:eastAsia="Arial" w:hAnsi="Arial" w:cs="Arial"/>
          <w:i/>
          <w:iCs/>
          <w:sz w:val="18"/>
          <w:szCs w:val="18"/>
          <w:lang w:val="es-ES"/>
        </w:rPr>
        <w:t>carenze</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materie</w:t>
      </w:r>
      <w:proofErr w:type="spellEnd"/>
      <w:r w:rsidRPr="00B76FEA">
        <w:rPr>
          <w:rFonts w:ascii="Arial" w:eastAsia="Arial" w:hAnsi="Arial" w:cs="Arial"/>
          <w:i/>
          <w:iCs/>
          <w:sz w:val="18"/>
          <w:szCs w:val="18"/>
          <w:lang w:val="es-ES"/>
        </w:rPr>
        <w:t xml:space="preserve"> prime, </w:t>
      </w:r>
      <w:proofErr w:type="spellStart"/>
      <w:r w:rsidRPr="00B76FEA">
        <w:rPr>
          <w:rFonts w:ascii="Arial" w:eastAsia="Arial" w:hAnsi="Arial" w:cs="Arial"/>
          <w:i/>
          <w:iCs/>
          <w:sz w:val="18"/>
          <w:szCs w:val="18"/>
          <w:lang w:val="es-ES"/>
        </w:rPr>
        <w:t>parti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componenti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sistemi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utilizzati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veicoli</w:t>
      </w:r>
      <w:proofErr w:type="spellEnd"/>
      <w:r w:rsidRPr="00B76FEA">
        <w:rPr>
          <w:rFonts w:ascii="Arial" w:eastAsia="Arial" w:hAnsi="Arial" w:cs="Arial"/>
          <w:i/>
          <w:iCs/>
          <w:sz w:val="18"/>
          <w:szCs w:val="18"/>
          <w:lang w:val="es-ES"/>
        </w:rPr>
        <w:t xml:space="preserve"> di Stellantis; </w:t>
      </w:r>
      <w:proofErr w:type="spellStart"/>
      <w:r w:rsidRPr="00B76FEA">
        <w:rPr>
          <w:rFonts w:ascii="Arial" w:eastAsia="Arial" w:hAnsi="Arial" w:cs="Arial"/>
          <w:i/>
          <w:iCs/>
          <w:sz w:val="18"/>
          <w:szCs w:val="18"/>
          <w:lang w:val="es-ES"/>
        </w:rPr>
        <w:t>sviluppi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rapporti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industriali</w:t>
      </w:r>
      <w:proofErr w:type="spellEnd"/>
      <w:r w:rsidRPr="00B76FEA">
        <w:rPr>
          <w:rFonts w:ascii="Arial" w:eastAsia="Arial" w:hAnsi="Arial" w:cs="Arial"/>
          <w:i/>
          <w:iCs/>
          <w:sz w:val="18"/>
          <w:szCs w:val="18"/>
          <w:lang w:val="es-ES"/>
        </w:rPr>
        <w:t xml:space="preserve"> e di </w:t>
      </w:r>
      <w:proofErr w:type="spellStart"/>
      <w:r w:rsidRPr="00B76FEA">
        <w:rPr>
          <w:rFonts w:ascii="Arial" w:eastAsia="Arial" w:hAnsi="Arial" w:cs="Arial"/>
          <w:i/>
          <w:iCs/>
          <w:sz w:val="18"/>
          <w:szCs w:val="18"/>
          <w:lang w:val="es-ES"/>
        </w:rPr>
        <w:t>lavoro</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sviluppi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leggi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vigenti</w:t>
      </w:r>
      <w:proofErr w:type="spellEnd"/>
      <w:r w:rsidRPr="00B76FEA">
        <w:rPr>
          <w:rFonts w:ascii="Arial" w:eastAsia="Arial" w:hAnsi="Arial" w:cs="Arial"/>
          <w:i/>
          <w:iCs/>
          <w:sz w:val="18"/>
          <w:szCs w:val="18"/>
          <w:lang w:val="es-ES"/>
        </w:rPr>
        <w:t xml:space="preserve"> in materia di </w:t>
      </w:r>
      <w:proofErr w:type="spellStart"/>
      <w:r w:rsidRPr="00B76FEA">
        <w:rPr>
          <w:rFonts w:ascii="Arial" w:eastAsia="Arial" w:hAnsi="Arial" w:cs="Arial"/>
          <w:i/>
          <w:iCs/>
          <w:sz w:val="18"/>
          <w:szCs w:val="18"/>
          <w:lang w:val="es-ES"/>
        </w:rPr>
        <w:t>lavoro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fluttuazioni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tassi</w:t>
      </w:r>
      <w:proofErr w:type="spellEnd"/>
      <w:r w:rsidRPr="00B76FEA">
        <w:rPr>
          <w:rFonts w:ascii="Arial" w:eastAsia="Arial" w:hAnsi="Arial" w:cs="Arial"/>
          <w:i/>
          <w:iCs/>
          <w:sz w:val="18"/>
          <w:szCs w:val="18"/>
          <w:lang w:val="es-ES"/>
        </w:rPr>
        <w:t xml:space="preserve"> di cambio, </w:t>
      </w:r>
      <w:proofErr w:type="spellStart"/>
      <w:r w:rsidRPr="00B76FEA">
        <w:rPr>
          <w:rFonts w:ascii="Arial" w:eastAsia="Arial" w:hAnsi="Arial" w:cs="Arial"/>
          <w:i/>
          <w:iCs/>
          <w:sz w:val="18"/>
          <w:szCs w:val="18"/>
          <w:lang w:val="es-ES"/>
        </w:rPr>
        <w:t>variazioni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tassi</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interesse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rischio</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credito</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altri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rischi</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mercato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disordini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politici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civili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terremoti</w:t>
      </w:r>
      <w:proofErr w:type="spellEnd"/>
      <w:r w:rsidRPr="00B76FEA">
        <w:rPr>
          <w:rFonts w:ascii="Arial" w:eastAsia="Arial" w:hAnsi="Arial" w:cs="Arial"/>
          <w:i/>
          <w:iCs/>
          <w:sz w:val="18"/>
          <w:szCs w:val="18"/>
          <w:lang w:val="es-ES"/>
        </w:rPr>
        <w:t xml:space="preserve"> o </w:t>
      </w:r>
      <w:proofErr w:type="spellStart"/>
      <w:r w:rsidRPr="00B76FEA">
        <w:rPr>
          <w:rFonts w:ascii="Arial" w:eastAsia="Arial" w:hAnsi="Arial" w:cs="Arial"/>
          <w:i/>
          <w:iCs/>
          <w:sz w:val="18"/>
          <w:szCs w:val="18"/>
          <w:lang w:val="es-ES"/>
        </w:rPr>
        <w:t>altri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disastri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altri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rischi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incertezze</w:t>
      </w:r>
      <w:proofErr w:type="spellEnd"/>
      <w:r w:rsidRPr="00B76FEA">
        <w:rPr>
          <w:rFonts w:ascii="Arial" w:eastAsia="Arial" w:hAnsi="Arial" w:cs="Arial"/>
          <w:i/>
          <w:iCs/>
          <w:sz w:val="18"/>
          <w:szCs w:val="18"/>
          <w:lang w:val="es-ES"/>
        </w:rPr>
        <w:t>.</w:t>
      </w:r>
    </w:p>
    <w:p w14:paraId="65AB75FA" w14:textId="77777777" w:rsidR="00B76FEA" w:rsidRPr="00B76FEA" w:rsidRDefault="00B76FEA" w:rsidP="00B76FEA">
      <w:pPr>
        <w:tabs>
          <w:tab w:val="left" w:pos="2592"/>
        </w:tabs>
        <w:spacing w:after="0" w:line="240" w:lineRule="auto"/>
        <w:rPr>
          <w:rFonts w:ascii="Arial" w:eastAsia="Arial" w:hAnsi="Arial" w:cs="Arial"/>
          <w:i/>
          <w:iCs/>
          <w:sz w:val="18"/>
          <w:szCs w:val="18"/>
          <w:lang w:val="es-ES"/>
        </w:rPr>
      </w:pPr>
    </w:p>
    <w:p w14:paraId="1995E94C" w14:textId="37708D64" w:rsidR="00876171" w:rsidRPr="00B76FEA" w:rsidRDefault="00B76FEA" w:rsidP="00B76FEA">
      <w:pPr>
        <w:tabs>
          <w:tab w:val="left" w:pos="2592"/>
        </w:tabs>
        <w:spacing w:after="0" w:line="240" w:lineRule="auto"/>
        <w:rPr>
          <w:rFonts w:ascii="Arial" w:eastAsia="Arial" w:hAnsi="Arial" w:cs="Arial"/>
          <w:i/>
          <w:iCs/>
          <w:sz w:val="18"/>
          <w:szCs w:val="18"/>
          <w:lang w:val="es-ES"/>
        </w:rPr>
      </w:pPr>
      <w:proofErr w:type="spellStart"/>
      <w:r w:rsidRPr="00B76FEA">
        <w:rPr>
          <w:rFonts w:ascii="Arial" w:eastAsia="Arial" w:hAnsi="Arial" w:cs="Arial"/>
          <w:i/>
          <w:iCs/>
          <w:sz w:val="18"/>
          <w:szCs w:val="18"/>
          <w:lang w:val="es-ES"/>
        </w:rPr>
        <w:t>Tutte</w:t>
      </w:r>
      <w:proofErr w:type="spellEnd"/>
      <w:r w:rsidRPr="00B76FEA">
        <w:rPr>
          <w:rFonts w:ascii="Arial" w:eastAsia="Arial" w:hAnsi="Arial" w:cs="Arial"/>
          <w:i/>
          <w:iCs/>
          <w:sz w:val="18"/>
          <w:szCs w:val="18"/>
          <w:lang w:val="es-ES"/>
        </w:rPr>
        <w:t xml:space="preserve"> le </w:t>
      </w:r>
      <w:proofErr w:type="spellStart"/>
      <w:r w:rsidRPr="00B76FEA">
        <w:rPr>
          <w:rFonts w:ascii="Arial" w:eastAsia="Arial" w:hAnsi="Arial" w:cs="Arial"/>
          <w:i/>
          <w:iCs/>
          <w:sz w:val="18"/>
          <w:szCs w:val="18"/>
          <w:lang w:val="es-ES"/>
        </w:rPr>
        <w:t>dichiarazioni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previsionali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riportate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nella</w:t>
      </w:r>
      <w:proofErr w:type="spellEnd"/>
      <w:r w:rsidRPr="00B76FEA">
        <w:rPr>
          <w:rFonts w:ascii="Arial" w:eastAsia="Arial" w:hAnsi="Arial" w:cs="Arial"/>
          <w:i/>
          <w:iCs/>
          <w:sz w:val="18"/>
          <w:szCs w:val="18"/>
          <w:lang w:val="es-ES"/>
        </w:rPr>
        <w:t xml:space="preserve"> presente </w:t>
      </w:r>
      <w:proofErr w:type="spellStart"/>
      <w:r w:rsidRPr="00B76FEA">
        <w:rPr>
          <w:rFonts w:ascii="Arial" w:eastAsia="Arial" w:hAnsi="Arial" w:cs="Arial"/>
          <w:i/>
          <w:iCs/>
          <w:sz w:val="18"/>
          <w:szCs w:val="18"/>
          <w:lang w:val="es-ES"/>
        </w:rPr>
        <w:t>comunicazione</w:t>
      </w:r>
      <w:proofErr w:type="spellEnd"/>
      <w:r w:rsidRPr="00B76FEA">
        <w:rPr>
          <w:rFonts w:ascii="Arial" w:eastAsia="Arial" w:hAnsi="Arial" w:cs="Arial"/>
          <w:i/>
          <w:iCs/>
          <w:sz w:val="18"/>
          <w:szCs w:val="18"/>
          <w:lang w:val="es-ES"/>
        </w:rPr>
        <w:t xml:space="preserve"> si </w:t>
      </w:r>
      <w:proofErr w:type="spellStart"/>
      <w:r w:rsidRPr="00B76FEA">
        <w:rPr>
          <w:rFonts w:ascii="Arial" w:eastAsia="Arial" w:hAnsi="Arial" w:cs="Arial"/>
          <w:i/>
          <w:iCs/>
          <w:sz w:val="18"/>
          <w:szCs w:val="18"/>
          <w:lang w:val="es-ES"/>
        </w:rPr>
        <w:t>riferiscono</w:t>
      </w:r>
      <w:proofErr w:type="spellEnd"/>
      <w:r w:rsidRPr="00B76FEA">
        <w:rPr>
          <w:rFonts w:ascii="Arial" w:eastAsia="Arial" w:hAnsi="Arial" w:cs="Arial"/>
          <w:i/>
          <w:iCs/>
          <w:sz w:val="18"/>
          <w:szCs w:val="18"/>
          <w:lang w:val="es-ES"/>
        </w:rPr>
        <w:t xml:space="preserve"> solo </w:t>
      </w:r>
      <w:proofErr w:type="spellStart"/>
      <w:r w:rsidRPr="00B76FEA">
        <w:rPr>
          <w:rFonts w:ascii="Arial" w:eastAsia="Arial" w:hAnsi="Arial" w:cs="Arial"/>
          <w:i/>
          <w:iCs/>
          <w:sz w:val="18"/>
          <w:szCs w:val="18"/>
          <w:lang w:val="es-ES"/>
        </w:rPr>
        <w:t>alla</w:t>
      </w:r>
      <w:proofErr w:type="spellEnd"/>
      <w:r w:rsidRPr="00B76FEA">
        <w:rPr>
          <w:rFonts w:ascii="Arial" w:eastAsia="Arial" w:hAnsi="Arial" w:cs="Arial"/>
          <w:i/>
          <w:iCs/>
          <w:sz w:val="18"/>
          <w:szCs w:val="18"/>
          <w:lang w:val="es-ES"/>
        </w:rPr>
        <w:t xml:space="preserve"> data di </w:t>
      </w:r>
      <w:proofErr w:type="spellStart"/>
      <w:r w:rsidRPr="00B76FEA">
        <w:rPr>
          <w:rFonts w:ascii="Arial" w:eastAsia="Arial" w:hAnsi="Arial" w:cs="Arial"/>
          <w:i/>
          <w:iCs/>
          <w:sz w:val="18"/>
          <w:szCs w:val="18"/>
          <w:lang w:val="es-ES"/>
        </w:rPr>
        <w:t>questo</w:t>
      </w:r>
      <w:proofErr w:type="spellEnd"/>
      <w:r w:rsidRPr="00B76FEA">
        <w:rPr>
          <w:rFonts w:ascii="Arial" w:eastAsia="Arial" w:hAnsi="Arial" w:cs="Arial"/>
          <w:i/>
          <w:iCs/>
          <w:sz w:val="18"/>
          <w:szCs w:val="18"/>
          <w:lang w:val="es-ES"/>
        </w:rPr>
        <w:t xml:space="preserve"> documento e Stellantis declina </w:t>
      </w:r>
      <w:proofErr w:type="spellStart"/>
      <w:r w:rsidRPr="00B76FEA">
        <w:rPr>
          <w:rFonts w:ascii="Arial" w:eastAsia="Arial" w:hAnsi="Arial" w:cs="Arial"/>
          <w:i/>
          <w:iCs/>
          <w:sz w:val="18"/>
          <w:szCs w:val="18"/>
          <w:lang w:val="es-ES"/>
        </w:rPr>
        <w:t>qualsiasi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obbligo</w:t>
      </w:r>
      <w:proofErr w:type="spellEnd"/>
      <w:r w:rsidRPr="00B76FEA">
        <w:rPr>
          <w:rFonts w:ascii="Arial" w:eastAsia="Arial" w:hAnsi="Arial" w:cs="Arial"/>
          <w:i/>
          <w:iCs/>
          <w:sz w:val="18"/>
          <w:szCs w:val="18"/>
          <w:lang w:val="es-ES"/>
        </w:rPr>
        <w:t xml:space="preserve"> di </w:t>
      </w:r>
      <w:proofErr w:type="spellStart"/>
      <w:r w:rsidRPr="00B76FEA">
        <w:rPr>
          <w:rFonts w:ascii="Arial" w:eastAsia="Arial" w:hAnsi="Arial" w:cs="Arial"/>
          <w:i/>
          <w:iCs/>
          <w:sz w:val="18"/>
          <w:szCs w:val="18"/>
          <w:lang w:val="es-ES"/>
        </w:rPr>
        <w:t>aggiornarle</w:t>
      </w:r>
      <w:proofErr w:type="spellEnd"/>
      <w:r w:rsidRPr="00B76FEA">
        <w:rPr>
          <w:rFonts w:ascii="Arial" w:eastAsia="Arial" w:hAnsi="Arial" w:cs="Arial"/>
          <w:i/>
          <w:iCs/>
          <w:sz w:val="18"/>
          <w:szCs w:val="18"/>
          <w:lang w:val="es-ES"/>
        </w:rPr>
        <w:t xml:space="preserve"> o </w:t>
      </w:r>
      <w:proofErr w:type="spellStart"/>
      <w:r w:rsidRPr="00B76FEA">
        <w:rPr>
          <w:rFonts w:ascii="Arial" w:eastAsia="Arial" w:hAnsi="Arial" w:cs="Arial"/>
          <w:i/>
          <w:iCs/>
          <w:sz w:val="18"/>
          <w:szCs w:val="18"/>
          <w:lang w:val="es-ES"/>
        </w:rPr>
        <w:t>rivederle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pubblicamente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Ulteriori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informazioni</w:t>
      </w:r>
      <w:proofErr w:type="spellEnd"/>
      <w:r w:rsidRPr="00B76FEA">
        <w:rPr>
          <w:rFonts w:ascii="Arial" w:eastAsia="Arial" w:hAnsi="Arial" w:cs="Arial"/>
          <w:i/>
          <w:iCs/>
          <w:sz w:val="18"/>
          <w:szCs w:val="18"/>
          <w:lang w:val="es-ES"/>
        </w:rPr>
        <w:t xml:space="preserve"> su Stellantis e le </w:t>
      </w:r>
      <w:proofErr w:type="spellStart"/>
      <w:r w:rsidRPr="00B76FEA">
        <w:rPr>
          <w:rFonts w:ascii="Arial" w:eastAsia="Arial" w:hAnsi="Arial" w:cs="Arial"/>
          <w:i/>
          <w:iCs/>
          <w:sz w:val="18"/>
          <w:szCs w:val="18"/>
          <w:lang w:val="es-ES"/>
        </w:rPr>
        <w:t>sue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attività</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inclusi</w:t>
      </w:r>
      <w:proofErr w:type="spellEnd"/>
      <w:r w:rsidRPr="00B76FEA">
        <w:rPr>
          <w:rFonts w:ascii="Arial" w:eastAsia="Arial" w:hAnsi="Arial" w:cs="Arial"/>
          <w:i/>
          <w:iCs/>
          <w:sz w:val="18"/>
          <w:szCs w:val="18"/>
          <w:lang w:val="es-ES"/>
        </w:rPr>
        <w:t xml:space="preserve"> i </w:t>
      </w:r>
      <w:proofErr w:type="spellStart"/>
      <w:r w:rsidRPr="00B76FEA">
        <w:rPr>
          <w:rFonts w:ascii="Arial" w:eastAsia="Arial" w:hAnsi="Arial" w:cs="Arial"/>
          <w:i/>
          <w:iCs/>
          <w:sz w:val="18"/>
          <w:szCs w:val="18"/>
          <w:lang w:val="es-ES"/>
        </w:rPr>
        <w:t>fattori</w:t>
      </w:r>
      <w:proofErr w:type="spellEnd"/>
      <w:r w:rsidRPr="00B76FEA">
        <w:rPr>
          <w:rFonts w:ascii="Arial" w:eastAsia="Arial" w:hAnsi="Arial" w:cs="Arial"/>
          <w:i/>
          <w:iCs/>
          <w:sz w:val="18"/>
          <w:szCs w:val="18"/>
          <w:lang w:val="es-ES"/>
        </w:rPr>
        <w:t xml:space="preserve"> che </w:t>
      </w:r>
      <w:proofErr w:type="spellStart"/>
      <w:r w:rsidRPr="00B76FEA">
        <w:rPr>
          <w:rFonts w:ascii="Arial" w:eastAsia="Arial" w:hAnsi="Arial" w:cs="Arial"/>
          <w:i/>
          <w:iCs/>
          <w:sz w:val="18"/>
          <w:szCs w:val="18"/>
          <w:lang w:val="es-ES"/>
        </w:rPr>
        <w:t>potrebbero</w:t>
      </w:r>
      <w:proofErr w:type="spellEnd"/>
      <w:r w:rsidRPr="00B76FEA">
        <w:rPr>
          <w:rFonts w:ascii="Arial" w:eastAsia="Arial" w:hAnsi="Arial" w:cs="Arial"/>
          <w:i/>
          <w:iCs/>
          <w:sz w:val="18"/>
          <w:szCs w:val="18"/>
          <w:lang w:val="es-ES"/>
        </w:rPr>
        <w:t xml:space="preserve"> materialmente </w:t>
      </w:r>
      <w:proofErr w:type="spellStart"/>
      <w:r w:rsidRPr="00B76FEA">
        <w:rPr>
          <w:rFonts w:ascii="Arial" w:eastAsia="Arial" w:hAnsi="Arial" w:cs="Arial"/>
          <w:i/>
          <w:iCs/>
          <w:sz w:val="18"/>
          <w:szCs w:val="18"/>
          <w:lang w:val="es-ES"/>
        </w:rPr>
        <w:t>influenzare</w:t>
      </w:r>
      <w:proofErr w:type="spellEnd"/>
      <w:r w:rsidRPr="00B76FEA">
        <w:rPr>
          <w:rFonts w:ascii="Arial" w:eastAsia="Arial" w:hAnsi="Arial" w:cs="Arial"/>
          <w:i/>
          <w:iCs/>
          <w:sz w:val="18"/>
          <w:szCs w:val="18"/>
          <w:lang w:val="es-ES"/>
        </w:rPr>
        <w:t xml:space="preserve"> i </w:t>
      </w:r>
      <w:proofErr w:type="spellStart"/>
      <w:r w:rsidRPr="00B76FEA">
        <w:rPr>
          <w:rFonts w:ascii="Arial" w:eastAsia="Arial" w:hAnsi="Arial" w:cs="Arial"/>
          <w:i/>
          <w:iCs/>
          <w:sz w:val="18"/>
          <w:szCs w:val="18"/>
          <w:lang w:val="es-ES"/>
        </w:rPr>
        <w:t>risultati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finanziari</w:t>
      </w:r>
      <w:proofErr w:type="spellEnd"/>
      <w:r w:rsidRPr="00B76FEA">
        <w:rPr>
          <w:rFonts w:ascii="Arial" w:eastAsia="Arial" w:hAnsi="Arial" w:cs="Arial"/>
          <w:i/>
          <w:iCs/>
          <w:sz w:val="18"/>
          <w:szCs w:val="18"/>
          <w:lang w:val="es-ES"/>
        </w:rPr>
        <w:t xml:space="preserve"> di Stellantis, </w:t>
      </w:r>
      <w:proofErr w:type="spellStart"/>
      <w:r w:rsidRPr="00B76FEA">
        <w:rPr>
          <w:rFonts w:ascii="Arial" w:eastAsia="Arial" w:hAnsi="Arial" w:cs="Arial"/>
          <w:i/>
          <w:iCs/>
          <w:sz w:val="18"/>
          <w:szCs w:val="18"/>
          <w:lang w:val="es-ES"/>
        </w:rPr>
        <w:t>sono</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contenute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nelle</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relazioni</w:t>
      </w:r>
      <w:proofErr w:type="spellEnd"/>
      <w:r w:rsidRPr="00B76FEA">
        <w:rPr>
          <w:rFonts w:ascii="Arial" w:eastAsia="Arial" w:hAnsi="Arial" w:cs="Arial"/>
          <w:i/>
          <w:iCs/>
          <w:sz w:val="18"/>
          <w:szCs w:val="18"/>
          <w:lang w:val="es-ES"/>
        </w:rPr>
        <w:t xml:space="preserve"> e </w:t>
      </w:r>
      <w:proofErr w:type="spellStart"/>
      <w:r w:rsidRPr="00B76FEA">
        <w:rPr>
          <w:rFonts w:ascii="Arial" w:eastAsia="Arial" w:hAnsi="Arial" w:cs="Arial"/>
          <w:i/>
          <w:iCs/>
          <w:sz w:val="18"/>
          <w:szCs w:val="18"/>
          <w:lang w:val="es-ES"/>
        </w:rPr>
        <w:t>nei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documenti</w:t>
      </w:r>
      <w:proofErr w:type="spellEnd"/>
      <w:r w:rsidRPr="00B76FEA">
        <w:rPr>
          <w:rFonts w:ascii="Arial" w:eastAsia="Arial" w:hAnsi="Arial" w:cs="Arial"/>
          <w:i/>
          <w:iCs/>
          <w:sz w:val="18"/>
          <w:szCs w:val="18"/>
          <w:lang w:val="es-ES"/>
        </w:rPr>
        <w:t xml:space="preserve"> di Stellantis </w:t>
      </w:r>
      <w:proofErr w:type="spellStart"/>
      <w:r w:rsidRPr="00B76FEA">
        <w:rPr>
          <w:rFonts w:ascii="Arial" w:eastAsia="Arial" w:hAnsi="Arial" w:cs="Arial"/>
          <w:i/>
          <w:iCs/>
          <w:sz w:val="18"/>
          <w:szCs w:val="18"/>
          <w:lang w:val="es-ES"/>
        </w:rPr>
        <w:t>depositati</w:t>
      </w:r>
      <w:proofErr w:type="spellEnd"/>
      <w:r w:rsidRPr="00B76FEA">
        <w:rPr>
          <w:rFonts w:ascii="Arial" w:eastAsia="Arial" w:hAnsi="Arial" w:cs="Arial"/>
          <w:i/>
          <w:iCs/>
          <w:sz w:val="18"/>
          <w:szCs w:val="18"/>
          <w:lang w:val="es-ES"/>
        </w:rPr>
        <w:t xml:space="preserve"> </w:t>
      </w:r>
      <w:proofErr w:type="spellStart"/>
      <w:r w:rsidRPr="00B76FEA">
        <w:rPr>
          <w:rFonts w:ascii="Arial" w:eastAsia="Arial" w:hAnsi="Arial" w:cs="Arial"/>
          <w:i/>
          <w:iCs/>
          <w:sz w:val="18"/>
          <w:szCs w:val="18"/>
          <w:lang w:val="es-ES"/>
        </w:rPr>
        <w:t>presso</w:t>
      </w:r>
      <w:proofErr w:type="spellEnd"/>
      <w:r w:rsidRPr="00B76FEA">
        <w:rPr>
          <w:rFonts w:ascii="Arial" w:eastAsia="Arial" w:hAnsi="Arial" w:cs="Arial"/>
          <w:i/>
          <w:iCs/>
          <w:sz w:val="18"/>
          <w:szCs w:val="18"/>
          <w:lang w:val="es-ES"/>
        </w:rPr>
        <w:t xml:space="preserve"> la U.S. </w:t>
      </w:r>
      <w:proofErr w:type="spellStart"/>
      <w:r w:rsidRPr="00B76FEA">
        <w:rPr>
          <w:rFonts w:ascii="Arial" w:eastAsia="Arial" w:hAnsi="Arial" w:cs="Arial"/>
          <w:i/>
          <w:iCs/>
          <w:sz w:val="18"/>
          <w:szCs w:val="18"/>
          <w:lang w:val="es-ES"/>
        </w:rPr>
        <w:t>Securities</w:t>
      </w:r>
      <w:proofErr w:type="spellEnd"/>
      <w:r w:rsidRPr="00B76FEA">
        <w:rPr>
          <w:rFonts w:ascii="Arial" w:eastAsia="Arial" w:hAnsi="Arial" w:cs="Arial"/>
          <w:i/>
          <w:iCs/>
          <w:sz w:val="18"/>
          <w:szCs w:val="18"/>
          <w:lang w:val="es-ES"/>
        </w:rPr>
        <w:t xml:space="preserve"> and Exchange Commission e AFM.</w:t>
      </w:r>
    </w:p>
    <w:p w14:paraId="1C08C5C3" w14:textId="17978CAE" w:rsidR="00E67697" w:rsidRPr="00B76FEA" w:rsidRDefault="00E67697" w:rsidP="00205671">
      <w:pPr>
        <w:spacing w:after="0" w:line="240" w:lineRule="auto"/>
        <w:rPr>
          <w:rFonts w:ascii="Arial" w:eastAsia="Arial" w:hAnsi="Arial" w:cs="Arial"/>
          <w:sz w:val="24"/>
          <w:szCs w:val="24"/>
          <w:lang w:val="es-ES"/>
        </w:rPr>
      </w:pPr>
    </w:p>
    <w:p w14:paraId="4ECE16AD" w14:textId="77777777" w:rsidR="00F845C8" w:rsidRPr="00B76FEA" w:rsidRDefault="00F845C8" w:rsidP="00205671">
      <w:pPr>
        <w:spacing w:after="0" w:line="240" w:lineRule="auto"/>
        <w:rPr>
          <w:rFonts w:ascii="Arial" w:eastAsia="Arial" w:hAnsi="Arial" w:cs="Arial"/>
          <w:sz w:val="24"/>
          <w:szCs w:val="24"/>
          <w:lang w:val="es-ES"/>
        </w:rPr>
      </w:pPr>
    </w:p>
    <w:p w14:paraId="08FB0803" w14:textId="0552498C" w:rsidR="00F845C8" w:rsidRPr="00804029" w:rsidRDefault="006923D3" w:rsidP="00C21D55">
      <w:pPr>
        <w:spacing w:after="0" w:line="240" w:lineRule="auto"/>
        <w:rPr>
          <w:rFonts w:ascii="Arial" w:hAnsi="Arial" w:cs="Arial"/>
          <w:sz w:val="24"/>
          <w:szCs w:val="24"/>
        </w:rPr>
      </w:pPr>
      <w:r w:rsidRPr="00B76FEA">
        <w:rPr>
          <w:rFonts w:ascii="Arial" w:hAnsi="Arial"/>
          <w:sz w:val="24"/>
          <w:szCs w:val="24"/>
          <w:lang w:val="es-ES"/>
        </w:rPr>
        <w:t xml:space="preserve"> </w:t>
      </w:r>
    </w:p>
    <w:sectPr w:rsidR="00F845C8" w:rsidRPr="00804029" w:rsidSect="00F52E65">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4A72" w14:textId="77777777" w:rsidR="008D315B" w:rsidRDefault="008D315B" w:rsidP="005C18FB">
      <w:pPr>
        <w:spacing w:after="0" w:line="240" w:lineRule="auto"/>
      </w:pPr>
      <w:r>
        <w:separator/>
      </w:r>
    </w:p>
  </w:endnote>
  <w:endnote w:type="continuationSeparator" w:id="0">
    <w:p w14:paraId="6C04BA5C" w14:textId="77777777" w:rsidR="008D315B" w:rsidRDefault="008D315B"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92BD" w14:textId="77777777" w:rsidR="008D315B" w:rsidRDefault="008D315B" w:rsidP="005C18FB">
      <w:pPr>
        <w:spacing w:after="0" w:line="240" w:lineRule="auto"/>
      </w:pPr>
      <w:r>
        <w:separator/>
      </w:r>
    </w:p>
  </w:footnote>
  <w:footnote w:type="continuationSeparator" w:id="0">
    <w:p w14:paraId="6DAF1C81" w14:textId="77777777" w:rsidR="008D315B" w:rsidRDefault="008D315B"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E75" w14:textId="4514868B" w:rsidR="005C18FB" w:rsidRDefault="00AC5747" w:rsidP="00CE4A27">
    <w:pPr>
      <w:pStyle w:val="Intestazione"/>
      <w:tabs>
        <w:tab w:val="clear" w:pos="4513"/>
        <w:tab w:val="center" w:pos="2880"/>
        <w:tab w:val="center" w:pos="6480"/>
      </w:tabs>
      <w:jc w:val="left"/>
    </w:pPr>
    <w:r>
      <w:rPr>
        <w:noProof/>
        <w:lang w:val="en-US" w:eastAsia="en-US"/>
      </w:rPr>
      <w:drawing>
        <wp:inline distT="0" distB="0" distL="0" distR="0" wp14:anchorId="23E463A8" wp14:editId="0BCFE1DA">
          <wp:extent cx="1811663" cy="465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tab/>
      <w:t xml:space="preserve">                                </w:t>
    </w:r>
    <w:r>
      <w:rPr>
        <w:noProof/>
        <w:lang w:val="en-US" w:eastAsia="en-US"/>
      </w:rPr>
      <w:drawing>
        <wp:inline distT="0" distB="0" distL="0" distR="0" wp14:anchorId="6CEADD60" wp14:editId="1D795407">
          <wp:extent cx="1856739" cy="469900"/>
          <wp:effectExtent l="0" t="0" r="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6261" b="-9734"/>
                  <a:stretch/>
                </pic:blipFill>
                <pic:spPr bwMode="auto">
                  <a:xfrm>
                    <a:off x="0" y="0"/>
                    <a:ext cx="2108526" cy="533622"/>
                  </a:xfrm>
                  <a:prstGeom prst="rect">
                    <a:avLst/>
                  </a:prstGeom>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FB"/>
    <w:rsid w:val="0000501C"/>
    <w:rsid w:val="00014A18"/>
    <w:rsid w:val="00020153"/>
    <w:rsid w:val="0002062D"/>
    <w:rsid w:val="00030215"/>
    <w:rsid w:val="00030559"/>
    <w:rsid w:val="000449B7"/>
    <w:rsid w:val="000462B9"/>
    <w:rsid w:val="0004730B"/>
    <w:rsid w:val="000475E6"/>
    <w:rsid w:val="000503DD"/>
    <w:rsid w:val="000509BD"/>
    <w:rsid w:val="00060B4C"/>
    <w:rsid w:val="00064B63"/>
    <w:rsid w:val="000720AB"/>
    <w:rsid w:val="0007479D"/>
    <w:rsid w:val="00083FEF"/>
    <w:rsid w:val="00085B8B"/>
    <w:rsid w:val="000903BB"/>
    <w:rsid w:val="00091B76"/>
    <w:rsid w:val="000A2638"/>
    <w:rsid w:val="000A58CB"/>
    <w:rsid w:val="000A771D"/>
    <w:rsid w:val="000B00F5"/>
    <w:rsid w:val="000C0A30"/>
    <w:rsid w:val="000C3DE7"/>
    <w:rsid w:val="000D0398"/>
    <w:rsid w:val="000F2BE2"/>
    <w:rsid w:val="000F7DB5"/>
    <w:rsid w:val="001235C3"/>
    <w:rsid w:val="00137F00"/>
    <w:rsid w:val="00153E3B"/>
    <w:rsid w:val="00167725"/>
    <w:rsid w:val="00167900"/>
    <w:rsid w:val="00194CA4"/>
    <w:rsid w:val="00196042"/>
    <w:rsid w:val="001A75F0"/>
    <w:rsid w:val="001C0C01"/>
    <w:rsid w:val="001C19AA"/>
    <w:rsid w:val="001C71FF"/>
    <w:rsid w:val="001D2439"/>
    <w:rsid w:val="001E3744"/>
    <w:rsid w:val="001E5108"/>
    <w:rsid w:val="001E7F73"/>
    <w:rsid w:val="001F18B7"/>
    <w:rsid w:val="001F2D9D"/>
    <w:rsid w:val="00205671"/>
    <w:rsid w:val="00211300"/>
    <w:rsid w:val="00242AD7"/>
    <w:rsid w:val="00245CE1"/>
    <w:rsid w:val="00256312"/>
    <w:rsid w:val="002639D5"/>
    <w:rsid w:val="002658B8"/>
    <w:rsid w:val="00280E58"/>
    <w:rsid w:val="002902FF"/>
    <w:rsid w:val="002A3216"/>
    <w:rsid w:val="002B05E2"/>
    <w:rsid w:val="002B33FC"/>
    <w:rsid w:val="002B4864"/>
    <w:rsid w:val="002B6AB2"/>
    <w:rsid w:val="002B7691"/>
    <w:rsid w:val="002C1C43"/>
    <w:rsid w:val="002E5974"/>
    <w:rsid w:val="002F09FE"/>
    <w:rsid w:val="00306B6A"/>
    <w:rsid w:val="00320693"/>
    <w:rsid w:val="003317D4"/>
    <w:rsid w:val="00341C78"/>
    <w:rsid w:val="00342911"/>
    <w:rsid w:val="00343AB6"/>
    <w:rsid w:val="00345294"/>
    <w:rsid w:val="00346049"/>
    <w:rsid w:val="003628BB"/>
    <w:rsid w:val="00370FBE"/>
    <w:rsid w:val="00377454"/>
    <w:rsid w:val="003939D4"/>
    <w:rsid w:val="00394F96"/>
    <w:rsid w:val="003963F6"/>
    <w:rsid w:val="003A453F"/>
    <w:rsid w:val="003A5943"/>
    <w:rsid w:val="003A5ED9"/>
    <w:rsid w:val="003B6D8A"/>
    <w:rsid w:val="003C2B71"/>
    <w:rsid w:val="003D7213"/>
    <w:rsid w:val="003E0D73"/>
    <w:rsid w:val="003E712E"/>
    <w:rsid w:val="003F03F9"/>
    <w:rsid w:val="003F5D02"/>
    <w:rsid w:val="0040099D"/>
    <w:rsid w:val="0040282E"/>
    <w:rsid w:val="0040686A"/>
    <w:rsid w:val="00422989"/>
    <w:rsid w:val="00430FF5"/>
    <w:rsid w:val="004348F9"/>
    <w:rsid w:val="00437ED4"/>
    <w:rsid w:val="0044575C"/>
    <w:rsid w:val="00445EFD"/>
    <w:rsid w:val="00450F5B"/>
    <w:rsid w:val="00457EA7"/>
    <w:rsid w:val="004617FC"/>
    <w:rsid w:val="004653CC"/>
    <w:rsid w:val="00482454"/>
    <w:rsid w:val="00483F97"/>
    <w:rsid w:val="00487036"/>
    <w:rsid w:val="00496B07"/>
    <w:rsid w:val="004B25B8"/>
    <w:rsid w:val="004B4DA8"/>
    <w:rsid w:val="004C2B9E"/>
    <w:rsid w:val="004C2DFB"/>
    <w:rsid w:val="004C3674"/>
    <w:rsid w:val="004D2215"/>
    <w:rsid w:val="004F2068"/>
    <w:rsid w:val="004F45A7"/>
    <w:rsid w:val="004F525E"/>
    <w:rsid w:val="00504954"/>
    <w:rsid w:val="00510EB6"/>
    <w:rsid w:val="00517109"/>
    <w:rsid w:val="00531FE6"/>
    <w:rsid w:val="005333FB"/>
    <w:rsid w:val="005336A5"/>
    <w:rsid w:val="005362A7"/>
    <w:rsid w:val="00556DFE"/>
    <w:rsid w:val="00560EB2"/>
    <w:rsid w:val="005630F6"/>
    <w:rsid w:val="00572BE6"/>
    <w:rsid w:val="00573799"/>
    <w:rsid w:val="00584DA4"/>
    <w:rsid w:val="00586749"/>
    <w:rsid w:val="00591AC3"/>
    <w:rsid w:val="00591E94"/>
    <w:rsid w:val="005962E0"/>
    <w:rsid w:val="0059687C"/>
    <w:rsid w:val="005A4283"/>
    <w:rsid w:val="005A46A2"/>
    <w:rsid w:val="005A49A6"/>
    <w:rsid w:val="005B4C52"/>
    <w:rsid w:val="005B7CCF"/>
    <w:rsid w:val="005C18FB"/>
    <w:rsid w:val="005C22E7"/>
    <w:rsid w:val="005C636E"/>
    <w:rsid w:val="005D28B8"/>
    <w:rsid w:val="005D29FA"/>
    <w:rsid w:val="005D3BE9"/>
    <w:rsid w:val="005E32F9"/>
    <w:rsid w:val="005F750D"/>
    <w:rsid w:val="00603406"/>
    <w:rsid w:val="006061F0"/>
    <w:rsid w:val="00621455"/>
    <w:rsid w:val="00621CD4"/>
    <w:rsid w:val="00633B1A"/>
    <w:rsid w:val="006376ED"/>
    <w:rsid w:val="006400E9"/>
    <w:rsid w:val="00644521"/>
    <w:rsid w:val="00652E31"/>
    <w:rsid w:val="00664CBA"/>
    <w:rsid w:val="00672240"/>
    <w:rsid w:val="006923D3"/>
    <w:rsid w:val="0069438E"/>
    <w:rsid w:val="006A1ED6"/>
    <w:rsid w:val="006A5724"/>
    <w:rsid w:val="006A7531"/>
    <w:rsid w:val="006C719D"/>
    <w:rsid w:val="006D34B2"/>
    <w:rsid w:val="006D5382"/>
    <w:rsid w:val="006D610A"/>
    <w:rsid w:val="006E5A66"/>
    <w:rsid w:val="006E711F"/>
    <w:rsid w:val="006F5B29"/>
    <w:rsid w:val="006F6C3B"/>
    <w:rsid w:val="00700BF5"/>
    <w:rsid w:val="00706635"/>
    <w:rsid w:val="00710B32"/>
    <w:rsid w:val="0071733B"/>
    <w:rsid w:val="0072262B"/>
    <w:rsid w:val="0075149D"/>
    <w:rsid w:val="00757802"/>
    <w:rsid w:val="00762A41"/>
    <w:rsid w:val="007662EE"/>
    <w:rsid w:val="00774734"/>
    <w:rsid w:val="00776C91"/>
    <w:rsid w:val="007820FE"/>
    <w:rsid w:val="007906FF"/>
    <w:rsid w:val="00792FC4"/>
    <w:rsid w:val="007A2713"/>
    <w:rsid w:val="007A3EBA"/>
    <w:rsid w:val="007A47BA"/>
    <w:rsid w:val="007A6943"/>
    <w:rsid w:val="007B2A6E"/>
    <w:rsid w:val="007D2F7F"/>
    <w:rsid w:val="007D7C03"/>
    <w:rsid w:val="007F6079"/>
    <w:rsid w:val="007F6591"/>
    <w:rsid w:val="00804029"/>
    <w:rsid w:val="0082685E"/>
    <w:rsid w:val="00830308"/>
    <w:rsid w:val="00832B0A"/>
    <w:rsid w:val="00833ECA"/>
    <w:rsid w:val="00836DE7"/>
    <w:rsid w:val="00865397"/>
    <w:rsid w:val="00876171"/>
    <w:rsid w:val="00883280"/>
    <w:rsid w:val="0088493C"/>
    <w:rsid w:val="0089004C"/>
    <w:rsid w:val="008913B0"/>
    <w:rsid w:val="00891905"/>
    <w:rsid w:val="00894703"/>
    <w:rsid w:val="00897EB8"/>
    <w:rsid w:val="008A10A3"/>
    <w:rsid w:val="008B1463"/>
    <w:rsid w:val="008D0903"/>
    <w:rsid w:val="008D26FB"/>
    <w:rsid w:val="008D315B"/>
    <w:rsid w:val="008E0ED6"/>
    <w:rsid w:val="00901975"/>
    <w:rsid w:val="00915F37"/>
    <w:rsid w:val="00921407"/>
    <w:rsid w:val="0092262A"/>
    <w:rsid w:val="009403BA"/>
    <w:rsid w:val="00965494"/>
    <w:rsid w:val="00992449"/>
    <w:rsid w:val="009B1488"/>
    <w:rsid w:val="009B45A3"/>
    <w:rsid w:val="009C3C7C"/>
    <w:rsid w:val="009C6033"/>
    <w:rsid w:val="009C61CF"/>
    <w:rsid w:val="009C68EC"/>
    <w:rsid w:val="00A00997"/>
    <w:rsid w:val="00A01131"/>
    <w:rsid w:val="00A03072"/>
    <w:rsid w:val="00A032D0"/>
    <w:rsid w:val="00A16089"/>
    <w:rsid w:val="00A17B59"/>
    <w:rsid w:val="00A265A3"/>
    <w:rsid w:val="00A336D5"/>
    <w:rsid w:val="00A347A1"/>
    <w:rsid w:val="00A36955"/>
    <w:rsid w:val="00A46D29"/>
    <w:rsid w:val="00A56AC6"/>
    <w:rsid w:val="00A63FCA"/>
    <w:rsid w:val="00A66320"/>
    <w:rsid w:val="00A71937"/>
    <w:rsid w:val="00A76972"/>
    <w:rsid w:val="00A91D78"/>
    <w:rsid w:val="00A977C7"/>
    <w:rsid w:val="00AA0A8E"/>
    <w:rsid w:val="00AA10F9"/>
    <w:rsid w:val="00AA3778"/>
    <w:rsid w:val="00AA6E3B"/>
    <w:rsid w:val="00AB2E64"/>
    <w:rsid w:val="00AC5747"/>
    <w:rsid w:val="00AC60BD"/>
    <w:rsid w:val="00AC709F"/>
    <w:rsid w:val="00AD29E4"/>
    <w:rsid w:val="00AE2258"/>
    <w:rsid w:val="00AE4330"/>
    <w:rsid w:val="00AF22B9"/>
    <w:rsid w:val="00AF60D8"/>
    <w:rsid w:val="00B118EC"/>
    <w:rsid w:val="00B22BA2"/>
    <w:rsid w:val="00B24726"/>
    <w:rsid w:val="00B4680B"/>
    <w:rsid w:val="00B54215"/>
    <w:rsid w:val="00B64A28"/>
    <w:rsid w:val="00B67462"/>
    <w:rsid w:val="00B7361F"/>
    <w:rsid w:val="00B74B22"/>
    <w:rsid w:val="00B76FEA"/>
    <w:rsid w:val="00B80E1F"/>
    <w:rsid w:val="00B84C81"/>
    <w:rsid w:val="00BA56F2"/>
    <w:rsid w:val="00BB48D4"/>
    <w:rsid w:val="00BB4D48"/>
    <w:rsid w:val="00BD6BE3"/>
    <w:rsid w:val="00BD7339"/>
    <w:rsid w:val="00BE1A93"/>
    <w:rsid w:val="00BE293F"/>
    <w:rsid w:val="00BF2F7F"/>
    <w:rsid w:val="00C15AD0"/>
    <w:rsid w:val="00C21D55"/>
    <w:rsid w:val="00C26D97"/>
    <w:rsid w:val="00C53758"/>
    <w:rsid w:val="00C54891"/>
    <w:rsid w:val="00C60404"/>
    <w:rsid w:val="00C61A4B"/>
    <w:rsid w:val="00C628B0"/>
    <w:rsid w:val="00C635BA"/>
    <w:rsid w:val="00C83930"/>
    <w:rsid w:val="00C9029D"/>
    <w:rsid w:val="00C90C7E"/>
    <w:rsid w:val="00CA1CB5"/>
    <w:rsid w:val="00CA3432"/>
    <w:rsid w:val="00CB753B"/>
    <w:rsid w:val="00CD3D45"/>
    <w:rsid w:val="00CE4A27"/>
    <w:rsid w:val="00CE6AA6"/>
    <w:rsid w:val="00CE7CAA"/>
    <w:rsid w:val="00D02244"/>
    <w:rsid w:val="00D0578F"/>
    <w:rsid w:val="00D548A6"/>
    <w:rsid w:val="00D555C4"/>
    <w:rsid w:val="00D6308A"/>
    <w:rsid w:val="00D74CC8"/>
    <w:rsid w:val="00D74DE2"/>
    <w:rsid w:val="00D8190D"/>
    <w:rsid w:val="00D90601"/>
    <w:rsid w:val="00D9100E"/>
    <w:rsid w:val="00D92195"/>
    <w:rsid w:val="00DA5BCC"/>
    <w:rsid w:val="00DA7C0F"/>
    <w:rsid w:val="00DB3ECD"/>
    <w:rsid w:val="00DC0A0B"/>
    <w:rsid w:val="00DC59C6"/>
    <w:rsid w:val="00DE142F"/>
    <w:rsid w:val="00DE708B"/>
    <w:rsid w:val="00E011FE"/>
    <w:rsid w:val="00E02D79"/>
    <w:rsid w:val="00E07170"/>
    <w:rsid w:val="00E136FF"/>
    <w:rsid w:val="00E319D0"/>
    <w:rsid w:val="00E509C1"/>
    <w:rsid w:val="00E66A11"/>
    <w:rsid w:val="00E67697"/>
    <w:rsid w:val="00E712B3"/>
    <w:rsid w:val="00E75223"/>
    <w:rsid w:val="00E776B3"/>
    <w:rsid w:val="00EA7D05"/>
    <w:rsid w:val="00EA7F09"/>
    <w:rsid w:val="00EB1C1B"/>
    <w:rsid w:val="00EC175F"/>
    <w:rsid w:val="00EC493C"/>
    <w:rsid w:val="00EC7645"/>
    <w:rsid w:val="00ED0953"/>
    <w:rsid w:val="00EE7CB8"/>
    <w:rsid w:val="00EF62C4"/>
    <w:rsid w:val="00F0146E"/>
    <w:rsid w:val="00F079A3"/>
    <w:rsid w:val="00F15B04"/>
    <w:rsid w:val="00F211E4"/>
    <w:rsid w:val="00F330A8"/>
    <w:rsid w:val="00F36D64"/>
    <w:rsid w:val="00F460EF"/>
    <w:rsid w:val="00F475E5"/>
    <w:rsid w:val="00F52E65"/>
    <w:rsid w:val="00F61CFB"/>
    <w:rsid w:val="00F64CE2"/>
    <w:rsid w:val="00F75034"/>
    <w:rsid w:val="00F83266"/>
    <w:rsid w:val="00F845C8"/>
    <w:rsid w:val="00F917C1"/>
    <w:rsid w:val="00F96DE7"/>
    <w:rsid w:val="00F97EDB"/>
    <w:rsid w:val="00FA5481"/>
    <w:rsid w:val="00FA6852"/>
    <w:rsid w:val="00FB24A4"/>
    <w:rsid w:val="00FD3163"/>
    <w:rsid w:val="00FD72F0"/>
    <w:rsid w:val="00FE2BEC"/>
    <w:rsid w:val="00FE583B"/>
    <w:rsid w:val="00FE5C28"/>
    <w:rsid w:val="00FF3DFD"/>
    <w:rsid w:val="00FF41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it-IT"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18FB"/>
    <w:pPr>
      <w:widowControl w:val="0"/>
      <w:wordWrap w:val="0"/>
      <w:autoSpaceDE w:val="0"/>
      <w:autoSpaceDN w:val="0"/>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18FB"/>
    <w:pPr>
      <w:tabs>
        <w:tab w:val="center" w:pos="4513"/>
        <w:tab w:val="right" w:pos="9026"/>
      </w:tabs>
      <w:snapToGrid w:val="0"/>
    </w:pPr>
  </w:style>
  <w:style w:type="character" w:customStyle="1" w:styleId="IntestazioneCarattere">
    <w:name w:val="Intestazione Carattere"/>
    <w:basedOn w:val="Carpredefinitoparagrafo"/>
    <w:link w:val="Intestazione"/>
    <w:uiPriority w:val="99"/>
    <w:rsid w:val="005C18FB"/>
  </w:style>
  <w:style w:type="paragraph" w:styleId="Pidipagina">
    <w:name w:val="footer"/>
    <w:basedOn w:val="Normale"/>
    <w:link w:val="PidipaginaCarattere"/>
    <w:uiPriority w:val="99"/>
    <w:unhideWhenUsed/>
    <w:rsid w:val="005C18FB"/>
    <w:pPr>
      <w:tabs>
        <w:tab w:val="center" w:pos="4513"/>
        <w:tab w:val="right" w:pos="9026"/>
      </w:tabs>
      <w:snapToGrid w:val="0"/>
    </w:pPr>
  </w:style>
  <w:style w:type="character" w:customStyle="1" w:styleId="PidipaginaCarattere">
    <w:name w:val="Piè di pagina Carattere"/>
    <w:basedOn w:val="Carpredefinitoparagrafo"/>
    <w:link w:val="Pidipagina"/>
    <w:uiPriority w:val="99"/>
    <w:rsid w:val="005C18FB"/>
  </w:style>
  <w:style w:type="character" w:styleId="Collegamentoipertestuale">
    <w:name w:val="Hyperlink"/>
    <w:uiPriority w:val="99"/>
    <w:rsid w:val="00C21D55"/>
    <w:rPr>
      <w:color w:val="0000FF"/>
      <w:u w:val="single"/>
    </w:rPr>
  </w:style>
  <w:style w:type="paragraph" w:styleId="Testofumetto">
    <w:name w:val="Balloon Text"/>
    <w:basedOn w:val="Normale"/>
    <w:link w:val="TestofumettoCarattere"/>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TestofumettoCarattere">
    <w:name w:val="Testo fumetto Carattere"/>
    <w:basedOn w:val="Carpredefinitoparagrafo"/>
    <w:link w:val="Testofumetto"/>
    <w:uiPriority w:val="99"/>
    <w:semiHidden/>
    <w:rsid w:val="00496B07"/>
    <w:rPr>
      <w:rFonts w:asciiTheme="majorHAnsi" w:eastAsiaTheme="majorEastAsia" w:hAnsiTheme="majorHAnsi" w:cstheme="majorBidi"/>
      <w:sz w:val="18"/>
      <w:szCs w:val="18"/>
    </w:rPr>
  </w:style>
  <w:style w:type="character" w:styleId="Rimandocommento">
    <w:name w:val="annotation reference"/>
    <w:basedOn w:val="Carpredefinitoparagrafo"/>
    <w:uiPriority w:val="99"/>
    <w:semiHidden/>
    <w:unhideWhenUsed/>
    <w:rsid w:val="00205671"/>
    <w:rPr>
      <w:sz w:val="16"/>
      <w:szCs w:val="16"/>
    </w:rPr>
  </w:style>
  <w:style w:type="paragraph" w:styleId="Testocommento">
    <w:name w:val="annotation text"/>
    <w:basedOn w:val="Normale"/>
    <w:link w:val="TestocommentoCarattere"/>
    <w:uiPriority w:val="99"/>
    <w:semiHidden/>
    <w:unhideWhenUsed/>
    <w:rsid w:val="00205671"/>
    <w:pPr>
      <w:spacing w:line="240" w:lineRule="auto"/>
    </w:pPr>
    <w:rPr>
      <w:szCs w:val="20"/>
    </w:rPr>
  </w:style>
  <w:style w:type="character" w:customStyle="1" w:styleId="TestocommentoCarattere">
    <w:name w:val="Testo commento Carattere"/>
    <w:basedOn w:val="Carpredefinitoparagrafo"/>
    <w:link w:val="Testocommento"/>
    <w:uiPriority w:val="99"/>
    <w:semiHidden/>
    <w:rsid w:val="00205671"/>
    <w:rPr>
      <w:szCs w:val="20"/>
    </w:rPr>
  </w:style>
  <w:style w:type="character" w:customStyle="1" w:styleId="im">
    <w:name w:val="im"/>
    <w:basedOn w:val="Carpredefinitoparagrafo"/>
    <w:rsid w:val="00EE7CB8"/>
  </w:style>
  <w:style w:type="paragraph" w:styleId="Nessunaspaziatura">
    <w:name w:val="No Spacing"/>
    <w:uiPriority w:val="1"/>
    <w:qFormat/>
    <w:rsid w:val="005D28B8"/>
    <w:pPr>
      <w:spacing w:after="0" w:line="240" w:lineRule="auto"/>
      <w:jc w:val="left"/>
    </w:pPr>
    <w:rPr>
      <w:rFonts w:eastAsia="Batang"/>
      <w:kern w:val="0"/>
      <w:sz w:val="22"/>
      <w:lang w:eastAsia="en-US"/>
    </w:rPr>
  </w:style>
  <w:style w:type="character" w:customStyle="1" w:styleId="UnresolvedMention1">
    <w:name w:val="Unresolved Mention1"/>
    <w:basedOn w:val="Carpredefinitoparagrafo"/>
    <w:uiPriority w:val="99"/>
    <w:semiHidden/>
    <w:unhideWhenUsed/>
    <w:rsid w:val="00876171"/>
    <w:rPr>
      <w:color w:val="605E5C"/>
      <w:shd w:val="clear" w:color="auto" w:fill="E1DFDD"/>
    </w:rPr>
  </w:style>
  <w:style w:type="paragraph" w:customStyle="1" w:styleId="SDatePlace">
    <w:name w:val="S_Date + Place"/>
    <w:basedOn w:val="Normale"/>
    <w:qFormat/>
    <w:rsid w:val="00876171"/>
    <w:pPr>
      <w:widowControl/>
      <w:wordWrap/>
      <w:autoSpaceDE/>
      <w:autoSpaceDN/>
      <w:spacing w:after="240" w:line="240" w:lineRule="auto"/>
      <w:jc w:val="left"/>
    </w:pPr>
    <w:rPr>
      <w:rFonts w:eastAsiaTheme="minorHAnsi"/>
      <w:kern w:val="0"/>
      <w:sz w:val="24"/>
      <w:szCs w:val="18"/>
      <w:lang w:eastAsia="en-US"/>
    </w:rPr>
  </w:style>
  <w:style w:type="paragraph" w:styleId="Soggettocommento">
    <w:name w:val="annotation subject"/>
    <w:basedOn w:val="Testocommento"/>
    <w:next w:val="Testocommento"/>
    <w:link w:val="SoggettocommentoCarattere"/>
    <w:uiPriority w:val="99"/>
    <w:semiHidden/>
    <w:unhideWhenUsed/>
    <w:rsid w:val="00876171"/>
    <w:rPr>
      <w:b/>
      <w:bCs/>
    </w:rPr>
  </w:style>
  <w:style w:type="character" w:customStyle="1" w:styleId="SoggettocommentoCarattere">
    <w:name w:val="Soggetto commento Carattere"/>
    <w:basedOn w:val="TestocommentoCarattere"/>
    <w:link w:val="Soggettocommento"/>
    <w:uiPriority w:val="99"/>
    <w:semiHidden/>
    <w:rsid w:val="00876171"/>
    <w:rPr>
      <w:b/>
      <w:bCs/>
      <w:szCs w:val="20"/>
    </w:rPr>
  </w:style>
  <w:style w:type="paragraph" w:styleId="Revisione">
    <w:name w:val="Revision"/>
    <w:hidden/>
    <w:uiPriority w:val="99"/>
    <w:semiHidden/>
    <w:rsid w:val="002639D5"/>
    <w:pPr>
      <w:spacing w:after="0" w:line="240" w:lineRule="auto"/>
      <w:jc w:val="left"/>
    </w:pPr>
  </w:style>
  <w:style w:type="character" w:styleId="Collegamentovisitato">
    <w:name w:val="FollowedHyperlink"/>
    <w:basedOn w:val="Carpredefinitoparagrafo"/>
    <w:uiPriority w:val="99"/>
    <w:semiHidden/>
    <w:unhideWhenUsed/>
    <w:rsid w:val="00D02244"/>
    <w:rPr>
      <w:color w:val="954F72" w:themeColor="followedHyperlink"/>
      <w:u w:val="single"/>
    </w:rPr>
  </w:style>
  <w:style w:type="character" w:styleId="Menzionenonrisolta">
    <w:name w:val="Unresolved Mention"/>
    <w:basedOn w:val="Carpredefinitoparagrafo"/>
    <w:uiPriority w:val="99"/>
    <w:semiHidden/>
    <w:unhideWhenUsed/>
    <w:rsid w:val="005F7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ensol.com/en/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llantis.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in0@lgensol.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ellantis.com/it/investors/eventi/strategic-pl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1959</Words>
  <Characters>11172</Characters>
  <Application>Microsoft Office Word</Application>
  <DocSecurity>0</DocSecurity>
  <Lines>93</Lines>
  <Paragraphs>26</Paragraphs>
  <ScaleCrop>false</ScaleCrop>
  <HeadingPairs>
    <vt:vector size="8" baseType="variant">
      <vt:variant>
        <vt:lpstr>Title</vt:lpstr>
      </vt:variant>
      <vt:variant>
        <vt:i4>1</vt:i4>
      </vt:variant>
      <vt:variant>
        <vt:lpstr>Titolo</vt:lpstr>
      </vt:variant>
      <vt:variant>
        <vt:i4>1</vt:i4>
      </vt:variant>
      <vt:variant>
        <vt:lpstr>제목</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ANGELA CATALDI</cp:lastModifiedBy>
  <cp:revision>4</cp:revision>
  <cp:lastPrinted>2022-03-21T07:16:00Z</cp:lastPrinted>
  <dcterms:created xsi:type="dcterms:W3CDTF">2022-03-23T12:24:00Z</dcterms:created>
  <dcterms:modified xsi:type="dcterms:W3CDTF">2022-03-23T13:20:00Z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2021-10-17T18:30:39Z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7900b0f0-e207-4a2f-8df1-2e585a645f92</vt:lpwstr>
  </property>
  <property fmtid="{D5CDD505-2E9C-101B-9397-08002B2CF9AE}" pid="8" name="MSIP_Label_2fd53d93-3f4c-4b90-b511-bd6bdbb4fba9_ContentBits">
    <vt:lpwstr>0</vt:lpwstr>
  </property>
</Properties>
</file>