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0F8F06B1" w:rsidR="00D90200" w:rsidRPr="00044E26" w:rsidRDefault="00DA44D2">
      <w:pPr>
        <w:pBdr>
          <w:top w:val="nil"/>
          <w:left w:val="nil"/>
          <w:bottom w:val="nil"/>
          <w:right w:val="nil"/>
          <w:between w:val="nil"/>
        </w:pBdr>
        <w:spacing w:after="480"/>
        <w:jc w:val="center"/>
        <w:rPr>
          <w:rFonts w:ascii="Encode Sans" w:eastAsia="Arial" w:hAnsi="Encode Sans" w:cs="Arial"/>
          <w:b/>
          <w:color w:val="000000"/>
          <w:sz w:val="28"/>
          <w:szCs w:val="28"/>
        </w:rPr>
      </w:pPr>
      <w:r w:rsidRPr="00044E26">
        <w:rPr>
          <w:rFonts w:ascii="Encode Sans" w:eastAsia="Arial" w:hAnsi="Encode Sans" w:cs="Arial"/>
          <w:b/>
          <w:color w:val="000000"/>
          <w:sz w:val="28"/>
          <w:szCs w:val="28"/>
        </w:rPr>
        <w:t>Stellantis Signs Non-Binding MOU with GME for</w:t>
      </w:r>
      <w:r w:rsidR="0011344A" w:rsidRPr="00044E26">
        <w:rPr>
          <w:rFonts w:ascii="Encode Sans" w:eastAsia="Arial" w:hAnsi="Encode Sans" w:cs="Arial"/>
          <w:b/>
          <w:color w:val="000000"/>
          <w:sz w:val="28"/>
          <w:szCs w:val="28"/>
        </w:rPr>
        <w:t xml:space="preserve"> Future Offtake of </w:t>
      </w:r>
      <w:r w:rsidRPr="00044E26">
        <w:rPr>
          <w:rFonts w:ascii="Encode Sans" w:eastAsia="Arial" w:hAnsi="Encode Sans" w:cs="Arial"/>
          <w:b/>
          <w:color w:val="000000"/>
          <w:sz w:val="28"/>
          <w:szCs w:val="28"/>
        </w:rPr>
        <w:t>Battery Grade Nickel and Cobalt Sulphate</w:t>
      </w:r>
    </w:p>
    <w:p w14:paraId="1B8287BF" w14:textId="4A9881D5" w:rsidR="00D013CE" w:rsidRPr="00044E26" w:rsidRDefault="00044E26" w:rsidP="00D013CE">
      <w:pPr>
        <w:numPr>
          <w:ilvl w:val="0"/>
          <w:numId w:val="1"/>
        </w:numPr>
        <w:spacing w:after="0"/>
        <w:jc w:val="left"/>
        <w:rPr>
          <w:rFonts w:ascii="Encode Sans" w:eastAsia="Arial" w:hAnsi="Encode Sans" w:cs="Arial"/>
        </w:rPr>
      </w:pPr>
      <w:r>
        <w:rPr>
          <w:rFonts w:ascii="Encode Sans" w:eastAsia="Arial" w:hAnsi="Encode Sans" w:cs="Arial"/>
        </w:rPr>
        <w:t>Stellantis s</w:t>
      </w:r>
      <w:r w:rsidR="00D013CE" w:rsidRPr="00044E26">
        <w:rPr>
          <w:rFonts w:ascii="Encode Sans" w:eastAsia="Arial" w:hAnsi="Encode Sans" w:cs="Arial"/>
        </w:rPr>
        <w:t>trengthen</w:t>
      </w:r>
      <w:r>
        <w:rPr>
          <w:rFonts w:ascii="Encode Sans" w:eastAsia="Arial" w:hAnsi="Encode Sans" w:cs="Arial"/>
        </w:rPr>
        <w:t>s</w:t>
      </w:r>
      <w:r w:rsidR="00D013CE" w:rsidRPr="00044E26">
        <w:rPr>
          <w:rFonts w:ascii="Encode Sans" w:eastAsia="Arial" w:hAnsi="Encode Sans" w:cs="Arial"/>
        </w:rPr>
        <w:t xml:space="preserve"> value chain for electric vehicle battery production</w:t>
      </w:r>
      <w:r w:rsidR="00E16A57">
        <w:rPr>
          <w:rFonts w:ascii="Encode Sans" w:eastAsia="Arial" w:hAnsi="Encode Sans" w:cs="Arial"/>
        </w:rPr>
        <w:t xml:space="preserve"> supporting Dare Forward 2030 strategic plan targets</w:t>
      </w:r>
    </w:p>
    <w:p w14:paraId="3C06AD10" w14:textId="73A91134" w:rsidR="00DA44D2" w:rsidRDefault="004E3DDE" w:rsidP="0011344A">
      <w:pPr>
        <w:numPr>
          <w:ilvl w:val="0"/>
          <w:numId w:val="1"/>
        </w:numPr>
        <w:spacing w:after="0"/>
        <w:jc w:val="left"/>
        <w:rPr>
          <w:rFonts w:ascii="Encode Sans" w:eastAsia="Arial" w:hAnsi="Encode Sans" w:cs="Arial"/>
        </w:rPr>
      </w:pPr>
      <w:r w:rsidRPr="00044E26">
        <w:rPr>
          <w:rFonts w:ascii="Encode Sans" w:eastAsia="Arial" w:hAnsi="Encode Sans" w:cs="Arial"/>
        </w:rPr>
        <w:t>MOU r</w:t>
      </w:r>
      <w:r w:rsidR="00DA44D2" w:rsidRPr="00044E26">
        <w:rPr>
          <w:rFonts w:ascii="Encode Sans" w:eastAsia="Arial" w:hAnsi="Encode Sans" w:cs="Arial"/>
        </w:rPr>
        <w:t xml:space="preserve">epresents first step toward </w:t>
      </w:r>
      <w:r w:rsidR="0011344A" w:rsidRPr="00044E26">
        <w:rPr>
          <w:rFonts w:ascii="Encode Sans" w:eastAsia="Arial" w:hAnsi="Encode Sans" w:cs="Arial"/>
        </w:rPr>
        <w:t xml:space="preserve">potential </w:t>
      </w:r>
      <w:r w:rsidR="00DA44D2" w:rsidRPr="00044E26">
        <w:rPr>
          <w:rFonts w:ascii="Encode Sans" w:eastAsia="Arial" w:hAnsi="Encode Sans" w:cs="Arial"/>
        </w:rPr>
        <w:t>long-term partnership</w:t>
      </w:r>
      <w:r w:rsidR="0011344A" w:rsidRPr="00044E26">
        <w:rPr>
          <w:rFonts w:ascii="Encode Sans" w:eastAsia="Arial" w:hAnsi="Encode Sans" w:cs="Arial"/>
        </w:rPr>
        <w:t xml:space="preserve"> </w:t>
      </w:r>
      <w:r w:rsidR="00D013CE" w:rsidRPr="00044E26">
        <w:rPr>
          <w:rFonts w:ascii="Encode Sans" w:eastAsia="Arial" w:hAnsi="Encode Sans" w:cs="Arial"/>
        </w:rPr>
        <w:t xml:space="preserve">for </w:t>
      </w:r>
      <w:r w:rsidR="00DA44D2" w:rsidRPr="00044E26">
        <w:rPr>
          <w:rFonts w:ascii="Encode Sans" w:eastAsia="Arial" w:hAnsi="Encode Sans" w:cs="Arial"/>
        </w:rPr>
        <w:t>future offtake of battery grade nickel and cobalt sulphate products from the NiWest Nickel-Cobalt Project</w:t>
      </w:r>
    </w:p>
    <w:p w14:paraId="364B6A2F" w14:textId="77777777" w:rsidR="00D90200" w:rsidRPr="00044E26" w:rsidRDefault="00D90200">
      <w:pPr>
        <w:spacing w:after="0"/>
        <w:ind w:left="720"/>
        <w:rPr>
          <w:rFonts w:ascii="Encode Sans" w:eastAsia="Arial" w:hAnsi="Encode Sans" w:cs="Arial"/>
          <w:color w:val="000000"/>
          <w:sz w:val="22"/>
          <w:szCs w:val="22"/>
        </w:rPr>
      </w:pPr>
    </w:p>
    <w:p w14:paraId="06355130" w14:textId="77777777" w:rsidR="00D90200" w:rsidRPr="00044E26" w:rsidRDefault="00D90200">
      <w:pPr>
        <w:shd w:val="clear" w:color="auto" w:fill="FFFFFF"/>
        <w:spacing w:after="0"/>
        <w:ind w:left="720"/>
        <w:rPr>
          <w:rFonts w:ascii="Encode Sans" w:eastAsia="Arial" w:hAnsi="Encode Sans" w:cs="Arial"/>
          <w:sz w:val="18"/>
          <w:szCs w:val="18"/>
        </w:rPr>
      </w:pPr>
    </w:p>
    <w:p w14:paraId="18C1383A" w14:textId="0FD7DC77" w:rsidR="00C818B8" w:rsidRPr="00044E26" w:rsidRDefault="0011344A">
      <w:pPr>
        <w:pBdr>
          <w:top w:val="nil"/>
          <w:left w:val="nil"/>
          <w:bottom w:val="nil"/>
          <w:right w:val="nil"/>
          <w:between w:val="nil"/>
        </w:pBdr>
        <w:jc w:val="left"/>
        <w:rPr>
          <w:rFonts w:ascii="Encode Sans" w:eastAsia="Arial" w:hAnsi="Encode Sans" w:cs="Arial"/>
          <w:color w:val="000000"/>
          <w:sz w:val="22"/>
          <w:szCs w:val="22"/>
        </w:rPr>
      </w:pPr>
      <w:r w:rsidRPr="00044E26">
        <w:rPr>
          <w:rFonts w:ascii="Encode Sans" w:eastAsia="Arial" w:hAnsi="Encode Sans" w:cs="Arial"/>
          <w:b/>
          <w:color w:val="000000"/>
          <w:sz w:val="22"/>
          <w:szCs w:val="22"/>
        </w:rPr>
        <w:t>October</w:t>
      </w:r>
      <w:r w:rsidR="00FF2E76">
        <w:rPr>
          <w:rFonts w:ascii="Encode Sans" w:eastAsia="Arial" w:hAnsi="Encode Sans" w:cs="Arial"/>
          <w:b/>
          <w:color w:val="000000"/>
          <w:sz w:val="22"/>
          <w:szCs w:val="22"/>
        </w:rPr>
        <w:t xml:space="preserve"> </w:t>
      </w:r>
      <w:r w:rsidR="00AE34AF">
        <w:rPr>
          <w:rFonts w:ascii="Encode Sans" w:eastAsia="Arial" w:hAnsi="Encode Sans" w:cs="Arial"/>
          <w:b/>
          <w:color w:val="000000"/>
          <w:sz w:val="22"/>
          <w:szCs w:val="22"/>
        </w:rPr>
        <w:t>10</w:t>
      </w:r>
      <w:r w:rsidR="00DB7F49" w:rsidRPr="00044E26">
        <w:rPr>
          <w:rFonts w:ascii="Encode Sans" w:eastAsia="Arial" w:hAnsi="Encode Sans" w:cs="Arial"/>
          <w:b/>
          <w:color w:val="000000"/>
          <w:sz w:val="22"/>
          <w:szCs w:val="22"/>
        </w:rPr>
        <w:t>, 202</w:t>
      </w:r>
      <w:r w:rsidR="00211BDA" w:rsidRPr="00044E26">
        <w:rPr>
          <w:rFonts w:ascii="Encode Sans" w:eastAsia="Arial" w:hAnsi="Encode Sans" w:cs="Arial"/>
          <w:b/>
          <w:color w:val="000000"/>
          <w:sz w:val="22"/>
          <w:szCs w:val="22"/>
        </w:rPr>
        <w:t>2</w:t>
      </w:r>
      <w:r w:rsidRPr="00044E26">
        <w:rPr>
          <w:rFonts w:ascii="Encode Sans" w:eastAsia="Arial" w:hAnsi="Encode Sans" w:cs="Arial"/>
          <w:b/>
          <w:color w:val="000000"/>
          <w:sz w:val="22"/>
          <w:szCs w:val="22"/>
        </w:rPr>
        <w:t>, AMSTERDAM</w:t>
      </w:r>
      <w:r w:rsidR="00DB7F49" w:rsidRPr="00044E26">
        <w:rPr>
          <w:rFonts w:ascii="Encode Sans" w:eastAsia="Arial" w:hAnsi="Encode Sans" w:cs="Arial"/>
          <w:color w:val="000000"/>
          <w:sz w:val="22"/>
          <w:szCs w:val="22"/>
        </w:rPr>
        <w:t xml:space="preserve"> – </w:t>
      </w:r>
      <w:hyperlink r:id="rId11" w:history="1">
        <w:r w:rsidR="007F0624" w:rsidRPr="00044E26">
          <w:rPr>
            <w:rStyle w:val="Hyperlink"/>
            <w:rFonts w:ascii="Encode Sans" w:eastAsia="Times New Roman" w:hAnsi="Encode Sans" w:cs="Arial"/>
            <w:sz w:val="22"/>
            <w:szCs w:val="22"/>
            <w:u w:val="single"/>
            <w:shd w:val="clear" w:color="auto" w:fill="FFFFFF"/>
          </w:rPr>
          <w:t>Stellantis</w:t>
        </w:r>
        <w:r w:rsidR="00F9493A" w:rsidRPr="00044E26">
          <w:rPr>
            <w:rStyle w:val="Hyperlink"/>
            <w:rFonts w:ascii="Encode Sans" w:eastAsia="Times New Roman" w:hAnsi="Encode Sans" w:cs="Arial"/>
            <w:sz w:val="22"/>
            <w:szCs w:val="22"/>
            <w:u w:val="single"/>
            <w:shd w:val="clear" w:color="auto" w:fill="FFFFFF"/>
          </w:rPr>
          <w:t xml:space="preserve"> N.V.</w:t>
        </w:r>
      </w:hyperlink>
      <w:r w:rsidR="008535C7" w:rsidRPr="00044E26">
        <w:rPr>
          <w:rFonts w:ascii="Encode Sans" w:eastAsia="Times New Roman" w:hAnsi="Encode Sans" w:cs="Arial"/>
          <w:sz w:val="22"/>
          <w:szCs w:val="22"/>
          <w:shd w:val="clear" w:color="auto" w:fill="FFFFFF"/>
        </w:rPr>
        <w:t xml:space="preserve"> </w:t>
      </w:r>
      <w:r w:rsidRPr="00044E26">
        <w:rPr>
          <w:rFonts w:ascii="Encode Sans" w:eastAsia="Arial" w:hAnsi="Encode Sans" w:cs="Arial"/>
          <w:color w:val="000000"/>
          <w:sz w:val="22"/>
          <w:szCs w:val="22"/>
        </w:rPr>
        <w:t xml:space="preserve">and </w:t>
      </w:r>
      <w:hyperlink r:id="rId12" w:history="1">
        <w:r w:rsidRPr="008E1ACE">
          <w:rPr>
            <w:rStyle w:val="Hyperlink"/>
            <w:rFonts w:ascii="Encode Sans" w:eastAsia="Arial" w:hAnsi="Encode Sans" w:cs="Arial"/>
            <w:sz w:val="22"/>
            <w:szCs w:val="22"/>
            <w:u w:val="single"/>
          </w:rPr>
          <w:t>GME Resources Limited</w:t>
        </w:r>
      </w:hyperlink>
      <w:r w:rsidRPr="00044E26">
        <w:rPr>
          <w:rFonts w:ascii="Encode Sans" w:eastAsia="Arial" w:hAnsi="Encode Sans" w:cs="Arial"/>
          <w:color w:val="000000"/>
          <w:sz w:val="22"/>
          <w:szCs w:val="22"/>
        </w:rPr>
        <w:t xml:space="preserve"> (“GME” or “the Company”) (ASX: GME) today announced the signing of a non-binding Memorandum of Understanding (“MOU”) for the future sale of quantities of battery grade nickel and cobalt sulphate products from the NiWest Nickel-Cobalt Project in Western Australia (“NiWest”). </w:t>
      </w:r>
    </w:p>
    <w:p w14:paraId="6A2B60C3" w14:textId="5293CAF4" w:rsidR="0011344A" w:rsidRPr="00044E26" w:rsidRDefault="0011344A">
      <w:pPr>
        <w:pBdr>
          <w:top w:val="nil"/>
          <w:left w:val="nil"/>
          <w:bottom w:val="nil"/>
          <w:right w:val="nil"/>
          <w:between w:val="nil"/>
        </w:pBdr>
        <w:jc w:val="left"/>
        <w:rPr>
          <w:rFonts w:ascii="Encode Sans" w:eastAsia="Arial" w:hAnsi="Encode Sans" w:cs="Arial"/>
          <w:color w:val="000000"/>
          <w:sz w:val="22"/>
          <w:szCs w:val="22"/>
        </w:rPr>
      </w:pPr>
      <w:r w:rsidRPr="00044E26">
        <w:rPr>
          <w:rFonts w:ascii="Encode Sans" w:eastAsia="Arial" w:hAnsi="Encode Sans" w:cs="Arial"/>
          <w:color w:val="000000"/>
          <w:sz w:val="22"/>
          <w:szCs w:val="22"/>
        </w:rPr>
        <w:t xml:space="preserve">NiWest is an advanced nickel-cobalt development project and will produce </w:t>
      </w:r>
      <w:r w:rsidR="00E16A57">
        <w:rPr>
          <w:rFonts w:ascii="Encode Sans" w:eastAsia="Arial" w:hAnsi="Encode Sans" w:cs="Arial"/>
          <w:color w:val="000000"/>
          <w:sz w:val="22"/>
          <w:szCs w:val="22"/>
        </w:rPr>
        <w:t xml:space="preserve">approximately </w:t>
      </w:r>
      <w:r w:rsidRPr="00044E26">
        <w:rPr>
          <w:rFonts w:ascii="Encode Sans" w:eastAsia="Arial" w:hAnsi="Encode Sans" w:cs="Arial"/>
          <w:color w:val="000000"/>
          <w:sz w:val="22"/>
          <w:szCs w:val="22"/>
        </w:rPr>
        <w:t>90,000</w:t>
      </w:r>
      <w:r w:rsidR="00044E26">
        <w:rPr>
          <w:rFonts w:ascii="Encode Sans" w:eastAsia="Arial" w:hAnsi="Encode Sans" w:cs="Arial"/>
          <w:color w:val="000000"/>
          <w:sz w:val="22"/>
          <w:szCs w:val="22"/>
        </w:rPr>
        <w:t xml:space="preserve"> </w:t>
      </w:r>
      <w:r w:rsidRPr="00044E26">
        <w:rPr>
          <w:rFonts w:ascii="Encode Sans" w:eastAsia="Arial" w:hAnsi="Encode Sans" w:cs="Arial"/>
          <w:color w:val="000000"/>
          <w:sz w:val="22"/>
          <w:szCs w:val="22"/>
        </w:rPr>
        <w:t>tpa</w:t>
      </w:r>
      <w:r w:rsidR="00044E26">
        <w:rPr>
          <w:rFonts w:ascii="Encode Sans" w:eastAsia="Arial" w:hAnsi="Encode Sans" w:cs="Arial"/>
          <w:color w:val="000000"/>
          <w:sz w:val="22"/>
          <w:szCs w:val="22"/>
        </w:rPr>
        <w:t xml:space="preserve"> (tons per a</w:t>
      </w:r>
      <w:r w:rsidR="00044E26" w:rsidRPr="00FF2E76">
        <w:rPr>
          <w:rFonts w:ascii="Encode Sans" w:eastAsia="Arial" w:hAnsi="Encode Sans" w:cs="Arial"/>
          <w:color w:val="000000"/>
          <w:sz w:val="22"/>
          <w:szCs w:val="22"/>
        </w:rPr>
        <w:t>n</w:t>
      </w:r>
      <w:r w:rsidR="00945F1A" w:rsidRPr="00FF2E76">
        <w:rPr>
          <w:rFonts w:ascii="Encode Sans" w:eastAsia="Arial" w:hAnsi="Encode Sans" w:cs="Arial"/>
          <w:color w:val="000000"/>
          <w:sz w:val="22"/>
          <w:szCs w:val="22"/>
        </w:rPr>
        <w:t>n</w:t>
      </w:r>
      <w:r w:rsidR="00044E26" w:rsidRPr="00FF2E76">
        <w:rPr>
          <w:rFonts w:ascii="Encode Sans" w:eastAsia="Arial" w:hAnsi="Encode Sans" w:cs="Arial"/>
          <w:color w:val="000000"/>
          <w:sz w:val="22"/>
          <w:szCs w:val="22"/>
        </w:rPr>
        <w:t>u</w:t>
      </w:r>
      <w:r w:rsidR="00044E26">
        <w:rPr>
          <w:rFonts w:ascii="Encode Sans" w:eastAsia="Arial" w:hAnsi="Encode Sans" w:cs="Arial"/>
          <w:color w:val="000000"/>
          <w:sz w:val="22"/>
          <w:szCs w:val="22"/>
        </w:rPr>
        <w:t>m)</w:t>
      </w:r>
      <w:r w:rsidRPr="00044E26">
        <w:rPr>
          <w:rFonts w:ascii="Encode Sans" w:eastAsia="Arial" w:hAnsi="Encode Sans" w:cs="Arial"/>
          <w:color w:val="000000"/>
          <w:sz w:val="22"/>
          <w:szCs w:val="22"/>
        </w:rPr>
        <w:t xml:space="preserve"> of battery grade nickel and cobalt sulphate for the burgeoning electric vehicle market. To date, more than AU$30 million has been invested into drilling, metallurgical test work and development studies. A Definitive Feasibility Study for NiWest is due to commence this month. The proposed location of the processing facility for NiWest is within approximately 30 kilometers of </w:t>
      </w:r>
      <w:r w:rsidR="000F7479">
        <w:rPr>
          <w:rFonts w:ascii="Encode Sans" w:eastAsia="Arial" w:hAnsi="Encode Sans" w:cs="Arial"/>
          <w:color w:val="000000"/>
          <w:sz w:val="22"/>
          <w:szCs w:val="22"/>
        </w:rPr>
        <w:t>Glencore</w:t>
      </w:r>
      <w:r w:rsidR="000833E0">
        <w:rPr>
          <w:rFonts w:ascii="Encode Sans" w:eastAsia="Arial" w:hAnsi="Encode Sans" w:cs="Arial"/>
          <w:color w:val="000000"/>
          <w:sz w:val="22"/>
          <w:szCs w:val="22"/>
        </w:rPr>
        <w:t>-</w:t>
      </w:r>
      <w:r w:rsidR="000F7479">
        <w:rPr>
          <w:rFonts w:ascii="Encode Sans" w:eastAsia="Arial" w:hAnsi="Encode Sans" w:cs="Arial"/>
          <w:color w:val="000000"/>
          <w:sz w:val="22"/>
          <w:szCs w:val="22"/>
        </w:rPr>
        <w:t xml:space="preserve">owned </w:t>
      </w:r>
      <w:r w:rsidRPr="00044E26">
        <w:rPr>
          <w:rFonts w:ascii="Encode Sans" w:eastAsia="Arial" w:hAnsi="Encode Sans" w:cs="Arial"/>
          <w:color w:val="000000"/>
          <w:sz w:val="22"/>
          <w:szCs w:val="22"/>
        </w:rPr>
        <w:t>Murrin</w:t>
      </w:r>
      <w:r w:rsidR="00E877EC" w:rsidRPr="00044E26">
        <w:rPr>
          <w:rFonts w:ascii="Encode Sans" w:hAnsi="Encode Sans"/>
        </w:rPr>
        <w:t xml:space="preserve"> </w:t>
      </w:r>
      <w:proofErr w:type="spellStart"/>
      <w:r w:rsidR="00E877EC" w:rsidRPr="00044E26">
        <w:rPr>
          <w:rFonts w:ascii="Encode Sans" w:eastAsia="Arial" w:hAnsi="Encode Sans" w:cs="Arial"/>
          <w:color w:val="000000"/>
          <w:sz w:val="22"/>
          <w:szCs w:val="22"/>
        </w:rPr>
        <w:t>Murrin</w:t>
      </w:r>
      <w:proofErr w:type="spellEnd"/>
      <w:r w:rsidRPr="00044E26">
        <w:rPr>
          <w:rFonts w:ascii="Encode Sans" w:eastAsia="Arial" w:hAnsi="Encode Sans" w:cs="Arial"/>
          <w:color w:val="000000"/>
          <w:sz w:val="22"/>
          <w:szCs w:val="22"/>
        </w:rPr>
        <w:t xml:space="preserve"> operation, the largest nickel-cobalt operation in Australia</w:t>
      </w:r>
      <w:r w:rsidR="00E877EC" w:rsidRPr="00044E26">
        <w:rPr>
          <w:rFonts w:ascii="Encode Sans" w:eastAsia="Arial" w:hAnsi="Encode Sans" w:cs="Arial"/>
          <w:color w:val="000000"/>
          <w:sz w:val="22"/>
          <w:szCs w:val="22"/>
        </w:rPr>
        <w:t>.</w:t>
      </w:r>
    </w:p>
    <w:p w14:paraId="6E6180BA" w14:textId="0ADDD314" w:rsidR="00D90200" w:rsidRPr="00044E26" w:rsidRDefault="00DB7F49">
      <w:pPr>
        <w:pBdr>
          <w:top w:val="nil"/>
          <w:left w:val="nil"/>
          <w:bottom w:val="nil"/>
          <w:right w:val="nil"/>
          <w:between w:val="nil"/>
        </w:pBdr>
        <w:jc w:val="left"/>
        <w:rPr>
          <w:rFonts w:ascii="Encode Sans" w:eastAsia="Arial" w:hAnsi="Encode Sans" w:cs="Arial"/>
          <w:color w:val="000000"/>
          <w:sz w:val="22"/>
          <w:szCs w:val="22"/>
        </w:rPr>
      </w:pPr>
      <w:r w:rsidRPr="00044E26">
        <w:rPr>
          <w:rFonts w:ascii="Encode Sans" w:eastAsia="Arial" w:hAnsi="Encode Sans" w:cs="Arial"/>
          <w:color w:val="000000"/>
          <w:sz w:val="22"/>
          <w:szCs w:val="22"/>
        </w:rPr>
        <w:t>“</w:t>
      </w:r>
      <w:r w:rsidR="00990BE3" w:rsidRPr="00044E26">
        <w:rPr>
          <w:rFonts w:ascii="Encode Sans" w:eastAsia="Arial" w:hAnsi="Encode Sans" w:cs="Arial"/>
          <w:color w:val="000000"/>
          <w:sz w:val="22"/>
          <w:szCs w:val="22"/>
        </w:rPr>
        <w:t xml:space="preserve">Every day, Stellantis is working to provide </w:t>
      </w:r>
      <w:r w:rsidR="00854923">
        <w:rPr>
          <w:rFonts w:ascii="Encode Sans" w:eastAsia="Arial" w:hAnsi="Encode Sans" w:cs="Arial"/>
          <w:color w:val="000000"/>
          <w:sz w:val="22"/>
          <w:szCs w:val="22"/>
        </w:rPr>
        <w:t>our</w:t>
      </w:r>
      <w:r w:rsidR="00854923" w:rsidRPr="00044E26">
        <w:rPr>
          <w:rFonts w:ascii="Encode Sans" w:eastAsia="Arial" w:hAnsi="Encode Sans" w:cs="Arial"/>
          <w:color w:val="000000"/>
          <w:sz w:val="22"/>
          <w:szCs w:val="22"/>
        </w:rPr>
        <w:t xml:space="preserve"> </w:t>
      </w:r>
      <w:r w:rsidR="00990BE3" w:rsidRPr="00044E26">
        <w:rPr>
          <w:rFonts w:ascii="Encode Sans" w:eastAsia="Arial" w:hAnsi="Encode Sans" w:cs="Arial"/>
          <w:color w:val="000000"/>
          <w:sz w:val="22"/>
          <w:szCs w:val="22"/>
        </w:rPr>
        <w:t xml:space="preserve">customers clean, safe affordable, cutting-edge freedom of mobility,” said Maxime Picat, Stellantis Chief Purchasing and Supply Chain Officer. “Securing </w:t>
      </w:r>
      <w:r w:rsidR="004E3DDE" w:rsidRPr="00044E26">
        <w:rPr>
          <w:rFonts w:ascii="Encode Sans" w:eastAsia="Arial" w:hAnsi="Encode Sans" w:cs="Arial"/>
          <w:color w:val="000000"/>
          <w:sz w:val="22"/>
          <w:szCs w:val="22"/>
        </w:rPr>
        <w:t>the</w:t>
      </w:r>
      <w:r w:rsidR="009A5024" w:rsidRPr="00044E26">
        <w:rPr>
          <w:rFonts w:ascii="Encode Sans" w:eastAsia="Arial" w:hAnsi="Encode Sans" w:cs="Arial"/>
          <w:color w:val="000000"/>
          <w:sz w:val="22"/>
          <w:szCs w:val="22"/>
        </w:rPr>
        <w:t xml:space="preserve"> </w:t>
      </w:r>
      <w:r w:rsidR="00A10846" w:rsidRPr="00044E26">
        <w:rPr>
          <w:rFonts w:ascii="Encode Sans" w:eastAsia="Arial" w:hAnsi="Encode Sans" w:cs="Arial"/>
          <w:color w:val="000000"/>
          <w:sz w:val="22"/>
          <w:szCs w:val="22"/>
        </w:rPr>
        <w:t>raw material</w:t>
      </w:r>
      <w:r w:rsidR="009A5024" w:rsidRPr="00044E26">
        <w:rPr>
          <w:rFonts w:ascii="Encode Sans" w:eastAsia="Arial" w:hAnsi="Encode Sans" w:cs="Arial"/>
          <w:color w:val="000000"/>
          <w:sz w:val="22"/>
          <w:szCs w:val="22"/>
        </w:rPr>
        <w:t xml:space="preserve"> sources</w:t>
      </w:r>
      <w:r w:rsidR="004E3DDE" w:rsidRPr="00044E26">
        <w:rPr>
          <w:rFonts w:ascii="Encode Sans" w:eastAsia="Arial" w:hAnsi="Encode Sans" w:cs="Arial"/>
          <w:color w:val="000000"/>
          <w:sz w:val="22"/>
          <w:szCs w:val="22"/>
        </w:rPr>
        <w:t xml:space="preserve"> and battery supply </w:t>
      </w:r>
      <w:r w:rsidR="00525726" w:rsidRPr="00044E26">
        <w:rPr>
          <w:rFonts w:ascii="Encode Sans" w:eastAsia="Arial" w:hAnsi="Encode Sans" w:cs="Arial"/>
          <w:color w:val="000000"/>
          <w:sz w:val="22"/>
          <w:szCs w:val="22"/>
        </w:rPr>
        <w:t xml:space="preserve">will </w:t>
      </w:r>
      <w:r w:rsidR="009A5024" w:rsidRPr="00044E26">
        <w:rPr>
          <w:rFonts w:ascii="Encode Sans" w:eastAsia="Arial" w:hAnsi="Encode Sans" w:cs="Arial"/>
          <w:color w:val="000000"/>
          <w:sz w:val="22"/>
          <w:szCs w:val="22"/>
        </w:rPr>
        <w:t xml:space="preserve">strengthen </w:t>
      </w:r>
      <w:r w:rsidR="004E3DDE" w:rsidRPr="00044E26">
        <w:rPr>
          <w:rFonts w:ascii="Encode Sans" w:eastAsia="Arial" w:hAnsi="Encode Sans" w:cs="Arial"/>
          <w:color w:val="000000"/>
          <w:sz w:val="22"/>
          <w:szCs w:val="22"/>
        </w:rPr>
        <w:t xml:space="preserve">Stellantis’ </w:t>
      </w:r>
      <w:r w:rsidR="00A10846" w:rsidRPr="00044E26">
        <w:rPr>
          <w:rFonts w:ascii="Encode Sans" w:eastAsia="Arial" w:hAnsi="Encode Sans" w:cs="Arial"/>
          <w:color w:val="000000"/>
          <w:sz w:val="22"/>
          <w:szCs w:val="22"/>
        </w:rPr>
        <w:t xml:space="preserve">value </w:t>
      </w:r>
      <w:r w:rsidR="00C202F5" w:rsidRPr="00044E26">
        <w:rPr>
          <w:rFonts w:ascii="Encode Sans" w:eastAsia="Arial" w:hAnsi="Encode Sans" w:cs="Arial"/>
          <w:color w:val="000000"/>
          <w:sz w:val="22"/>
          <w:szCs w:val="22"/>
        </w:rPr>
        <w:t>chain for</w:t>
      </w:r>
      <w:r w:rsidR="00A10846" w:rsidRPr="00044E26">
        <w:rPr>
          <w:rFonts w:ascii="Encode Sans" w:eastAsia="Arial" w:hAnsi="Encode Sans" w:cs="Arial"/>
          <w:color w:val="000000"/>
          <w:sz w:val="22"/>
          <w:szCs w:val="22"/>
        </w:rPr>
        <w:t xml:space="preserve"> </w:t>
      </w:r>
      <w:r w:rsidR="00525726" w:rsidRPr="00044E26">
        <w:rPr>
          <w:rFonts w:ascii="Encode Sans" w:eastAsia="Arial" w:hAnsi="Encode Sans" w:cs="Arial"/>
          <w:color w:val="000000"/>
          <w:sz w:val="22"/>
          <w:szCs w:val="22"/>
        </w:rPr>
        <w:t>electric vehicle battery production</w:t>
      </w:r>
      <w:r w:rsidR="00990BE3" w:rsidRPr="00044E26">
        <w:rPr>
          <w:rFonts w:ascii="Encode Sans" w:eastAsia="Arial" w:hAnsi="Encode Sans" w:cs="Arial"/>
          <w:color w:val="000000"/>
          <w:sz w:val="22"/>
          <w:szCs w:val="22"/>
        </w:rPr>
        <w:t xml:space="preserve"> and equally important, help the Company achieve its aggressive decarbonization target.”</w:t>
      </w:r>
    </w:p>
    <w:p w14:paraId="062597E8" w14:textId="77777777" w:rsidR="00044E26" w:rsidRPr="00044E26" w:rsidRDefault="00044E26" w:rsidP="00044E26">
      <w:pPr>
        <w:pBdr>
          <w:top w:val="nil"/>
          <w:left w:val="nil"/>
          <w:bottom w:val="nil"/>
          <w:right w:val="nil"/>
          <w:between w:val="nil"/>
        </w:pBdr>
        <w:jc w:val="left"/>
        <w:rPr>
          <w:rFonts w:ascii="Encode Sans" w:eastAsia="Arial" w:hAnsi="Encode Sans" w:cs="Arial"/>
          <w:color w:val="000000"/>
          <w:sz w:val="22"/>
          <w:szCs w:val="22"/>
        </w:rPr>
      </w:pPr>
      <w:r w:rsidRPr="00044E26">
        <w:rPr>
          <w:rFonts w:ascii="Encode Sans" w:eastAsia="Arial" w:hAnsi="Encode Sans" w:cs="Arial"/>
          <w:color w:val="000000"/>
          <w:sz w:val="22"/>
          <w:szCs w:val="22"/>
        </w:rPr>
        <w:t xml:space="preserve">As part of the </w:t>
      </w:r>
      <w:hyperlink r:id="rId13" w:history="1">
        <w:r w:rsidRPr="00044E26">
          <w:rPr>
            <w:rStyle w:val="Hyperlink"/>
            <w:rFonts w:ascii="Encode Sans" w:eastAsia="Arial" w:hAnsi="Encode Sans" w:cs="Arial"/>
            <w:sz w:val="22"/>
            <w:szCs w:val="22"/>
            <w:u w:val="single"/>
          </w:rPr>
          <w:t>Dare Forward 2030</w:t>
        </w:r>
      </w:hyperlink>
      <w:r w:rsidRPr="00044E26">
        <w:rPr>
          <w:rFonts w:ascii="Encode Sans" w:eastAsia="Arial" w:hAnsi="Encode Sans" w:cs="Arial"/>
          <w:color w:val="000000"/>
          <w:sz w:val="22"/>
          <w:szCs w:val="22"/>
        </w:rPr>
        <w:t xml:space="preserve"> strategic plan, Stellantis announced plans of reaching 100% of passenger car battery electric vehicle (BEV) sales mix in Europe and 50% passenger car and light-duty truck BEV sales mix in the United States by 2030. Stellantis will be the industry champion in climate change mitigation, becoming carbon net zero by 2038, with a 50% reduction by 2030. </w:t>
      </w:r>
    </w:p>
    <w:p w14:paraId="601CE645" w14:textId="70A81400" w:rsidR="00E877EC" w:rsidRPr="00044E26" w:rsidRDefault="00E877EC" w:rsidP="00E877EC">
      <w:pPr>
        <w:spacing w:after="0"/>
        <w:rPr>
          <w:rFonts w:ascii="Encode Sans" w:eastAsia="Times New Roman" w:hAnsi="Encode Sans" w:cs="Times New Roman"/>
          <w:sz w:val="22"/>
          <w:szCs w:val="22"/>
          <w:lang w:val="en-AU"/>
        </w:rPr>
      </w:pPr>
      <w:r w:rsidRPr="00044E26">
        <w:rPr>
          <w:rFonts w:ascii="Encode Sans" w:eastAsia="Times New Roman" w:hAnsi="Encode Sans" w:cs="Times New Roman"/>
          <w:sz w:val="22"/>
          <w:szCs w:val="22"/>
          <w:lang w:val="en-AU"/>
        </w:rPr>
        <w:t>“Stellantis is a partner of the highest caliber and GME is delighted to have signed this MOU in what we hope is the first step in a long-term partnership,” said GME Managing Director, Paul Kopejtka. “We’re very pleased with how our discussions have progressed and we now look forward to progressing more detailed negotiations in parallel with the start of the Definitive Feasibility Study for the NiWest Nickel-Cobalt Project. A Definitive Agreement with Stellantis would be a critical step in being able to progress the NiWest Project through to commercial operations.”</w:t>
      </w:r>
    </w:p>
    <w:p w14:paraId="6228D159" w14:textId="77777777" w:rsidR="00C202F5" w:rsidRPr="00044E26" w:rsidRDefault="00C202F5" w:rsidP="00C202F5">
      <w:pPr>
        <w:pBdr>
          <w:top w:val="nil"/>
          <w:left w:val="nil"/>
          <w:bottom w:val="nil"/>
          <w:right w:val="nil"/>
          <w:between w:val="nil"/>
        </w:pBdr>
        <w:spacing w:after="0"/>
        <w:jc w:val="left"/>
        <w:rPr>
          <w:rFonts w:ascii="Encode Sans" w:eastAsia="Arial" w:hAnsi="Encode Sans" w:cs="Arial"/>
          <w:sz w:val="22"/>
          <w:szCs w:val="22"/>
          <w:lang w:val="en-AU"/>
        </w:rPr>
      </w:pPr>
    </w:p>
    <w:p w14:paraId="48503932" w14:textId="6D933FAB" w:rsidR="00C818B8" w:rsidRPr="00044E26" w:rsidRDefault="00C818B8" w:rsidP="00172B2C">
      <w:pPr>
        <w:pBdr>
          <w:top w:val="nil"/>
          <w:left w:val="nil"/>
          <w:bottom w:val="nil"/>
          <w:right w:val="nil"/>
          <w:between w:val="nil"/>
        </w:pBdr>
        <w:jc w:val="left"/>
        <w:rPr>
          <w:rFonts w:ascii="Encode Sans" w:eastAsia="Arial" w:hAnsi="Encode Sans" w:cs="Arial"/>
          <w:sz w:val="22"/>
          <w:szCs w:val="22"/>
        </w:rPr>
      </w:pPr>
      <w:r w:rsidRPr="00044E26">
        <w:rPr>
          <w:rFonts w:ascii="Encode Sans" w:eastAsia="Arial" w:hAnsi="Encode Sans" w:cs="Arial"/>
          <w:sz w:val="22"/>
          <w:szCs w:val="22"/>
        </w:rPr>
        <w:t xml:space="preserve">Stellantis </w:t>
      </w:r>
      <w:r w:rsidR="00C566C4" w:rsidRPr="00044E26">
        <w:rPr>
          <w:rFonts w:ascii="Encode Sans" w:eastAsia="Arial" w:hAnsi="Encode Sans" w:cs="Arial"/>
          <w:sz w:val="22"/>
          <w:szCs w:val="22"/>
        </w:rPr>
        <w:t xml:space="preserve">strengthened its supply of low-carbon lithium hydroxide earlier this year,  signing agreements with </w:t>
      </w:r>
      <w:hyperlink r:id="rId14" w:history="1">
        <w:r w:rsidR="00C566C4" w:rsidRPr="00044E26">
          <w:rPr>
            <w:rStyle w:val="Hyperlink"/>
            <w:rFonts w:ascii="Encode Sans" w:eastAsia="Arial" w:hAnsi="Encode Sans" w:cs="Arial"/>
            <w:sz w:val="22"/>
            <w:szCs w:val="22"/>
            <w:u w:val="single"/>
          </w:rPr>
          <w:t>Vulcan Energy</w:t>
        </w:r>
      </w:hyperlink>
      <w:r w:rsidR="00C566C4" w:rsidRPr="00044E26">
        <w:rPr>
          <w:rFonts w:ascii="Encode Sans" w:eastAsia="Arial" w:hAnsi="Encode Sans" w:cs="Arial"/>
          <w:sz w:val="22"/>
          <w:szCs w:val="22"/>
        </w:rPr>
        <w:t xml:space="preserve"> and </w:t>
      </w:r>
      <w:hyperlink r:id="rId15" w:history="1">
        <w:r w:rsidR="00C566C4" w:rsidRPr="00044E26">
          <w:rPr>
            <w:rStyle w:val="Hyperlink"/>
            <w:rFonts w:ascii="Encode Sans" w:eastAsia="Arial" w:hAnsi="Encode Sans" w:cs="Arial"/>
            <w:sz w:val="22"/>
            <w:szCs w:val="22"/>
            <w:u w:val="single"/>
          </w:rPr>
          <w:t>Controlled Thermal Resources</w:t>
        </w:r>
      </w:hyperlink>
      <w:r w:rsidR="00C566C4" w:rsidRPr="00044E26">
        <w:rPr>
          <w:rFonts w:ascii="Encode Sans" w:eastAsia="Arial" w:hAnsi="Encode Sans" w:cs="Arial"/>
          <w:sz w:val="22"/>
          <w:szCs w:val="22"/>
        </w:rPr>
        <w:t xml:space="preserve"> </w:t>
      </w:r>
      <w:r w:rsidR="00044E26">
        <w:rPr>
          <w:rFonts w:ascii="Encode Sans" w:eastAsia="Arial" w:hAnsi="Encode Sans" w:cs="Arial"/>
          <w:sz w:val="22"/>
          <w:szCs w:val="22"/>
        </w:rPr>
        <w:t>for</w:t>
      </w:r>
      <w:r w:rsidR="00C566C4" w:rsidRPr="00044E26">
        <w:rPr>
          <w:rFonts w:ascii="Encode Sans" w:eastAsia="Arial" w:hAnsi="Encode Sans" w:cs="Arial"/>
          <w:sz w:val="22"/>
          <w:szCs w:val="22"/>
        </w:rPr>
        <w:t xml:space="preserve"> Europe and North America, respectively. </w:t>
      </w:r>
    </w:p>
    <w:p w14:paraId="6F62FFB6" w14:textId="7158B873" w:rsidR="00DA44D2" w:rsidRPr="00044E26" w:rsidRDefault="00DA44D2" w:rsidP="00172B2C">
      <w:pPr>
        <w:pBdr>
          <w:top w:val="nil"/>
          <w:left w:val="nil"/>
          <w:bottom w:val="nil"/>
          <w:right w:val="nil"/>
          <w:between w:val="nil"/>
        </w:pBdr>
        <w:jc w:val="left"/>
        <w:rPr>
          <w:rFonts w:ascii="Encode Sans" w:eastAsia="Arial" w:hAnsi="Encode Sans" w:cs="Arial"/>
          <w:color w:val="000000"/>
          <w:sz w:val="22"/>
          <w:szCs w:val="22"/>
        </w:rPr>
      </w:pPr>
      <w:bookmarkStart w:id="0" w:name="_Hlk115941098"/>
      <w:r w:rsidRPr="00044E26">
        <w:rPr>
          <w:rFonts w:ascii="Encode Sans" w:eastAsia="Arial" w:hAnsi="Encode Sans" w:cs="Arial"/>
          <w:sz w:val="22"/>
          <w:szCs w:val="22"/>
        </w:rPr>
        <w:t xml:space="preserve">The closing </w:t>
      </w:r>
      <w:r w:rsidR="00C566C4" w:rsidRPr="00044E26">
        <w:rPr>
          <w:rFonts w:ascii="Encode Sans" w:eastAsia="Arial" w:hAnsi="Encode Sans" w:cs="Arial"/>
          <w:sz w:val="22"/>
          <w:szCs w:val="22"/>
        </w:rPr>
        <w:t xml:space="preserve">of the non-binding MOU </w:t>
      </w:r>
      <w:r w:rsidRPr="00044E26">
        <w:rPr>
          <w:rFonts w:ascii="Encode Sans" w:eastAsia="Arial" w:hAnsi="Encode Sans" w:cs="Arial"/>
          <w:sz w:val="22"/>
          <w:szCs w:val="22"/>
        </w:rPr>
        <w:t>is subject to customary closing conditions, including regulatory approvals</w:t>
      </w:r>
      <w:r w:rsidR="00C566C4" w:rsidRPr="00044E26">
        <w:rPr>
          <w:rFonts w:ascii="Encode Sans" w:eastAsia="Arial" w:hAnsi="Encode Sans" w:cs="Arial"/>
          <w:sz w:val="22"/>
          <w:szCs w:val="22"/>
        </w:rPr>
        <w:t>.</w:t>
      </w:r>
      <w:r w:rsidR="00A70AB9">
        <w:rPr>
          <w:rFonts w:ascii="Encode Sans" w:eastAsia="Arial" w:hAnsi="Encode Sans" w:cs="Arial"/>
          <w:sz w:val="22"/>
          <w:szCs w:val="22"/>
        </w:rPr>
        <w:t xml:space="preserve"> </w:t>
      </w:r>
    </w:p>
    <w:bookmarkEnd w:id="0"/>
    <w:p w14:paraId="2E5CA74B" w14:textId="7BECE320" w:rsidR="007F0624" w:rsidRPr="00044E26" w:rsidRDefault="007F0624" w:rsidP="007F0624">
      <w:pPr>
        <w:jc w:val="center"/>
        <w:rPr>
          <w:rFonts w:ascii="Encode Sans" w:eastAsia="Encode Sans" w:hAnsi="Encode Sans" w:cs="Arial"/>
          <w:sz w:val="22"/>
          <w:szCs w:val="22"/>
        </w:rPr>
      </w:pPr>
      <w:r w:rsidRPr="00044E26">
        <w:rPr>
          <w:rFonts w:ascii="Encode Sans" w:eastAsia="Encode Sans" w:hAnsi="Encode Sans" w:cs="Arial"/>
          <w:sz w:val="22"/>
          <w:szCs w:val="22"/>
        </w:rPr>
        <w:t># # #</w:t>
      </w:r>
    </w:p>
    <w:p w14:paraId="15F7AD6E" w14:textId="77777777" w:rsidR="007A1CD0" w:rsidRDefault="007A1CD0" w:rsidP="00E653B0">
      <w:pPr>
        <w:spacing w:after="0"/>
        <w:rPr>
          <w:rFonts w:ascii="Encode Sans" w:eastAsia="Times New Roman" w:hAnsi="Encode Sans" w:cs="Arial"/>
          <w:b/>
          <w:bCs/>
          <w:sz w:val="22"/>
          <w:szCs w:val="22"/>
        </w:rPr>
      </w:pPr>
      <w:bookmarkStart w:id="1" w:name="_Hlk106354158"/>
    </w:p>
    <w:p w14:paraId="46D4EF33" w14:textId="7C2E441B" w:rsidR="00211BDA" w:rsidRPr="00044E26" w:rsidRDefault="00211BDA" w:rsidP="00E653B0">
      <w:pPr>
        <w:spacing w:after="0"/>
        <w:rPr>
          <w:rFonts w:ascii="Encode Sans" w:eastAsia="Times New Roman" w:hAnsi="Encode Sans" w:cs="Arial"/>
          <w:b/>
          <w:bCs/>
          <w:sz w:val="22"/>
          <w:szCs w:val="22"/>
        </w:rPr>
      </w:pPr>
      <w:r w:rsidRPr="00044E26">
        <w:rPr>
          <w:rFonts w:ascii="Encode Sans" w:eastAsia="Times New Roman" w:hAnsi="Encode Sans" w:cs="Arial"/>
          <w:b/>
          <w:bCs/>
          <w:sz w:val="22"/>
          <w:szCs w:val="22"/>
        </w:rPr>
        <w:t>About Stellantis</w:t>
      </w:r>
    </w:p>
    <w:p w14:paraId="71E955B6" w14:textId="77777777" w:rsidR="00211BDA" w:rsidRPr="00B07E73" w:rsidRDefault="00211BDA">
      <w:pPr>
        <w:spacing w:after="0"/>
        <w:rPr>
          <w:rFonts w:ascii="Encode Sans" w:eastAsia="Times New Roman" w:hAnsi="Encode Sans" w:cs="Arial"/>
          <w:i/>
          <w:iCs/>
          <w:sz w:val="22"/>
          <w:szCs w:val="22"/>
        </w:rPr>
      </w:pPr>
      <w:bookmarkStart w:id="2" w:name="_Hlk104023212"/>
      <w:r w:rsidRPr="00B07E73">
        <w:rPr>
          <w:rFonts w:ascii="Encode Sans" w:eastAsia="Times New Roman" w:hAnsi="Encode Sans" w:cs="Arial"/>
          <w:i/>
          <w:iCs/>
          <w:sz w:val="22"/>
          <w:szCs w:val="22"/>
        </w:rPr>
        <w:t>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2"/>
    </w:p>
    <w:bookmarkEnd w:id="1"/>
    <w:p w14:paraId="4B1252EB" w14:textId="466624CF" w:rsidR="009D782E" w:rsidRPr="00044E26" w:rsidRDefault="009D782E">
      <w:pPr>
        <w:pBdr>
          <w:top w:val="nil"/>
          <w:left w:val="nil"/>
          <w:bottom w:val="nil"/>
          <w:right w:val="nil"/>
          <w:between w:val="nil"/>
        </w:pBdr>
        <w:spacing w:after="0"/>
        <w:jc w:val="left"/>
        <w:rPr>
          <w:rFonts w:ascii="Encode Sans" w:eastAsia="Arial" w:hAnsi="Encode Sans" w:cs="Arial"/>
          <w:iCs/>
          <w:color w:val="000000"/>
          <w:sz w:val="22"/>
          <w:szCs w:val="22"/>
        </w:rPr>
      </w:pPr>
    </w:p>
    <w:p w14:paraId="63216D44" w14:textId="77777777" w:rsidR="00DF0988" w:rsidRPr="00044E26" w:rsidRDefault="00DF0988" w:rsidP="00DF0988">
      <w:pPr>
        <w:spacing w:after="0"/>
        <w:jc w:val="left"/>
        <w:rPr>
          <w:rFonts w:ascii="Encode Sans" w:eastAsia="Times New Roman" w:hAnsi="Encode Sans" w:cs="Times New Roman"/>
          <w:sz w:val="22"/>
          <w:szCs w:val="22"/>
          <w:lang w:val="en-AU"/>
        </w:rPr>
      </w:pPr>
      <w:r w:rsidRPr="00044E26">
        <w:rPr>
          <w:rFonts w:ascii="Encode Sans" w:eastAsia="Times New Roman" w:hAnsi="Encode Sans" w:cs="Times New Roman"/>
          <w:b/>
          <w:bCs/>
          <w:sz w:val="22"/>
          <w:szCs w:val="22"/>
          <w:lang w:val="en-AU"/>
        </w:rPr>
        <w:t>About GME Resources Limited:</w:t>
      </w:r>
    </w:p>
    <w:p w14:paraId="18F40407" w14:textId="4CA041F4" w:rsidR="00DF0988" w:rsidRPr="00B07E73" w:rsidRDefault="00DF0988" w:rsidP="00B07E73">
      <w:pPr>
        <w:spacing w:after="0"/>
        <w:rPr>
          <w:rFonts w:ascii="Encode Sans" w:eastAsia="Arial" w:hAnsi="Encode Sans" w:cs="Arial"/>
          <w:i/>
          <w:iCs/>
          <w:color w:val="000000"/>
          <w:sz w:val="22"/>
          <w:szCs w:val="22"/>
          <w:lang w:val="en-AU"/>
        </w:rPr>
      </w:pPr>
      <w:r w:rsidRPr="00B07E73">
        <w:rPr>
          <w:rFonts w:ascii="Encode Sans" w:eastAsia="Times New Roman" w:hAnsi="Encode Sans" w:cs="Times New Roman"/>
          <w:i/>
          <w:iCs/>
          <w:sz w:val="22"/>
          <w:szCs w:val="22"/>
          <w:lang w:val="en-AU"/>
        </w:rPr>
        <w:t xml:space="preserve">GME Resources Limited is an ASX-listed exploration and development company with nickel, </w:t>
      </w:r>
      <w:proofErr w:type="gramStart"/>
      <w:r w:rsidRPr="00B07E73">
        <w:rPr>
          <w:rFonts w:ascii="Encode Sans" w:eastAsia="Times New Roman" w:hAnsi="Encode Sans" w:cs="Times New Roman"/>
          <w:i/>
          <w:iCs/>
          <w:sz w:val="22"/>
          <w:szCs w:val="22"/>
          <w:lang w:val="en-AU"/>
        </w:rPr>
        <w:t>cobalt</w:t>
      </w:r>
      <w:proofErr w:type="gramEnd"/>
      <w:r w:rsidRPr="00B07E73">
        <w:rPr>
          <w:rFonts w:ascii="Encode Sans" w:eastAsia="Times New Roman" w:hAnsi="Encode Sans" w:cs="Times New Roman"/>
          <w:i/>
          <w:iCs/>
          <w:sz w:val="22"/>
          <w:szCs w:val="22"/>
          <w:lang w:val="en-AU"/>
        </w:rPr>
        <w:t xml:space="preserve"> and gold interests in Western Australia. GME’s principal asset is its 100% owned NiWest Nickel Cobalt Project situated adjacent to Glencore’s Murrin Murrin Operations. The Company has completed a Pre-Feasibility Study which has confirmed the technical and economic viability of a heap leach and direct solvent extraction operation at one of the largest and </w:t>
      </w:r>
      <w:proofErr w:type="gramStart"/>
      <w:r w:rsidRPr="00B07E73">
        <w:rPr>
          <w:rFonts w:ascii="Encode Sans" w:eastAsia="Times New Roman" w:hAnsi="Encode Sans" w:cs="Times New Roman"/>
          <w:i/>
          <w:iCs/>
          <w:sz w:val="22"/>
          <w:szCs w:val="22"/>
          <w:lang w:val="en-AU"/>
        </w:rPr>
        <w:t>highest</w:t>
      </w:r>
      <w:r w:rsidR="00C202F5" w:rsidRPr="00B07E73">
        <w:rPr>
          <w:rFonts w:ascii="Encode Sans" w:eastAsia="Times New Roman" w:hAnsi="Encode Sans" w:cs="Times New Roman"/>
          <w:i/>
          <w:iCs/>
          <w:sz w:val="22"/>
          <w:szCs w:val="22"/>
          <w:lang w:val="en-AU"/>
        </w:rPr>
        <w:t xml:space="preserve"> </w:t>
      </w:r>
      <w:r w:rsidRPr="00B07E73">
        <w:rPr>
          <w:rFonts w:ascii="Encode Sans" w:eastAsia="Times New Roman" w:hAnsi="Encode Sans" w:cs="Times New Roman"/>
          <w:i/>
          <w:iCs/>
          <w:sz w:val="22"/>
          <w:szCs w:val="22"/>
          <w:lang w:val="en-AU"/>
        </w:rPr>
        <w:t>grade</w:t>
      </w:r>
      <w:proofErr w:type="gramEnd"/>
      <w:r w:rsidRPr="00B07E73">
        <w:rPr>
          <w:rFonts w:ascii="Encode Sans" w:eastAsia="Times New Roman" w:hAnsi="Encode Sans" w:cs="Times New Roman"/>
          <w:i/>
          <w:iCs/>
          <w:sz w:val="22"/>
          <w:szCs w:val="22"/>
          <w:lang w:val="en-AU"/>
        </w:rPr>
        <w:t xml:space="preserve"> undeveloped nickel/cobalt deposits in Australia. Further information is available on GME’s website:</w:t>
      </w:r>
      <w:r w:rsidRPr="00B07E73">
        <w:rPr>
          <w:rFonts w:ascii="Encode Sans" w:eastAsia="Times New Roman" w:hAnsi="Encode Sans" w:cs="Arial"/>
          <w:i/>
          <w:iCs/>
          <w:sz w:val="22"/>
          <w:szCs w:val="22"/>
          <w:lang w:val="en-AU"/>
        </w:rPr>
        <w:t xml:space="preserve"> </w:t>
      </w:r>
      <w:hyperlink r:id="rId16" w:history="1">
        <w:r w:rsidRPr="00B07E73">
          <w:rPr>
            <w:rFonts w:ascii="Encode Sans" w:eastAsia="Times New Roman" w:hAnsi="Encode Sans" w:cs="Arial"/>
            <w:i/>
            <w:iCs/>
            <w:color w:val="0000FF"/>
            <w:sz w:val="22"/>
            <w:szCs w:val="22"/>
            <w:u w:val="single"/>
            <w:lang w:val="en-AU"/>
          </w:rPr>
          <w:t>www.gmeresources.com.au</w:t>
        </w:r>
      </w:hyperlink>
    </w:p>
    <w:p w14:paraId="295F216C" w14:textId="77777777" w:rsidR="00DF61C4" w:rsidRPr="00044E26" w:rsidRDefault="00DF61C4">
      <w:pPr>
        <w:spacing w:after="0"/>
        <w:jc w:val="left"/>
        <w:rPr>
          <w:rFonts w:ascii="Encode Sans" w:hAnsi="Encode Sans"/>
          <w:b/>
          <w:i/>
          <w:sz w:val="22"/>
          <w:szCs w:val="22"/>
        </w:rPr>
      </w:pPr>
      <w:bookmarkStart w:id="3" w:name="_heading=h.gjdgxs" w:colFirst="0" w:colLast="0"/>
      <w:bookmarkEnd w:id="3"/>
    </w:p>
    <w:p w14:paraId="09667F5E" w14:textId="77777777" w:rsidR="00211BDA" w:rsidRPr="00044E26" w:rsidRDefault="00211BDA" w:rsidP="00211BDA">
      <w:pPr>
        <w:spacing w:after="0"/>
        <w:rPr>
          <w:rFonts w:ascii="Encode Sans" w:eastAsia="Arial" w:hAnsi="Encode Sans" w:cs="Arial"/>
          <w:b/>
          <w:sz w:val="22"/>
          <w:szCs w:val="22"/>
          <w:lang w:val="fr-FR"/>
        </w:rPr>
      </w:pPr>
      <w:r w:rsidRPr="00044E26">
        <w:rPr>
          <w:rFonts w:ascii="Encode Sans" w:eastAsia="Arial" w:hAnsi="Encode Sans" w:cs="Arial"/>
          <w:b/>
          <w:sz w:val="22"/>
          <w:szCs w:val="22"/>
          <w:lang w:val="fr-FR"/>
        </w:rPr>
        <w:t>Contacts:</w:t>
      </w:r>
    </w:p>
    <w:p w14:paraId="3C30E1AF" w14:textId="77777777" w:rsidR="00211BDA" w:rsidRPr="00044E26" w:rsidRDefault="00211BDA" w:rsidP="00211BDA">
      <w:pPr>
        <w:spacing w:after="0"/>
        <w:rPr>
          <w:rFonts w:ascii="Encode Sans" w:eastAsiaTheme="minorEastAsia" w:hAnsi="Encode Sans" w:cs="Arial"/>
          <w:sz w:val="22"/>
          <w:szCs w:val="22"/>
          <w:lang w:val="fr-FR"/>
        </w:rPr>
      </w:pPr>
    </w:p>
    <w:p w14:paraId="7ED2C733" w14:textId="77777777" w:rsidR="00211BDA" w:rsidRPr="00044E26" w:rsidRDefault="00211BDA" w:rsidP="00211BDA">
      <w:pPr>
        <w:spacing w:after="0"/>
        <w:rPr>
          <w:rFonts w:ascii="Encode Sans" w:hAnsi="Encode Sans" w:cs="Arial"/>
          <w:b/>
          <w:bCs/>
          <w:sz w:val="22"/>
          <w:szCs w:val="22"/>
          <w:lang w:val="fr-FR"/>
        </w:rPr>
      </w:pPr>
      <w:bookmarkStart w:id="4" w:name="_Hlk115941120"/>
      <w:r w:rsidRPr="00044E26">
        <w:rPr>
          <w:rFonts w:ascii="Encode Sans" w:hAnsi="Encode Sans" w:cs="Arial"/>
          <w:b/>
          <w:bCs/>
          <w:sz w:val="22"/>
          <w:szCs w:val="22"/>
          <w:lang w:val="fr-FR"/>
        </w:rPr>
        <w:t>Stellantis</w:t>
      </w:r>
    </w:p>
    <w:p w14:paraId="7730F5DF" w14:textId="77777777" w:rsidR="00211BDA" w:rsidRPr="00044E26" w:rsidRDefault="00211BDA" w:rsidP="00211BDA">
      <w:pPr>
        <w:spacing w:after="0"/>
        <w:rPr>
          <w:rFonts w:ascii="Encode Sans" w:hAnsi="Encode Sans" w:cs="Arial"/>
          <w:sz w:val="22"/>
          <w:szCs w:val="22"/>
          <w:lang w:val="fr-FR"/>
        </w:rPr>
      </w:pPr>
    </w:p>
    <w:p w14:paraId="2C556014" w14:textId="77777777" w:rsidR="00211BDA" w:rsidRPr="00044E26" w:rsidRDefault="00211BDA" w:rsidP="00211BDA">
      <w:pPr>
        <w:tabs>
          <w:tab w:val="left" w:pos="2592"/>
        </w:tabs>
        <w:spacing w:after="0"/>
        <w:rPr>
          <w:rFonts w:ascii="Encode Sans" w:eastAsia="Arial" w:hAnsi="Encode Sans" w:cs="Arial"/>
          <w:b/>
          <w:bCs/>
          <w:sz w:val="22"/>
          <w:szCs w:val="22"/>
          <w:lang w:val="fr-FR"/>
        </w:rPr>
      </w:pPr>
      <w:r w:rsidRPr="00044E26">
        <w:rPr>
          <w:rFonts w:ascii="Encode Sans" w:eastAsia="Arial" w:hAnsi="Encode Sans" w:cs="Arial"/>
          <w:b/>
          <w:bCs/>
          <w:sz w:val="22"/>
          <w:szCs w:val="22"/>
          <w:lang w:val="fr-FR"/>
        </w:rPr>
        <w:t xml:space="preserve">Fernão Silveira </w:t>
      </w:r>
    </w:p>
    <w:p w14:paraId="6253A0AD" w14:textId="77777777" w:rsidR="00211BDA" w:rsidRPr="00044E26" w:rsidRDefault="00211BDA" w:rsidP="00211BDA">
      <w:pPr>
        <w:tabs>
          <w:tab w:val="left" w:pos="2592"/>
        </w:tabs>
        <w:spacing w:after="0"/>
        <w:rPr>
          <w:rFonts w:ascii="Encode Sans" w:eastAsia="Arial" w:hAnsi="Encode Sans" w:cs="Arial"/>
          <w:sz w:val="22"/>
          <w:szCs w:val="22"/>
          <w:lang w:val="fr-FR"/>
        </w:rPr>
      </w:pPr>
      <w:r w:rsidRPr="00044E26">
        <w:rPr>
          <w:rFonts w:ascii="Encode Sans" w:eastAsia="Arial" w:hAnsi="Encode Sans" w:cs="Arial"/>
          <w:sz w:val="22"/>
          <w:szCs w:val="22"/>
          <w:lang w:val="fr-FR"/>
        </w:rPr>
        <w:t>Global Communications / Stellantis</w:t>
      </w:r>
    </w:p>
    <w:p w14:paraId="367451AF" w14:textId="77777777" w:rsidR="008E1ACE" w:rsidRDefault="008E1ACE" w:rsidP="00211BDA">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+31 6 43 25 43 41</w:t>
      </w:r>
    </w:p>
    <w:p w14:paraId="3D47FCA4" w14:textId="2471A283" w:rsidR="00211BDA" w:rsidRPr="00044E26" w:rsidRDefault="00211BDA" w:rsidP="00211BDA">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 xml:space="preserve">fernao.silveira@stellantis.com </w:t>
      </w:r>
    </w:p>
    <w:p w14:paraId="4C7FCF06" w14:textId="3F40B032" w:rsidR="00211BDA" w:rsidRPr="00044E26" w:rsidRDefault="00211BDA" w:rsidP="00211BDA">
      <w:pPr>
        <w:tabs>
          <w:tab w:val="left" w:pos="2592"/>
        </w:tabs>
        <w:spacing w:after="0"/>
        <w:rPr>
          <w:rFonts w:ascii="Encode Sans" w:eastAsia="Arial" w:hAnsi="Encode Sans" w:cs="Arial"/>
          <w:sz w:val="22"/>
          <w:szCs w:val="22"/>
        </w:rPr>
      </w:pPr>
    </w:p>
    <w:p w14:paraId="2050AF72" w14:textId="77777777" w:rsidR="00D013CE" w:rsidRPr="00044E26" w:rsidRDefault="00D013CE" w:rsidP="00D013CE">
      <w:pPr>
        <w:tabs>
          <w:tab w:val="left" w:pos="2592"/>
        </w:tabs>
        <w:spacing w:after="0"/>
        <w:rPr>
          <w:rFonts w:ascii="Encode Sans" w:eastAsia="Arial" w:hAnsi="Encode Sans" w:cs="Arial"/>
          <w:b/>
          <w:bCs/>
          <w:sz w:val="22"/>
          <w:szCs w:val="22"/>
        </w:rPr>
      </w:pPr>
      <w:r w:rsidRPr="00044E26">
        <w:rPr>
          <w:rFonts w:ascii="Encode Sans" w:eastAsia="Arial" w:hAnsi="Encode Sans" w:cs="Arial"/>
          <w:b/>
          <w:bCs/>
          <w:sz w:val="22"/>
          <w:szCs w:val="22"/>
        </w:rPr>
        <w:t>Valérie GILLOT</w:t>
      </w:r>
    </w:p>
    <w:p w14:paraId="52677B6F" w14:textId="77777777" w:rsidR="00D013CE" w:rsidRPr="00044E26" w:rsidRDefault="00D013CE" w:rsidP="00D013CE">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+33 6 83 92 92 96</w:t>
      </w:r>
    </w:p>
    <w:p w14:paraId="536B4C35" w14:textId="66F7350D" w:rsidR="00D013CE" w:rsidRPr="00044E26" w:rsidRDefault="00D013CE" w:rsidP="00D013CE">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valerie.gillot@stellantis.com</w:t>
      </w:r>
    </w:p>
    <w:bookmarkEnd w:id="4"/>
    <w:p w14:paraId="75764EB8" w14:textId="77777777" w:rsidR="00D013CE" w:rsidRPr="00044E26" w:rsidRDefault="00D013CE" w:rsidP="00211BDA">
      <w:pPr>
        <w:tabs>
          <w:tab w:val="left" w:pos="2592"/>
        </w:tabs>
        <w:spacing w:after="0"/>
        <w:rPr>
          <w:rFonts w:ascii="Encode Sans" w:eastAsia="Arial" w:hAnsi="Encode Sans" w:cs="Arial"/>
          <w:b/>
          <w:bCs/>
          <w:sz w:val="22"/>
          <w:szCs w:val="22"/>
        </w:rPr>
      </w:pPr>
    </w:p>
    <w:p w14:paraId="6DDAF8DD" w14:textId="77777777" w:rsidR="00D013CE" w:rsidRPr="00044E26" w:rsidRDefault="00D013CE" w:rsidP="00D013CE">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communications@stellantis.com</w:t>
      </w:r>
    </w:p>
    <w:p w14:paraId="35BC2B40" w14:textId="0AA18D56" w:rsidR="00D013CE" w:rsidRPr="00044E26" w:rsidRDefault="00B523FB" w:rsidP="00D013CE">
      <w:pPr>
        <w:tabs>
          <w:tab w:val="left" w:pos="2592"/>
        </w:tabs>
        <w:spacing w:after="0"/>
        <w:rPr>
          <w:rFonts w:ascii="Encode Sans" w:eastAsia="Arial" w:hAnsi="Encode Sans" w:cs="Arial"/>
          <w:sz w:val="22"/>
          <w:szCs w:val="22"/>
        </w:rPr>
      </w:pPr>
      <w:hyperlink r:id="rId17" w:history="1">
        <w:r w:rsidR="00D013CE" w:rsidRPr="00044E26">
          <w:rPr>
            <w:rStyle w:val="Hyperlink"/>
            <w:rFonts w:ascii="Encode Sans" w:eastAsia="Arial" w:hAnsi="Encode Sans" w:cs="Arial"/>
            <w:color w:val="auto"/>
            <w:sz w:val="22"/>
            <w:szCs w:val="22"/>
          </w:rPr>
          <w:t>www.stellantis.com</w:t>
        </w:r>
      </w:hyperlink>
    </w:p>
    <w:p w14:paraId="6FA374A1" w14:textId="77777777" w:rsidR="00D013CE" w:rsidRPr="00044E26" w:rsidRDefault="00D013CE" w:rsidP="00D013CE">
      <w:pPr>
        <w:tabs>
          <w:tab w:val="left" w:pos="2592"/>
        </w:tabs>
        <w:spacing w:after="0"/>
        <w:rPr>
          <w:rFonts w:ascii="Encode Sans" w:eastAsia="Arial" w:hAnsi="Encode Sans" w:cs="Arial"/>
          <w:b/>
          <w:bCs/>
          <w:sz w:val="22"/>
          <w:szCs w:val="22"/>
        </w:rPr>
      </w:pPr>
    </w:p>
    <w:p w14:paraId="62FF7A91" w14:textId="77777777" w:rsidR="00B07E73" w:rsidRDefault="00B07E73" w:rsidP="00211BDA">
      <w:pPr>
        <w:tabs>
          <w:tab w:val="left" w:pos="2592"/>
        </w:tabs>
        <w:spacing w:after="0"/>
        <w:rPr>
          <w:rFonts w:ascii="Encode Sans" w:eastAsia="Arial" w:hAnsi="Encode Sans" w:cs="Arial"/>
          <w:b/>
          <w:bCs/>
          <w:sz w:val="22"/>
          <w:szCs w:val="22"/>
        </w:rPr>
      </w:pPr>
    </w:p>
    <w:p w14:paraId="34853F97" w14:textId="6F2B1632" w:rsidR="00C202F5" w:rsidRPr="00044E26" w:rsidRDefault="00C202F5" w:rsidP="00211BDA">
      <w:pPr>
        <w:tabs>
          <w:tab w:val="left" w:pos="2592"/>
        </w:tabs>
        <w:spacing w:after="0"/>
        <w:rPr>
          <w:rFonts w:ascii="Encode Sans" w:eastAsia="Arial" w:hAnsi="Encode Sans" w:cs="Arial"/>
          <w:b/>
          <w:bCs/>
          <w:sz w:val="22"/>
          <w:szCs w:val="22"/>
        </w:rPr>
      </w:pPr>
      <w:r w:rsidRPr="00044E26">
        <w:rPr>
          <w:rFonts w:ascii="Encode Sans" w:eastAsia="Arial" w:hAnsi="Encode Sans" w:cs="Arial"/>
          <w:b/>
          <w:bCs/>
          <w:sz w:val="22"/>
          <w:szCs w:val="22"/>
        </w:rPr>
        <w:lastRenderedPageBreak/>
        <w:t>GME Resources Limited</w:t>
      </w:r>
    </w:p>
    <w:p w14:paraId="791A6BA4" w14:textId="77777777" w:rsidR="00D013CE" w:rsidRPr="00044E26" w:rsidRDefault="00D013CE" w:rsidP="00D013CE">
      <w:pPr>
        <w:tabs>
          <w:tab w:val="left" w:pos="2592"/>
        </w:tabs>
        <w:spacing w:after="0"/>
        <w:rPr>
          <w:rFonts w:ascii="Encode Sans" w:eastAsia="Arial" w:hAnsi="Encode Sans" w:cs="Arial"/>
          <w:b/>
          <w:bCs/>
          <w:sz w:val="22"/>
          <w:szCs w:val="22"/>
        </w:rPr>
      </w:pPr>
    </w:p>
    <w:p w14:paraId="4024FF1B" w14:textId="7E28AA4E" w:rsidR="00D013CE" w:rsidRPr="00044E26" w:rsidRDefault="00D013CE" w:rsidP="00D013CE">
      <w:pPr>
        <w:tabs>
          <w:tab w:val="left" w:pos="2592"/>
        </w:tabs>
        <w:spacing w:after="0"/>
        <w:rPr>
          <w:rFonts w:ascii="Encode Sans" w:eastAsia="Arial" w:hAnsi="Encode Sans" w:cs="Arial"/>
          <w:b/>
          <w:bCs/>
          <w:sz w:val="22"/>
          <w:szCs w:val="22"/>
        </w:rPr>
      </w:pPr>
      <w:r w:rsidRPr="00044E26">
        <w:rPr>
          <w:rFonts w:ascii="Encode Sans" w:eastAsia="Arial" w:hAnsi="Encode Sans" w:cs="Arial"/>
          <w:b/>
          <w:bCs/>
          <w:sz w:val="22"/>
          <w:szCs w:val="22"/>
        </w:rPr>
        <w:t xml:space="preserve">Paul Kopejtka  </w:t>
      </w:r>
    </w:p>
    <w:p w14:paraId="665B8FD7" w14:textId="7AF767F9" w:rsidR="00D013CE" w:rsidRPr="00044E26" w:rsidRDefault="00D013CE" w:rsidP="00D013CE">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 xml:space="preserve">Managing Director </w:t>
      </w:r>
      <w:r w:rsidR="00B272C1">
        <w:rPr>
          <w:rFonts w:ascii="Encode Sans" w:eastAsia="Arial" w:hAnsi="Encode Sans" w:cs="Arial"/>
          <w:sz w:val="22"/>
          <w:szCs w:val="22"/>
        </w:rPr>
        <w:t>and CEO</w:t>
      </w:r>
    </w:p>
    <w:p w14:paraId="61AA0D8F" w14:textId="77777777" w:rsidR="00D013CE" w:rsidRPr="00044E26" w:rsidRDefault="00D013CE" w:rsidP="00D013CE">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 xml:space="preserve">Perth, Western Australia  </w:t>
      </w:r>
    </w:p>
    <w:p w14:paraId="410D7402" w14:textId="77777777" w:rsidR="00D013CE" w:rsidRPr="00044E26" w:rsidRDefault="00D013CE" w:rsidP="00D013CE">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 xml:space="preserve">+61 8 9336 3388   </w:t>
      </w:r>
    </w:p>
    <w:p w14:paraId="5C1B94B6" w14:textId="16A13225" w:rsidR="00D013CE" w:rsidRPr="00044E26" w:rsidRDefault="00D013CE" w:rsidP="00D013CE">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info@gmeresources.com.au</w:t>
      </w:r>
    </w:p>
    <w:p w14:paraId="407C22E6" w14:textId="7E218C39" w:rsidR="00D013CE" w:rsidRPr="00044E26" w:rsidRDefault="00D013CE" w:rsidP="00211BDA">
      <w:pPr>
        <w:tabs>
          <w:tab w:val="left" w:pos="2592"/>
        </w:tabs>
        <w:spacing w:after="0"/>
        <w:rPr>
          <w:rFonts w:ascii="Encode Sans" w:eastAsia="Arial" w:hAnsi="Encode Sans" w:cs="Arial"/>
          <w:b/>
          <w:bCs/>
          <w:sz w:val="22"/>
          <w:szCs w:val="22"/>
        </w:rPr>
      </w:pPr>
    </w:p>
    <w:p w14:paraId="5E28EE9E" w14:textId="77777777" w:rsidR="00D013CE" w:rsidRPr="00044E26" w:rsidRDefault="00D013CE" w:rsidP="00D013CE">
      <w:pPr>
        <w:tabs>
          <w:tab w:val="left" w:pos="2592"/>
        </w:tabs>
        <w:spacing w:after="0"/>
        <w:rPr>
          <w:rFonts w:ascii="Encode Sans" w:eastAsia="Arial" w:hAnsi="Encode Sans" w:cs="Arial"/>
          <w:b/>
          <w:bCs/>
          <w:sz w:val="22"/>
          <w:szCs w:val="22"/>
        </w:rPr>
      </w:pPr>
      <w:r w:rsidRPr="00044E26">
        <w:rPr>
          <w:rFonts w:ascii="Encode Sans" w:eastAsia="Arial" w:hAnsi="Encode Sans" w:cs="Arial"/>
          <w:b/>
          <w:bCs/>
          <w:sz w:val="22"/>
          <w:szCs w:val="22"/>
        </w:rPr>
        <w:t xml:space="preserve">Michael Vaughan </w:t>
      </w:r>
    </w:p>
    <w:p w14:paraId="6356FBE3" w14:textId="77777777" w:rsidR="00D013CE" w:rsidRPr="00044E26" w:rsidRDefault="00D013CE" w:rsidP="00D013CE">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 xml:space="preserve">Fivemark Partners </w:t>
      </w:r>
    </w:p>
    <w:p w14:paraId="1B0A212A" w14:textId="77777777" w:rsidR="00D013CE" w:rsidRPr="00044E26" w:rsidRDefault="00D013CE" w:rsidP="00D013CE">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 xml:space="preserve">Perth, Western Australia </w:t>
      </w:r>
    </w:p>
    <w:p w14:paraId="6EDBA433" w14:textId="77777777" w:rsidR="00D013CE" w:rsidRPr="00044E26" w:rsidRDefault="00D013CE" w:rsidP="00D013CE">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 xml:space="preserve">+61 422 602 720 </w:t>
      </w:r>
    </w:p>
    <w:p w14:paraId="680D63AF" w14:textId="3C283DE7" w:rsidR="00D013CE" w:rsidRPr="00044E26" w:rsidRDefault="00D013CE" w:rsidP="00D013CE">
      <w:pPr>
        <w:tabs>
          <w:tab w:val="left" w:pos="2592"/>
        </w:tabs>
        <w:spacing w:after="0"/>
        <w:rPr>
          <w:rFonts w:ascii="Encode Sans" w:eastAsia="Arial" w:hAnsi="Encode Sans" w:cs="Arial"/>
          <w:sz w:val="22"/>
          <w:szCs w:val="22"/>
        </w:rPr>
      </w:pPr>
      <w:r w:rsidRPr="00044E26">
        <w:rPr>
          <w:rFonts w:ascii="Encode Sans" w:eastAsia="Arial" w:hAnsi="Encode Sans" w:cs="Arial"/>
          <w:sz w:val="22"/>
          <w:szCs w:val="22"/>
        </w:rPr>
        <w:t>michael.vaughan@fivemark.com.au</w:t>
      </w:r>
    </w:p>
    <w:p w14:paraId="6C24A05C" w14:textId="77777777" w:rsidR="00C202F5" w:rsidRDefault="00C202F5" w:rsidP="00914E09">
      <w:pPr>
        <w:rPr>
          <w:rFonts w:ascii="Arial" w:hAnsi="Arial" w:cs="Arial"/>
          <w:b/>
          <w:bCs/>
          <w:sz w:val="18"/>
          <w:szCs w:val="18"/>
        </w:rPr>
      </w:pPr>
    </w:p>
    <w:p w14:paraId="1486F7E1" w14:textId="4B1E8016" w:rsidR="00211BDA" w:rsidRDefault="00211BDA" w:rsidP="00914E09">
      <w:pPr>
        <w:rPr>
          <w:rFonts w:ascii="Arial" w:hAnsi="Arial" w:cs="Arial"/>
          <w:b/>
          <w:bCs/>
          <w:sz w:val="18"/>
          <w:szCs w:val="18"/>
        </w:rPr>
      </w:pPr>
      <w:r>
        <w:rPr>
          <w:rFonts w:ascii="Arial" w:hAnsi="Arial" w:cs="Arial"/>
          <w:b/>
          <w:bCs/>
          <w:sz w:val="18"/>
          <w:szCs w:val="18"/>
        </w:rPr>
        <w:t>FORWARD-LOOKING STATEMENTS</w:t>
      </w:r>
    </w:p>
    <w:p w14:paraId="18E03D4B" w14:textId="77777777" w:rsidR="00211BDA" w:rsidRDefault="00211BDA" w:rsidP="00211BDA">
      <w:pPr>
        <w:spacing w:before="240"/>
        <w:rPr>
          <w:rFonts w:ascii="Arial" w:eastAsia="Encode Sans" w:hAnsi="Arial" w:cs="Arial"/>
          <w:i/>
          <w:sz w:val="18"/>
          <w:szCs w:val="18"/>
        </w:rPr>
      </w:pPr>
      <w:r>
        <w:rPr>
          <w:rFonts w:ascii="Arial" w:eastAsia="Encode Sans" w:hAnsi="Arial" w:cs="Arial"/>
          <w:i/>
          <w:sz w:val="18"/>
          <w:szCs w:val="18"/>
        </w:rPr>
        <w:t xml:space="preserve">This communication contains forward-looking statements. </w:t>
      </w:r>
      <w:proofErr w:type="gramStart"/>
      <w:r>
        <w:rPr>
          <w:rFonts w:ascii="Arial" w:eastAsia="Encode Sans" w:hAnsi="Arial" w:cs="Arial"/>
          <w:i/>
          <w:sz w:val="18"/>
          <w:szCs w:val="18"/>
        </w:rPr>
        <w:t>In particular, statements</w:t>
      </w:r>
      <w:proofErr w:type="gramEnd"/>
      <w:r>
        <w:rPr>
          <w:rFonts w:ascii="Arial" w:eastAsia="Encode Sans" w:hAnsi="Arial" w:cs="Arial"/>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6D9C35D1" w14:textId="77777777" w:rsidR="00211BDA" w:rsidRDefault="00211BDA" w:rsidP="00211BDA">
      <w:pPr>
        <w:spacing w:before="240"/>
        <w:rPr>
          <w:rFonts w:ascii="Arial" w:eastAsia="Encode Sans" w:hAnsi="Arial" w:cs="Arial"/>
          <w:i/>
          <w:sz w:val="18"/>
          <w:szCs w:val="18"/>
        </w:rPr>
      </w:pPr>
      <w:r>
        <w:rPr>
          <w:rFonts w:ascii="Arial" w:eastAsia="Encode Sans" w:hAnsi="Arial" w:cs="Arial"/>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5D67444A" w14:textId="206B0CB1" w:rsidR="00D90200" w:rsidRDefault="00211BDA" w:rsidP="00044E26">
      <w:pPr>
        <w:spacing w:before="240"/>
        <w:rPr>
          <w:b/>
          <w:i/>
          <w:sz w:val="16"/>
          <w:szCs w:val="16"/>
        </w:rPr>
      </w:pPr>
      <w:r>
        <w:rPr>
          <w:rFonts w:ascii="Arial" w:eastAsia="Encode Sans" w:hAnsi="Arial" w:cs="Arial"/>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sectPr w:rsidR="00D90200" w:rsidSect="00C202F5">
      <w:footerReference w:type="default" r:id="rId18"/>
      <w:headerReference w:type="first" r:id="rId19"/>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D897" w14:textId="77777777" w:rsidR="00B523FB" w:rsidRDefault="00B523FB">
      <w:pPr>
        <w:spacing w:after="0"/>
      </w:pPr>
      <w:r>
        <w:separator/>
      </w:r>
    </w:p>
  </w:endnote>
  <w:endnote w:type="continuationSeparator" w:id="0">
    <w:p w14:paraId="260EC064" w14:textId="77777777" w:rsidR="00B523FB" w:rsidRDefault="00B523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w:altName w:val="Times New Roman"/>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EC10" w14:textId="77777777" w:rsidR="00B523FB" w:rsidRDefault="00B523FB">
      <w:pPr>
        <w:spacing w:after="0"/>
      </w:pPr>
      <w:r>
        <w:separator/>
      </w:r>
    </w:p>
  </w:footnote>
  <w:footnote w:type="continuationSeparator" w:id="0">
    <w:p w14:paraId="3D915C2E" w14:textId="77777777" w:rsidR="00B523FB" w:rsidRDefault="00B523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22897EF9" w:rsidR="00D90200" w:rsidRPr="004E387D" w:rsidRDefault="0034475B" w:rsidP="004E387D">
    <w:pPr>
      <w:pStyle w:val="Header"/>
    </w:pPr>
    <w:r>
      <w:rPr>
        <w:noProof/>
      </w:rPr>
      <w:drawing>
        <wp:inline distT="0" distB="0" distL="0" distR="0" wp14:anchorId="0FD8E7FB" wp14:editId="06D284EC">
          <wp:extent cx="5325110" cy="628650"/>
          <wp:effectExtent l="0" t="0" r="889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44717" b="43477"/>
                  <a:stretch/>
                </pic:blipFill>
                <pic:spPr bwMode="auto">
                  <a:xfrm>
                    <a:off x="0" y="0"/>
                    <a:ext cx="5325110" cy="628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7F3"/>
    <w:rsid w:val="00020A0F"/>
    <w:rsid w:val="000403C6"/>
    <w:rsid w:val="00044E26"/>
    <w:rsid w:val="0006441F"/>
    <w:rsid w:val="0008041C"/>
    <w:rsid w:val="000833E0"/>
    <w:rsid w:val="000B0968"/>
    <w:rsid w:val="000B2E42"/>
    <w:rsid w:val="000C5A52"/>
    <w:rsid w:val="000D0AC3"/>
    <w:rsid w:val="000F7479"/>
    <w:rsid w:val="00100E33"/>
    <w:rsid w:val="0011344A"/>
    <w:rsid w:val="00115CA3"/>
    <w:rsid w:val="00123307"/>
    <w:rsid w:val="00134F8D"/>
    <w:rsid w:val="0016045E"/>
    <w:rsid w:val="00162B39"/>
    <w:rsid w:val="00172B2C"/>
    <w:rsid w:val="0019432C"/>
    <w:rsid w:val="00195133"/>
    <w:rsid w:val="001A14C2"/>
    <w:rsid w:val="001A3B61"/>
    <w:rsid w:val="001B7F90"/>
    <w:rsid w:val="001C1D40"/>
    <w:rsid w:val="001D10B3"/>
    <w:rsid w:val="001D2376"/>
    <w:rsid w:val="001E145E"/>
    <w:rsid w:val="00202659"/>
    <w:rsid w:val="00206526"/>
    <w:rsid w:val="002074AC"/>
    <w:rsid w:val="00211BDA"/>
    <w:rsid w:val="00214934"/>
    <w:rsid w:val="002232A1"/>
    <w:rsid w:val="00247709"/>
    <w:rsid w:val="0025678C"/>
    <w:rsid w:val="00263AD6"/>
    <w:rsid w:val="00287CED"/>
    <w:rsid w:val="002B72BF"/>
    <w:rsid w:val="002C77BE"/>
    <w:rsid w:val="002D1821"/>
    <w:rsid w:val="002D43AD"/>
    <w:rsid w:val="002D67E6"/>
    <w:rsid w:val="002D6E8E"/>
    <w:rsid w:val="002E3C8F"/>
    <w:rsid w:val="003011A4"/>
    <w:rsid w:val="003062BC"/>
    <w:rsid w:val="00306BC9"/>
    <w:rsid w:val="0034475B"/>
    <w:rsid w:val="00374F28"/>
    <w:rsid w:val="0037579C"/>
    <w:rsid w:val="003C0EBE"/>
    <w:rsid w:val="003D21DF"/>
    <w:rsid w:val="003D756D"/>
    <w:rsid w:val="00401F74"/>
    <w:rsid w:val="00492DDE"/>
    <w:rsid w:val="004C37B7"/>
    <w:rsid w:val="004C48ED"/>
    <w:rsid w:val="004E29EF"/>
    <w:rsid w:val="004E387D"/>
    <w:rsid w:val="004E3DDE"/>
    <w:rsid w:val="004F0A2C"/>
    <w:rsid w:val="004F2150"/>
    <w:rsid w:val="004F3BE9"/>
    <w:rsid w:val="004F7329"/>
    <w:rsid w:val="005062F7"/>
    <w:rsid w:val="005073F1"/>
    <w:rsid w:val="00512922"/>
    <w:rsid w:val="00516057"/>
    <w:rsid w:val="00525726"/>
    <w:rsid w:val="00547AF9"/>
    <w:rsid w:val="0055767E"/>
    <w:rsid w:val="00572D4A"/>
    <w:rsid w:val="0058367F"/>
    <w:rsid w:val="005B0E86"/>
    <w:rsid w:val="005E4EB5"/>
    <w:rsid w:val="00603F18"/>
    <w:rsid w:val="0061766E"/>
    <w:rsid w:val="00625C11"/>
    <w:rsid w:val="006262D2"/>
    <w:rsid w:val="00631BCB"/>
    <w:rsid w:val="006616BE"/>
    <w:rsid w:val="00677729"/>
    <w:rsid w:val="00680D18"/>
    <w:rsid w:val="006863D0"/>
    <w:rsid w:val="006B0CEC"/>
    <w:rsid w:val="006B2EB2"/>
    <w:rsid w:val="0071156E"/>
    <w:rsid w:val="0071381F"/>
    <w:rsid w:val="007376E7"/>
    <w:rsid w:val="0076578D"/>
    <w:rsid w:val="00786615"/>
    <w:rsid w:val="007A17A2"/>
    <w:rsid w:val="007A1CD0"/>
    <w:rsid w:val="007B698C"/>
    <w:rsid w:val="007C5570"/>
    <w:rsid w:val="007F0624"/>
    <w:rsid w:val="007F30E2"/>
    <w:rsid w:val="008018C5"/>
    <w:rsid w:val="008170F0"/>
    <w:rsid w:val="00837A76"/>
    <w:rsid w:val="008535C7"/>
    <w:rsid w:val="00854923"/>
    <w:rsid w:val="00881AB2"/>
    <w:rsid w:val="008A0E8A"/>
    <w:rsid w:val="008B0A0F"/>
    <w:rsid w:val="008D26D0"/>
    <w:rsid w:val="008E1ACE"/>
    <w:rsid w:val="00907495"/>
    <w:rsid w:val="00914E09"/>
    <w:rsid w:val="00925DB9"/>
    <w:rsid w:val="00945F1A"/>
    <w:rsid w:val="00967C88"/>
    <w:rsid w:val="00980D9E"/>
    <w:rsid w:val="00990BE3"/>
    <w:rsid w:val="00991B50"/>
    <w:rsid w:val="00996297"/>
    <w:rsid w:val="0099793C"/>
    <w:rsid w:val="009A2719"/>
    <w:rsid w:val="009A5024"/>
    <w:rsid w:val="009B2260"/>
    <w:rsid w:val="009B3485"/>
    <w:rsid w:val="009C39C6"/>
    <w:rsid w:val="009D083B"/>
    <w:rsid w:val="009D5DC6"/>
    <w:rsid w:val="009D782E"/>
    <w:rsid w:val="009D7CB7"/>
    <w:rsid w:val="00A10846"/>
    <w:rsid w:val="00A1710C"/>
    <w:rsid w:val="00A237F3"/>
    <w:rsid w:val="00A61578"/>
    <w:rsid w:val="00A70AB9"/>
    <w:rsid w:val="00A816C8"/>
    <w:rsid w:val="00A906F0"/>
    <w:rsid w:val="00A9686E"/>
    <w:rsid w:val="00A976CF"/>
    <w:rsid w:val="00AB0FFA"/>
    <w:rsid w:val="00AD7B93"/>
    <w:rsid w:val="00AE34AF"/>
    <w:rsid w:val="00AF5DF3"/>
    <w:rsid w:val="00B07E73"/>
    <w:rsid w:val="00B272C1"/>
    <w:rsid w:val="00B27345"/>
    <w:rsid w:val="00B31E73"/>
    <w:rsid w:val="00B46A84"/>
    <w:rsid w:val="00B523FB"/>
    <w:rsid w:val="00B54574"/>
    <w:rsid w:val="00B57822"/>
    <w:rsid w:val="00B901C8"/>
    <w:rsid w:val="00BC4685"/>
    <w:rsid w:val="00BD74C3"/>
    <w:rsid w:val="00BE126A"/>
    <w:rsid w:val="00BE75A5"/>
    <w:rsid w:val="00C00E9B"/>
    <w:rsid w:val="00C202F5"/>
    <w:rsid w:val="00C24901"/>
    <w:rsid w:val="00C334EF"/>
    <w:rsid w:val="00C35BE9"/>
    <w:rsid w:val="00C42C0B"/>
    <w:rsid w:val="00C520FA"/>
    <w:rsid w:val="00C566C4"/>
    <w:rsid w:val="00C61685"/>
    <w:rsid w:val="00C818B8"/>
    <w:rsid w:val="00CA3AFC"/>
    <w:rsid w:val="00CA420F"/>
    <w:rsid w:val="00CB19A5"/>
    <w:rsid w:val="00CC15FE"/>
    <w:rsid w:val="00CC5C47"/>
    <w:rsid w:val="00CD319D"/>
    <w:rsid w:val="00D013CE"/>
    <w:rsid w:val="00D019D7"/>
    <w:rsid w:val="00D3455C"/>
    <w:rsid w:val="00D40E54"/>
    <w:rsid w:val="00D41FFA"/>
    <w:rsid w:val="00D878B6"/>
    <w:rsid w:val="00D90200"/>
    <w:rsid w:val="00DA44D2"/>
    <w:rsid w:val="00DB7F49"/>
    <w:rsid w:val="00DF0988"/>
    <w:rsid w:val="00DF61C4"/>
    <w:rsid w:val="00E11EDF"/>
    <w:rsid w:val="00E13473"/>
    <w:rsid w:val="00E15211"/>
    <w:rsid w:val="00E16A57"/>
    <w:rsid w:val="00E36F4A"/>
    <w:rsid w:val="00E653B0"/>
    <w:rsid w:val="00E669FB"/>
    <w:rsid w:val="00E759EE"/>
    <w:rsid w:val="00E76235"/>
    <w:rsid w:val="00E877EC"/>
    <w:rsid w:val="00E97FB7"/>
    <w:rsid w:val="00EB585F"/>
    <w:rsid w:val="00EC46E6"/>
    <w:rsid w:val="00EC4F3A"/>
    <w:rsid w:val="00EE3906"/>
    <w:rsid w:val="00EF0351"/>
    <w:rsid w:val="00F1190D"/>
    <w:rsid w:val="00F1317B"/>
    <w:rsid w:val="00F430AA"/>
    <w:rsid w:val="00F455C0"/>
    <w:rsid w:val="00F5359D"/>
    <w:rsid w:val="00F557CF"/>
    <w:rsid w:val="00F55FA4"/>
    <w:rsid w:val="00F62C02"/>
    <w:rsid w:val="00F72EB4"/>
    <w:rsid w:val="00F75BDD"/>
    <w:rsid w:val="00F76B60"/>
    <w:rsid w:val="00F76C4A"/>
    <w:rsid w:val="00F77D35"/>
    <w:rsid w:val="00F801FE"/>
    <w:rsid w:val="00F9493A"/>
    <w:rsid w:val="00FB40A5"/>
    <w:rsid w:val="00FB58AF"/>
    <w:rsid w:val="00FE2429"/>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val="en-AU"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en/investors/events/strategic-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meresources.com.au/" TargetMode="External"/><Relationship Id="rId17" Type="http://schemas.openxmlformats.org/officeDocument/2006/relationships/hyperlink" Target="http://www.stellantis.com" TargetMode="External"/><Relationship Id="rId2" Type="http://schemas.openxmlformats.org/officeDocument/2006/relationships/customXml" Target="../customXml/item2.xml"/><Relationship Id="rId16" Type="http://schemas.openxmlformats.org/officeDocument/2006/relationships/hyperlink" Target="http://www.gmeresources.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5" Type="http://schemas.openxmlformats.org/officeDocument/2006/relationships/numbering" Target="numbering.xml"/><Relationship Id="rId15" Type="http://schemas.openxmlformats.org/officeDocument/2006/relationships/hyperlink" Target="https://www.stellantis.com/en/news/press-releases/2022/june/stellantis-secures-low-emissions-lithium-supply-for-north-american-electric-vehicle-production-from-controlled-thermal-resourc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en/news/press-releases/2022/june/stellantis-expands-relationship-with-vulcan-energy-becoming-shareholder-in-decarbonized-lithium-compa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F0404-43C9-4599-9D27-01858C8D4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4.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KEVIN FRAZIER</cp:lastModifiedBy>
  <cp:revision>5</cp:revision>
  <dcterms:created xsi:type="dcterms:W3CDTF">2022-10-09T17:02:00Z</dcterms:created>
  <dcterms:modified xsi:type="dcterms:W3CDTF">2022-10-09T18:28:00Z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0x010100D1AB943AC203684599DF6BB292D4C1A7</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ies>
</file>