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2639" w14:textId="384081CD" w:rsidR="00D90200" w:rsidRPr="00044E26" w:rsidRDefault="00DA44D2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Encode Sans" w:eastAsia="Arial" w:hAnsi="Encode Sans" w:cs="Arial"/>
          <w:b/>
          <w:color w:val="000000"/>
          <w:sz w:val="28"/>
          <w:szCs w:val="28"/>
        </w:rPr>
      </w:pPr>
      <w:r>
        <w:rPr>
          <w:rFonts w:ascii="Encode Sans" w:hAnsi="Encode Sans"/>
          <w:b/>
          <w:color w:val="000000"/>
          <w:sz w:val="28"/>
          <w:szCs w:val="28"/>
        </w:rPr>
        <w:t>Stellantis firma un memorandum d</w:t>
      </w:r>
      <w:r w:rsidR="004B3851">
        <w:rPr>
          <w:rFonts w:ascii="Encode Sans" w:hAnsi="Encode Sans"/>
          <w:b/>
          <w:color w:val="000000"/>
          <w:sz w:val="28"/>
          <w:szCs w:val="28"/>
        </w:rPr>
        <w:t>’</w:t>
      </w:r>
      <w:r>
        <w:rPr>
          <w:rFonts w:ascii="Encode Sans" w:hAnsi="Encode Sans"/>
          <w:b/>
          <w:color w:val="000000"/>
          <w:sz w:val="28"/>
          <w:szCs w:val="28"/>
        </w:rPr>
        <w:t>intesa non vincolante con GME per il futuro acquisto di solfato di cobalto e nichel per le batterie</w:t>
      </w:r>
    </w:p>
    <w:p w14:paraId="1B8287BF" w14:textId="4A9881D5" w:rsidR="00D013CE" w:rsidRPr="00044E26" w:rsidRDefault="00044E26" w:rsidP="00D013CE">
      <w:pPr>
        <w:numPr>
          <w:ilvl w:val="0"/>
          <w:numId w:val="1"/>
        </w:numPr>
        <w:spacing w:after="0"/>
        <w:jc w:val="left"/>
        <w:rPr>
          <w:rFonts w:ascii="Encode Sans" w:eastAsia="Arial" w:hAnsi="Encode Sans" w:cs="Arial"/>
        </w:rPr>
      </w:pPr>
      <w:r>
        <w:rPr>
          <w:rFonts w:ascii="Encode Sans" w:hAnsi="Encode Sans"/>
        </w:rPr>
        <w:t>Stellantis rafforza la value chain per la produzione di batterie destinate ai veicoli elettrici supportando i target del piano strategico Dare Forward 2030</w:t>
      </w:r>
    </w:p>
    <w:p w14:paraId="3C06AD10" w14:textId="599D9D43" w:rsidR="00DA44D2" w:rsidRDefault="004E3DDE" w:rsidP="0011344A">
      <w:pPr>
        <w:numPr>
          <w:ilvl w:val="0"/>
          <w:numId w:val="1"/>
        </w:numPr>
        <w:spacing w:after="0"/>
        <w:jc w:val="left"/>
        <w:rPr>
          <w:rFonts w:ascii="Encode Sans" w:eastAsia="Arial" w:hAnsi="Encode Sans" w:cs="Arial"/>
        </w:rPr>
      </w:pPr>
      <w:r>
        <w:rPr>
          <w:rFonts w:ascii="Encode Sans" w:hAnsi="Encode Sans"/>
        </w:rPr>
        <w:t>Il memorandum d</w:t>
      </w:r>
      <w:r w:rsidR="004B3851">
        <w:rPr>
          <w:rFonts w:ascii="Encode Sans" w:hAnsi="Encode Sans"/>
        </w:rPr>
        <w:t>’</w:t>
      </w:r>
      <w:r>
        <w:rPr>
          <w:rFonts w:ascii="Encode Sans" w:hAnsi="Encode Sans"/>
        </w:rPr>
        <w:t>intesa rappresenta il primo passo verso la potenziale partnership a lungo termine per il futuro acquisto dal NiWest Nickel-Cobalt Project di prodotti a base di solfato di cobalto e nichel per le batterie</w:t>
      </w:r>
    </w:p>
    <w:p w14:paraId="06355130" w14:textId="77777777" w:rsidR="00D90200" w:rsidRPr="00044E26" w:rsidRDefault="00D90200">
      <w:pPr>
        <w:shd w:val="clear" w:color="auto" w:fill="FFFFFF"/>
        <w:spacing w:after="0"/>
        <w:ind w:left="720"/>
        <w:rPr>
          <w:rFonts w:ascii="Encode Sans" w:eastAsia="Arial" w:hAnsi="Encode Sans" w:cs="Arial"/>
          <w:sz w:val="18"/>
          <w:szCs w:val="18"/>
        </w:rPr>
      </w:pPr>
    </w:p>
    <w:p w14:paraId="18C1383A" w14:textId="4B8EF4C0" w:rsidR="00C818B8" w:rsidRPr="00044E26" w:rsidRDefault="00296F3A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color w:val="000000"/>
          <w:sz w:val="22"/>
          <w:szCs w:val="22"/>
        </w:rPr>
      </w:pPr>
      <w:r>
        <w:rPr>
          <w:rFonts w:ascii="Encode Sans" w:hAnsi="Encode Sans"/>
          <w:b/>
          <w:color w:val="000000"/>
          <w:sz w:val="22"/>
          <w:szCs w:val="22"/>
        </w:rPr>
        <w:t>10</w:t>
      </w:r>
      <w:r w:rsidR="0011344A">
        <w:rPr>
          <w:rFonts w:ascii="Encode Sans" w:hAnsi="Encode Sans"/>
          <w:b/>
          <w:color w:val="000000"/>
          <w:sz w:val="22"/>
          <w:szCs w:val="22"/>
        </w:rPr>
        <w:t xml:space="preserve"> ottobre 2022, AMSTERDAM</w:t>
      </w:r>
      <w:r w:rsidR="0011344A">
        <w:rPr>
          <w:rFonts w:ascii="Encode Sans" w:hAnsi="Encode Sans"/>
          <w:color w:val="000000"/>
          <w:sz w:val="22"/>
          <w:szCs w:val="22"/>
        </w:rPr>
        <w:t xml:space="preserve"> – </w:t>
      </w:r>
      <w:hyperlink r:id="rId11" w:history="1">
        <w:r w:rsidR="0011344A">
          <w:rPr>
            <w:rStyle w:val="Hyperlink"/>
            <w:rFonts w:ascii="Encode Sans" w:hAnsi="Encode Sans"/>
            <w:sz w:val="22"/>
            <w:szCs w:val="22"/>
            <w:u w:val="single"/>
            <w:shd w:val="clear" w:color="auto" w:fill="FFFFFF"/>
          </w:rPr>
          <w:t>Stellantis N.V.</w:t>
        </w:r>
      </w:hyperlink>
      <w:r w:rsidR="0011344A">
        <w:rPr>
          <w:rFonts w:ascii="Encode Sans" w:hAnsi="Encode Sans"/>
          <w:sz w:val="22"/>
          <w:szCs w:val="22"/>
          <w:shd w:val="clear" w:color="auto" w:fill="FFFFFF"/>
        </w:rPr>
        <w:t xml:space="preserve"> </w:t>
      </w:r>
      <w:r w:rsidR="0011344A">
        <w:rPr>
          <w:rFonts w:ascii="Encode Sans" w:hAnsi="Encode Sans"/>
          <w:color w:val="000000"/>
          <w:sz w:val="22"/>
          <w:szCs w:val="22"/>
        </w:rPr>
        <w:t xml:space="preserve">e </w:t>
      </w:r>
      <w:hyperlink r:id="rId12" w:history="1">
        <w:r w:rsidR="0011344A" w:rsidRPr="005D2F0E">
          <w:rPr>
            <w:rStyle w:val="Hyperlink"/>
            <w:rFonts w:ascii="Encode Sans" w:hAnsi="Encode Sans"/>
            <w:sz w:val="22"/>
            <w:szCs w:val="22"/>
            <w:u w:val="single"/>
          </w:rPr>
          <w:t>GME Resources Limited</w:t>
        </w:r>
      </w:hyperlink>
      <w:r w:rsidR="0011344A" w:rsidRPr="005D2F0E">
        <w:rPr>
          <w:rFonts w:ascii="Encode Sans" w:hAnsi="Encode Sans"/>
          <w:color w:val="000000"/>
          <w:sz w:val="22"/>
          <w:szCs w:val="22"/>
        </w:rPr>
        <w:t xml:space="preserve"> </w:t>
      </w:r>
      <w:r w:rsidR="0011344A">
        <w:rPr>
          <w:rFonts w:ascii="Encode Sans" w:hAnsi="Encode Sans"/>
          <w:color w:val="000000"/>
          <w:sz w:val="22"/>
          <w:szCs w:val="22"/>
        </w:rPr>
        <w:t>(</w:t>
      </w:r>
      <w:r w:rsidR="004B3851">
        <w:rPr>
          <w:rFonts w:ascii="Encode Sans" w:hAnsi="Encode Sans"/>
          <w:color w:val="000000"/>
          <w:sz w:val="22"/>
          <w:szCs w:val="22"/>
        </w:rPr>
        <w:t>“</w:t>
      </w:r>
      <w:r w:rsidR="0011344A">
        <w:rPr>
          <w:rFonts w:ascii="Encode Sans" w:hAnsi="Encode Sans"/>
          <w:color w:val="000000"/>
          <w:sz w:val="22"/>
          <w:szCs w:val="22"/>
        </w:rPr>
        <w:t>GME</w:t>
      </w:r>
      <w:r w:rsidR="004B3851">
        <w:rPr>
          <w:rFonts w:ascii="Encode Sans" w:hAnsi="Encode Sans"/>
          <w:color w:val="000000"/>
          <w:sz w:val="22"/>
          <w:szCs w:val="22"/>
        </w:rPr>
        <w:t>”</w:t>
      </w:r>
      <w:r w:rsidR="0011344A">
        <w:rPr>
          <w:rFonts w:ascii="Encode Sans" w:hAnsi="Encode Sans"/>
          <w:color w:val="000000"/>
          <w:sz w:val="22"/>
          <w:szCs w:val="22"/>
        </w:rPr>
        <w:t xml:space="preserve"> o </w:t>
      </w:r>
      <w:r w:rsidR="004B3851">
        <w:rPr>
          <w:rFonts w:ascii="Encode Sans" w:hAnsi="Encode Sans"/>
          <w:color w:val="000000"/>
          <w:sz w:val="22"/>
          <w:szCs w:val="22"/>
        </w:rPr>
        <w:t>“</w:t>
      </w:r>
      <w:r w:rsidR="0011344A">
        <w:rPr>
          <w:rFonts w:ascii="Encode Sans" w:hAnsi="Encode Sans"/>
          <w:color w:val="000000"/>
          <w:sz w:val="22"/>
          <w:szCs w:val="22"/>
        </w:rPr>
        <w:t>l'azienda</w:t>
      </w:r>
      <w:r w:rsidR="004B3851">
        <w:rPr>
          <w:rFonts w:ascii="Encode Sans" w:hAnsi="Encode Sans"/>
          <w:color w:val="000000"/>
          <w:sz w:val="22"/>
          <w:szCs w:val="22"/>
        </w:rPr>
        <w:t>”</w:t>
      </w:r>
      <w:r w:rsidR="0011344A">
        <w:rPr>
          <w:rFonts w:ascii="Encode Sans" w:hAnsi="Encode Sans"/>
          <w:color w:val="000000"/>
          <w:sz w:val="22"/>
          <w:szCs w:val="22"/>
        </w:rPr>
        <w:t>) (ASX: GME) hanno annunciato oggi la sottoscrizione di un memorandum d</w:t>
      </w:r>
      <w:r w:rsidR="004B3851">
        <w:rPr>
          <w:rFonts w:ascii="Encode Sans" w:hAnsi="Encode Sans"/>
          <w:color w:val="000000"/>
          <w:sz w:val="22"/>
          <w:szCs w:val="22"/>
        </w:rPr>
        <w:t>’</w:t>
      </w:r>
      <w:r w:rsidR="0011344A">
        <w:rPr>
          <w:rFonts w:ascii="Encode Sans" w:hAnsi="Encode Sans"/>
          <w:color w:val="000000"/>
          <w:sz w:val="22"/>
          <w:szCs w:val="22"/>
        </w:rPr>
        <w:t>intesa (</w:t>
      </w:r>
      <w:r w:rsidR="004B3851">
        <w:rPr>
          <w:rFonts w:ascii="Encode Sans" w:hAnsi="Encode Sans"/>
          <w:color w:val="000000"/>
          <w:sz w:val="22"/>
          <w:szCs w:val="22"/>
        </w:rPr>
        <w:t>“</w:t>
      </w:r>
      <w:r w:rsidR="0011344A">
        <w:rPr>
          <w:rFonts w:ascii="Encode Sans" w:hAnsi="Encode Sans"/>
          <w:color w:val="000000"/>
          <w:sz w:val="22"/>
          <w:szCs w:val="22"/>
        </w:rPr>
        <w:t>MOU</w:t>
      </w:r>
      <w:r w:rsidR="004B3851">
        <w:rPr>
          <w:rFonts w:ascii="Encode Sans" w:hAnsi="Encode Sans"/>
          <w:color w:val="000000"/>
          <w:sz w:val="22"/>
          <w:szCs w:val="22"/>
        </w:rPr>
        <w:t>”</w:t>
      </w:r>
      <w:r w:rsidR="0011344A">
        <w:rPr>
          <w:rFonts w:ascii="Encode Sans" w:hAnsi="Encode Sans"/>
          <w:color w:val="000000"/>
          <w:sz w:val="22"/>
          <w:szCs w:val="22"/>
        </w:rPr>
        <w:t>) non vincolante per la futura vendita di ampie quantità di prodotti a base di solfato di cobalto e nichel per le batterie da NiWest Nickel-Cobalt Project, in Australia Occidentale (</w:t>
      </w:r>
      <w:r w:rsidR="004B3851">
        <w:rPr>
          <w:rFonts w:ascii="Encode Sans" w:hAnsi="Encode Sans"/>
          <w:color w:val="000000"/>
          <w:sz w:val="22"/>
          <w:szCs w:val="22"/>
        </w:rPr>
        <w:t>“</w:t>
      </w:r>
      <w:r w:rsidR="0011344A">
        <w:rPr>
          <w:rFonts w:ascii="Encode Sans" w:hAnsi="Encode Sans"/>
          <w:color w:val="000000"/>
          <w:sz w:val="22"/>
          <w:szCs w:val="22"/>
        </w:rPr>
        <w:t>NiWest</w:t>
      </w:r>
      <w:r w:rsidR="004B3851">
        <w:rPr>
          <w:rFonts w:ascii="Encode Sans" w:hAnsi="Encode Sans"/>
          <w:color w:val="000000"/>
          <w:sz w:val="22"/>
          <w:szCs w:val="22"/>
        </w:rPr>
        <w:t>”</w:t>
      </w:r>
      <w:r w:rsidR="0011344A">
        <w:rPr>
          <w:rFonts w:ascii="Encode Sans" w:hAnsi="Encode Sans"/>
          <w:color w:val="000000"/>
          <w:sz w:val="22"/>
          <w:szCs w:val="22"/>
        </w:rPr>
        <w:t xml:space="preserve">). </w:t>
      </w:r>
    </w:p>
    <w:p w14:paraId="6A2B60C3" w14:textId="74C74268" w:rsidR="0011344A" w:rsidRPr="00044E26" w:rsidRDefault="0011344A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color w:val="000000"/>
          <w:sz w:val="22"/>
          <w:szCs w:val="22"/>
        </w:rPr>
      </w:pPr>
      <w:r>
        <w:rPr>
          <w:rFonts w:ascii="Encode Sans" w:hAnsi="Encode Sans"/>
          <w:color w:val="000000"/>
          <w:sz w:val="22"/>
          <w:szCs w:val="22"/>
        </w:rPr>
        <w:t>NiWest è un progetto di sviluppo avanzato sul nichel-cobalto e produrrà circa 90.000 tpa (tonnellate annue) di solfato di cobalto e nichel per batterie, destinate al fiorente mercato dei veicoli elettrici. Ad oggi, più di 30 milioni</w:t>
      </w:r>
      <w:r w:rsidR="001B5B66">
        <w:rPr>
          <w:rFonts w:ascii="Encode Sans" w:hAnsi="Encode Sans"/>
          <w:color w:val="000000"/>
          <w:sz w:val="22"/>
          <w:szCs w:val="22"/>
        </w:rPr>
        <w:t xml:space="preserve"> di dollari australiani</w:t>
      </w:r>
      <w:r>
        <w:rPr>
          <w:rFonts w:ascii="Encode Sans" w:hAnsi="Encode Sans"/>
          <w:color w:val="000000"/>
          <w:sz w:val="22"/>
          <w:szCs w:val="22"/>
        </w:rPr>
        <w:t xml:space="preserve"> sono stati investiti in trivellazioni, test preliminari nel settore metallurgico e studi di sviluppo. Questo mese avrà inizio anche uno studio di fattibilità definitivo per NiWest. La località proposta per </w:t>
      </w:r>
      <w:r w:rsidR="001F58EE">
        <w:rPr>
          <w:rFonts w:ascii="Encode Sans" w:hAnsi="Encode Sans"/>
          <w:color w:val="000000"/>
          <w:sz w:val="22"/>
          <w:szCs w:val="22"/>
        </w:rPr>
        <w:t>il centro</w:t>
      </w:r>
      <w:r>
        <w:rPr>
          <w:rFonts w:ascii="Encode Sans" w:hAnsi="Encode Sans"/>
          <w:color w:val="000000"/>
          <w:sz w:val="22"/>
          <w:szCs w:val="22"/>
        </w:rPr>
        <w:t xml:space="preserve"> di lavorazione NiWest si trova nel raggio di circa 30 chilometri dall</w:t>
      </w:r>
      <w:r w:rsidR="004B3851">
        <w:rPr>
          <w:rFonts w:ascii="Encode Sans" w:hAnsi="Encode Sans"/>
          <w:color w:val="000000"/>
          <w:sz w:val="22"/>
          <w:szCs w:val="22"/>
        </w:rPr>
        <w:t>’</w:t>
      </w:r>
      <w:r w:rsidR="003B3239">
        <w:rPr>
          <w:rFonts w:ascii="Encode Sans" w:hAnsi="Encode Sans"/>
          <w:color w:val="000000"/>
          <w:sz w:val="22"/>
          <w:szCs w:val="22"/>
        </w:rPr>
        <w:t>impianto</w:t>
      </w:r>
      <w:r>
        <w:rPr>
          <w:rFonts w:ascii="Encode Sans" w:hAnsi="Encode Sans"/>
          <w:color w:val="000000"/>
          <w:sz w:val="22"/>
          <w:szCs w:val="22"/>
        </w:rPr>
        <w:t xml:space="preserve"> Murrin</w:t>
      </w:r>
      <w:r>
        <w:rPr>
          <w:rFonts w:ascii="Encode Sans" w:hAnsi="Encode Sans"/>
        </w:rPr>
        <w:t xml:space="preserve"> </w:t>
      </w:r>
      <w:r>
        <w:rPr>
          <w:rFonts w:ascii="Encode Sans" w:hAnsi="Encode Sans"/>
          <w:color w:val="000000"/>
          <w:sz w:val="22"/>
          <w:szCs w:val="22"/>
        </w:rPr>
        <w:t>Murrin,</w:t>
      </w:r>
      <w:r w:rsidR="003B3239">
        <w:rPr>
          <w:rFonts w:ascii="Encode Sans" w:hAnsi="Encode Sans"/>
          <w:color w:val="000000"/>
          <w:sz w:val="22"/>
          <w:szCs w:val="22"/>
        </w:rPr>
        <w:t xml:space="preserve"> di proprietà della Glencore,</w:t>
      </w:r>
      <w:r>
        <w:rPr>
          <w:rFonts w:ascii="Encode Sans" w:hAnsi="Encode Sans"/>
          <w:color w:val="000000"/>
          <w:sz w:val="22"/>
          <w:szCs w:val="22"/>
        </w:rPr>
        <w:t xml:space="preserve"> </w:t>
      </w:r>
      <w:r w:rsidR="001B5B66">
        <w:rPr>
          <w:rFonts w:ascii="Encode Sans" w:hAnsi="Encode Sans"/>
          <w:color w:val="000000"/>
          <w:sz w:val="22"/>
          <w:szCs w:val="22"/>
        </w:rPr>
        <w:t xml:space="preserve">il </w:t>
      </w:r>
      <w:r>
        <w:rPr>
          <w:rFonts w:ascii="Encode Sans" w:hAnsi="Encode Sans"/>
          <w:color w:val="000000"/>
          <w:sz w:val="22"/>
          <w:szCs w:val="22"/>
        </w:rPr>
        <w:t xml:space="preserve">più grande </w:t>
      </w:r>
      <w:r w:rsidR="001B5B66">
        <w:rPr>
          <w:rFonts w:ascii="Encode Sans" w:hAnsi="Encode Sans"/>
          <w:color w:val="000000"/>
          <w:sz w:val="22"/>
          <w:szCs w:val="22"/>
        </w:rPr>
        <w:t xml:space="preserve">sito </w:t>
      </w:r>
      <w:r>
        <w:rPr>
          <w:rFonts w:ascii="Encode Sans" w:hAnsi="Encode Sans"/>
          <w:color w:val="000000"/>
          <w:sz w:val="22"/>
          <w:szCs w:val="22"/>
        </w:rPr>
        <w:t>in Australia per l</w:t>
      </w:r>
      <w:r w:rsidR="004B3851">
        <w:rPr>
          <w:rFonts w:ascii="Encode Sans" w:hAnsi="Encode Sans"/>
          <w:color w:val="000000"/>
          <w:sz w:val="22"/>
          <w:szCs w:val="22"/>
        </w:rPr>
        <w:t>’</w:t>
      </w:r>
      <w:r>
        <w:rPr>
          <w:rFonts w:ascii="Encode Sans" w:hAnsi="Encode Sans"/>
          <w:color w:val="000000"/>
          <w:sz w:val="22"/>
          <w:szCs w:val="22"/>
        </w:rPr>
        <w:t>estrazione di nichel-cobalto.</w:t>
      </w:r>
    </w:p>
    <w:p w14:paraId="6E6180BA" w14:textId="12F05891" w:rsidR="00D90200" w:rsidRPr="00044E26" w:rsidRDefault="004B3851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color w:val="000000"/>
          <w:sz w:val="22"/>
          <w:szCs w:val="22"/>
        </w:rPr>
      </w:pPr>
      <w:r>
        <w:rPr>
          <w:rFonts w:ascii="Encode Sans" w:hAnsi="Encode Sans"/>
          <w:color w:val="000000"/>
          <w:sz w:val="22"/>
          <w:szCs w:val="22"/>
        </w:rPr>
        <w:t>“</w:t>
      </w:r>
      <w:r w:rsidR="00DB7F49">
        <w:rPr>
          <w:rFonts w:ascii="Encode Sans" w:hAnsi="Encode Sans"/>
          <w:color w:val="000000"/>
          <w:sz w:val="22"/>
          <w:szCs w:val="22"/>
        </w:rPr>
        <w:t xml:space="preserve">Stellantis lavora quotidianamente per offrire ai </w:t>
      </w:r>
      <w:r w:rsidR="008763BD">
        <w:rPr>
          <w:rFonts w:ascii="Encode Sans" w:hAnsi="Encode Sans"/>
          <w:color w:val="000000"/>
          <w:sz w:val="22"/>
          <w:szCs w:val="22"/>
        </w:rPr>
        <w:t xml:space="preserve">nostri </w:t>
      </w:r>
      <w:r w:rsidR="00DB7F49">
        <w:rPr>
          <w:rFonts w:ascii="Encode Sans" w:hAnsi="Encode Sans"/>
          <w:color w:val="000000"/>
          <w:sz w:val="22"/>
          <w:szCs w:val="22"/>
        </w:rPr>
        <w:t>clienti una libertà di movimento d</w:t>
      </w:r>
      <w:r>
        <w:rPr>
          <w:rFonts w:ascii="Encode Sans" w:hAnsi="Encode Sans"/>
          <w:color w:val="000000"/>
          <w:sz w:val="22"/>
          <w:szCs w:val="22"/>
        </w:rPr>
        <w:t>’</w:t>
      </w:r>
      <w:r w:rsidR="00DB7F49">
        <w:rPr>
          <w:rFonts w:ascii="Encode Sans" w:hAnsi="Encode Sans"/>
          <w:color w:val="000000"/>
          <w:sz w:val="22"/>
          <w:szCs w:val="22"/>
        </w:rPr>
        <w:t xml:space="preserve">avanguardia, pulita, sicura, economicamente </w:t>
      </w:r>
      <w:r w:rsidR="008763BD">
        <w:rPr>
          <w:rFonts w:ascii="Encode Sans" w:hAnsi="Encode Sans"/>
          <w:color w:val="000000"/>
          <w:sz w:val="22"/>
          <w:szCs w:val="22"/>
        </w:rPr>
        <w:t>accessibile</w:t>
      </w:r>
      <w:r>
        <w:rPr>
          <w:rFonts w:ascii="Encode Sans" w:hAnsi="Encode Sans"/>
          <w:color w:val="000000"/>
          <w:sz w:val="22"/>
          <w:szCs w:val="22"/>
        </w:rPr>
        <w:t>”</w:t>
      </w:r>
      <w:r w:rsidR="00DB7F49">
        <w:rPr>
          <w:rFonts w:ascii="Encode Sans" w:hAnsi="Encode Sans"/>
          <w:color w:val="000000"/>
          <w:sz w:val="22"/>
          <w:szCs w:val="22"/>
        </w:rPr>
        <w:t xml:space="preserve">, ha affermato Maxime Picat, Chief Purchasing and Supply Chain Officer di Stellantis. </w:t>
      </w:r>
      <w:r>
        <w:rPr>
          <w:rFonts w:ascii="Encode Sans" w:hAnsi="Encode Sans"/>
          <w:color w:val="000000"/>
          <w:sz w:val="22"/>
          <w:szCs w:val="22"/>
        </w:rPr>
        <w:t>“</w:t>
      </w:r>
      <w:r w:rsidR="00DB7F49">
        <w:rPr>
          <w:rFonts w:ascii="Encode Sans" w:hAnsi="Encode Sans"/>
          <w:color w:val="000000"/>
          <w:sz w:val="22"/>
          <w:szCs w:val="22"/>
        </w:rPr>
        <w:t>Assicurarsi nuove fonti di approvvigionamento delle materie prime e la fornitura di batterie rafforzerà la value chain di Stellantis per la produzione delle batterie destinate ai veicoli elettrici e, aspetto altrettanto importante, aiuterà l</w:t>
      </w:r>
      <w:r>
        <w:rPr>
          <w:rFonts w:ascii="Encode Sans" w:hAnsi="Encode Sans"/>
          <w:color w:val="000000"/>
          <w:sz w:val="22"/>
          <w:szCs w:val="22"/>
        </w:rPr>
        <w:t>’</w:t>
      </w:r>
      <w:r w:rsidR="00DB7F49">
        <w:rPr>
          <w:rFonts w:ascii="Encode Sans" w:hAnsi="Encode Sans"/>
          <w:color w:val="000000"/>
          <w:sz w:val="22"/>
          <w:szCs w:val="22"/>
        </w:rPr>
        <w:t>azienda a raggiungere l</w:t>
      </w:r>
      <w:r>
        <w:rPr>
          <w:rFonts w:ascii="Encode Sans" w:hAnsi="Encode Sans"/>
          <w:color w:val="000000"/>
          <w:sz w:val="22"/>
          <w:szCs w:val="22"/>
        </w:rPr>
        <w:t>’</w:t>
      </w:r>
      <w:r w:rsidR="00DB7F49">
        <w:rPr>
          <w:rFonts w:ascii="Encode Sans" w:hAnsi="Encode Sans"/>
          <w:color w:val="000000"/>
          <w:sz w:val="22"/>
          <w:szCs w:val="22"/>
        </w:rPr>
        <w:t>ambizioso obiettivo di decarbonizzazione</w:t>
      </w:r>
      <w:r>
        <w:rPr>
          <w:rFonts w:ascii="Encode Sans" w:hAnsi="Encode Sans"/>
          <w:color w:val="000000"/>
          <w:sz w:val="22"/>
          <w:szCs w:val="22"/>
        </w:rPr>
        <w:t>”</w:t>
      </w:r>
      <w:r w:rsidR="00DB7F49">
        <w:rPr>
          <w:rFonts w:ascii="Encode Sans" w:hAnsi="Encode Sans"/>
          <w:color w:val="000000"/>
          <w:sz w:val="22"/>
          <w:szCs w:val="22"/>
        </w:rPr>
        <w:t>.</w:t>
      </w:r>
    </w:p>
    <w:p w14:paraId="062597E8" w14:textId="57D4918A" w:rsidR="00044E26" w:rsidRPr="00044E26" w:rsidRDefault="00044E26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color w:val="000000"/>
          <w:sz w:val="22"/>
          <w:szCs w:val="22"/>
        </w:rPr>
      </w:pPr>
      <w:r>
        <w:rPr>
          <w:rFonts w:ascii="Encode Sans" w:hAnsi="Encode Sans"/>
          <w:color w:val="000000"/>
          <w:sz w:val="22"/>
          <w:szCs w:val="22"/>
        </w:rPr>
        <w:t xml:space="preserve">Nell’ambito del piano strategico </w:t>
      </w:r>
      <w:hyperlink r:id="rId13" w:history="1">
        <w:r>
          <w:rPr>
            <w:rStyle w:val="Hyperlink"/>
            <w:rFonts w:ascii="Encode Sans" w:hAnsi="Encode Sans"/>
            <w:sz w:val="22"/>
            <w:szCs w:val="22"/>
            <w:u w:val="single"/>
          </w:rPr>
          <w:t>Dare Forward 2030</w:t>
        </w:r>
      </w:hyperlink>
      <w:r>
        <w:t xml:space="preserve">, </w:t>
      </w:r>
      <w:r w:rsidRPr="0089439C">
        <w:rPr>
          <w:rFonts w:ascii="Encode Sans" w:hAnsi="Encode Sans"/>
          <w:color w:val="000000"/>
          <w:sz w:val="22"/>
          <w:szCs w:val="22"/>
        </w:rPr>
        <w:t xml:space="preserve">Stellantis ha annunciato l’obiettivo di </w:t>
      </w:r>
      <w:r w:rsidR="008763BD">
        <w:rPr>
          <w:rFonts w:ascii="Encode Sans" w:hAnsi="Encode Sans"/>
          <w:color w:val="000000"/>
          <w:sz w:val="22"/>
          <w:szCs w:val="22"/>
        </w:rPr>
        <w:t>raggiungere</w:t>
      </w:r>
      <w:r w:rsidR="008763BD" w:rsidRPr="0089439C">
        <w:rPr>
          <w:rFonts w:ascii="Encode Sans" w:hAnsi="Encode Sans"/>
          <w:color w:val="000000"/>
          <w:sz w:val="22"/>
          <w:szCs w:val="22"/>
        </w:rPr>
        <w:t xml:space="preserve"> </w:t>
      </w:r>
      <w:r w:rsidRPr="0089439C">
        <w:rPr>
          <w:rFonts w:ascii="Encode Sans" w:hAnsi="Encode Sans"/>
          <w:color w:val="000000"/>
          <w:sz w:val="22"/>
          <w:szCs w:val="22"/>
        </w:rPr>
        <w:t xml:space="preserve">entro il </w:t>
      </w:r>
      <w:r w:rsidR="008763BD">
        <w:rPr>
          <w:rFonts w:ascii="Encode Sans" w:hAnsi="Encode Sans"/>
          <w:color w:val="000000"/>
          <w:sz w:val="22"/>
          <w:szCs w:val="22"/>
        </w:rPr>
        <w:t xml:space="preserve">2030 </w:t>
      </w:r>
      <w:r w:rsidR="008763BD" w:rsidRPr="008763BD">
        <w:rPr>
          <w:rFonts w:ascii="Encode Sans" w:hAnsi="Encode Sans"/>
          <w:color w:val="000000"/>
          <w:sz w:val="22"/>
          <w:szCs w:val="22"/>
        </w:rPr>
        <w:t xml:space="preserve">il 100% del mix di vendite di autovetture </w:t>
      </w:r>
      <w:r w:rsidR="00E45814">
        <w:rPr>
          <w:rFonts w:ascii="Encode Sans" w:hAnsi="Encode Sans"/>
          <w:color w:val="000000"/>
          <w:sz w:val="22"/>
          <w:szCs w:val="22"/>
        </w:rPr>
        <w:t>elettriche a batteria (</w:t>
      </w:r>
      <w:r w:rsidR="00E45814" w:rsidRPr="008763BD">
        <w:rPr>
          <w:rFonts w:ascii="Encode Sans" w:hAnsi="Encode Sans"/>
          <w:color w:val="000000"/>
          <w:sz w:val="22"/>
          <w:szCs w:val="22"/>
        </w:rPr>
        <w:t>BEV</w:t>
      </w:r>
      <w:r w:rsidR="00E45814">
        <w:rPr>
          <w:rFonts w:ascii="Encode Sans" w:hAnsi="Encode Sans"/>
          <w:color w:val="000000"/>
          <w:sz w:val="22"/>
          <w:szCs w:val="22"/>
        </w:rPr>
        <w:t>)</w:t>
      </w:r>
      <w:r w:rsidR="00E45814" w:rsidRPr="008763BD">
        <w:rPr>
          <w:rFonts w:ascii="Encode Sans" w:hAnsi="Encode Sans"/>
          <w:color w:val="000000"/>
          <w:sz w:val="22"/>
          <w:szCs w:val="22"/>
        </w:rPr>
        <w:t xml:space="preserve"> </w:t>
      </w:r>
      <w:r w:rsidR="008763BD" w:rsidRPr="008763BD">
        <w:rPr>
          <w:rFonts w:ascii="Encode Sans" w:hAnsi="Encode Sans"/>
          <w:color w:val="000000"/>
          <w:sz w:val="22"/>
          <w:szCs w:val="22"/>
        </w:rPr>
        <w:t xml:space="preserve">in Europa e il 50% di autovetture e veicoli leggeri </w:t>
      </w:r>
      <w:r w:rsidR="00E45814">
        <w:rPr>
          <w:rFonts w:ascii="Encode Sans" w:hAnsi="Encode Sans"/>
          <w:color w:val="000000"/>
          <w:sz w:val="22"/>
          <w:szCs w:val="22"/>
        </w:rPr>
        <w:t xml:space="preserve">BEV </w:t>
      </w:r>
      <w:r w:rsidR="008763BD" w:rsidRPr="008763BD">
        <w:rPr>
          <w:rFonts w:ascii="Encode Sans" w:hAnsi="Encode Sans"/>
          <w:color w:val="000000"/>
          <w:sz w:val="22"/>
          <w:szCs w:val="22"/>
        </w:rPr>
        <w:t>negli Stati Uniti</w:t>
      </w:r>
      <w:r w:rsidR="0091229A">
        <w:rPr>
          <w:rFonts w:ascii="Encode Sans" w:hAnsi="Encode Sans"/>
          <w:color w:val="000000"/>
          <w:sz w:val="22"/>
          <w:szCs w:val="22"/>
        </w:rPr>
        <w:t xml:space="preserve">. </w:t>
      </w:r>
      <w:r>
        <w:rPr>
          <w:rFonts w:ascii="Encode Sans" w:hAnsi="Encode Sans"/>
          <w:color w:val="000000"/>
          <w:sz w:val="22"/>
          <w:szCs w:val="22"/>
        </w:rPr>
        <w:t>Stellantis sarà il punto di riferimento del settore nel contrasto al cambiamento climatico, con l’obiettivo di raggiungere</w:t>
      </w:r>
      <w:r w:rsidR="008763BD">
        <w:rPr>
          <w:rFonts w:ascii="Encode Sans" w:hAnsi="Encode Sans"/>
          <w:color w:val="000000"/>
          <w:sz w:val="22"/>
          <w:szCs w:val="22"/>
        </w:rPr>
        <w:t xml:space="preserve"> </w:t>
      </w:r>
      <w:r w:rsidR="008763BD" w:rsidRPr="008763BD">
        <w:rPr>
          <w:rFonts w:ascii="Encode Sans" w:hAnsi="Encode Sans"/>
          <w:color w:val="000000"/>
          <w:sz w:val="22"/>
          <w:szCs w:val="22"/>
        </w:rPr>
        <w:t>le zero emissioni</w:t>
      </w:r>
      <w:r w:rsidR="008763BD">
        <w:rPr>
          <w:rFonts w:ascii="Encode Sans" w:hAnsi="Encode Sans"/>
          <w:color w:val="000000"/>
          <w:sz w:val="22"/>
          <w:szCs w:val="22"/>
        </w:rPr>
        <w:t xml:space="preserve"> nette</w:t>
      </w:r>
      <w:r w:rsidR="008763BD" w:rsidRPr="008763BD">
        <w:rPr>
          <w:rFonts w:ascii="Encode Sans" w:hAnsi="Encode Sans"/>
          <w:color w:val="000000"/>
          <w:sz w:val="22"/>
          <w:szCs w:val="22"/>
        </w:rPr>
        <w:t xml:space="preserve"> di carbonio entro il 2038, con una riduzione del 50% entro il 2030</w:t>
      </w:r>
      <w:r>
        <w:rPr>
          <w:rFonts w:ascii="Encode Sans" w:hAnsi="Encode Sans"/>
          <w:color w:val="000000"/>
          <w:sz w:val="22"/>
          <w:szCs w:val="22"/>
        </w:rPr>
        <w:t xml:space="preserve">. </w:t>
      </w:r>
    </w:p>
    <w:p w14:paraId="601CE645" w14:textId="0ACA5D5E" w:rsidR="00E877EC" w:rsidRPr="00044E26" w:rsidRDefault="004B3851" w:rsidP="00E45814">
      <w:pPr>
        <w:spacing w:after="0"/>
        <w:rPr>
          <w:rFonts w:ascii="Encode Sans" w:eastAsia="Times New Roman" w:hAnsi="Encode Sans" w:cs="Times New Roman"/>
          <w:sz w:val="22"/>
          <w:szCs w:val="22"/>
        </w:rPr>
      </w:pPr>
      <w:r>
        <w:rPr>
          <w:rFonts w:ascii="Encode Sans" w:hAnsi="Encode Sans"/>
          <w:sz w:val="22"/>
          <w:szCs w:val="22"/>
        </w:rPr>
        <w:lastRenderedPageBreak/>
        <w:t>“</w:t>
      </w:r>
      <w:r w:rsidR="00E877EC">
        <w:rPr>
          <w:rFonts w:ascii="Encode Sans" w:hAnsi="Encode Sans"/>
          <w:sz w:val="22"/>
          <w:szCs w:val="22"/>
        </w:rPr>
        <w:t>Stellantis è un partner di altissimo livello e GME è onorata di aver sottoscritto questo memorandum d</w:t>
      </w:r>
      <w:r>
        <w:rPr>
          <w:rFonts w:ascii="Encode Sans" w:hAnsi="Encode Sans"/>
          <w:sz w:val="22"/>
          <w:szCs w:val="22"/>
        </w:rPr>
        <w:t>’</w:t>
      </w:r>
      <w:r w:rsidR="00E877EC">
        <w:rPr>
          <w:rFonts w:ascii="Encode Sans" w:hAnsi="Encode Sans"/>
          <w:sz w:val="22"/>
          <w:szCs w:val="22"/>
        </w:rPr>
        <w:t>intesa di quella che ci auguriamo possa essere una partnership a lungo termine</w:t>
      </w:r>
      <w:r>
        <w:rPr>
          <w:rFonts w:ascii="Encode Sans" w:hAnsi="Encode Sans"/>
          <w:sz w:val="22"/>
          <w:szCs w:val="22"/>
        </w:rPr>
        <w:t>”</w:t>
      </w:r>
      <w:r w:rsidR="00E877EC">
        <w:rPr>
          <w:rFonts w:ascii="Encode Sans" w:hAnsi="Encode Sans"/>
          <w:sz w:val="22"/>
          <w:szCs w:val="22"/>
        </w:rPr>
        <w:t xml:space="preserve">, ha affermato Paul Kopejtka, </w:t>
      </w:r>
      <w:r w:rsidR="00E45814">
        <w:rPr>
          <w:rFonts w:ascii="Encode Sans" w:hAnsi="Encode Sans"/>
          <w:sz w:val="22"/>
          <w:szCs w:val="22"/>
        </w:rPr>
        <w:t>A</w:t>
      </w:r>
      <w:r w:rsidR="00E877EC">
        <w:rPr>
          <w:rFonts w:ascii="Encode Sans" w:hAnsi="Encode Sans"/>
          <w:sz w:val="22"/>
          <w:szCs w:val="22"/>
        </w:rPr>
        <w:t xml:space="preserve">mministratore </w:t>
      </w:r>
      <w:r w:rsidR="00E45814">
        <w:rPr>
          <w:rFonts w:ascii="Encode Sans" w:hAnsi="Encode Sans"/>
          <w:sz w:val="22"/>
          <w:szCs w:val="22"/>
        </w:rPr>
        <w:t>D</w:t>
      </w:r>
      <w:r w:rsidR="00E877EC">
        <w:rPr>
          <w:rFonts w:ascii="Encode Sans" w:hAnsi="Encode Sans"/>
          <w:sz w:val="22"/>
          <w:szCs w:val="22"/>
        </w:rPr>
        <w:t xml:space="preserve">elegato di GME. </w:t>
      </w:r>
      <w:r>
        <w:rPr>
          <w:rFonts w:ascii="Encode Sans" w:hAnsi="Encode Sans"/>
          <w:sz w:val="22"/>
          <w:szCs w:val="22"/>
        </w:rPr>
        <w:t>“</w:t>
      </w:r>
      <w:r w:rsidR="00E877EC">
        <w:rPr>
          <w:rFonts w:ascii="Encode Sans" w:hAnsi="Encode Sans"/>
          <w:sz w:val="22"/>
          <w:szCs w:val="22"/>
        </w:rPr>
        <w:t>Siamo molto soddisfatti dei progressi compiuti dalle nostre discussioni e auspichiamo di portare avanti altre trattative più dettagliate, parallelamente all</w:t>
      </w:r>
      <w:r>
        <w:rPr>
          <w:rFonts w:ascii="Encode Sans" w:hAnsi="Encode Sans"/>
          <w:sz w:val="22"/>
          <w:szCs w:val="22"/>
        </w:rPr>
        <w:t>’</w:t>
      </w:r>
      <w:r w:rsidR="00E877EC">
        <w:rPr>
          <w:rFonts w:ascii="Encode Sans" w:hAnsi="Encode Sans"/>
          <w:sz w:val="22"/>
          <w:szCs w:val="22"/>
        </w:rPr>
        <w:t>avvio dello studio di fattibilità definitivo per il NiWest Nickel-Cobalt Project. Un Accordo Definitivo con Stellantis sarebbe un passaggio fondamentale per portare avanti il NiWest Project fino ad arrivare alle operazioni commerciali</w:t>
      </w:r>
      <w:r>
        <w:rPr>
          <w:rFonts w:ascii="Encode Sans" w:hAnsi="Encode Sans"/>
          <w:sz w:val="22"/>
          <w:szCs w:val="22"/>
        </w:rPr>
        <w:t>”</w:t>
      </w:r>
      <w:r w:rsidR="00E877EC">
        <w:rPr>
          <w:rFonts w:ascii="Encode Sans" w:hAnsi="Encode Sans"/>
          <w:sz w:val="22"/>
          <w:szCs w:val="22"/>
        </w:rPr>
        <w:t>.</w:t>
      </w:r>
    </w:p>
    <w:p w14:paraId="6228D159" w14:textId="77777777" w:rsidR="00C202F5" w:rsidRPr="00797F96" w:rsidRDefault="00C202F5" w:rsidP="008943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ncode Sans" w:eastAsia="Arial" w:hAnsi="Encode Sans" w:cs="Arial"/>
          <w:sz w:val="22"/>
          <w:szCs w:val="22"/>
        </w:rPr>
      </w:pPr>
    </w:p>
    <w:p w14:paraId="48503932" w14:textId="093C1F9C" w:rsidR="00C818B8" w:rsidRPr="00044E26" w:rsidRDefault="00C818B8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All</w:t>
      </w:r>
      <w:r w:rsidR="004B3851">
        <w:rPr>
          <w:rFonts w:ascii="Encode Sans" w:hAnsi="Encode Sans"/>
          <w:sz w:val="22"/>
          <w:szCs w:val="22"/>
        </w:rPr>
        <w:t>’</w:t>
      </w:r>
      <w:r>
        <w:rPr>
          <w:rFonts w:ascii="Encode Sans" w:hAnsi="Encode Sans"/>
          <w:sz w:val="22"/>
          <w:szCs w:val="22"/>
        </w:rPr>
        <w:t>inizio di quest</w:t>
      </w:r>
      <w:r w:rsidR="004B3851">
        <w:rPr>
          <w:rFonts w:ascii="Encode Sans" w:hAnsi="Encode Sans"/>
          <w:sz w:val="22"/>
          <w:szCs w:val="22"/>
        </w:rPr>
        <w:t>’</w:t>
      </w:r>
      <w:r>
        <w:rPr>
          <w:rFonts w:ascii="Encode Sans" w:hAnsi="Encode Sans"/>
          <w:sz w:val="22"/>
          <w:szCs w:val="22"/>
        </w:rPr>
        <w:t xml:space="preserve">anno, Stellantis ha rafforzato la propria fornitura di idrossido di litio a basso contenuto di carbonio, sottoscrivendo accordi rispettivamente con </w:t>
      </w:r>
      <w:hyperlink r:id="rId14" w:history="1">
        <w:r>
          <w:rPr>
            <w:rStyle w:val="Hyperlink"/>
            <w:rFonts w:ascii="Encode Sans" w:hAnsi="Encode Sans"/>
            <w:sz w:val="22"/>
            <w:szCs w:val="22"/>
            <w:u w:val="single"/>
          </w:rPr>
          <w:t>Vulcan Energy</w:t>
        </w:r>
      </w:hyperlink>
      <w:r>
        <w:rPr>
          <w:rFonts w:ascii="Encode Sans" w:hAnsi="Encode Sans"/>
          <w:sz w:val="22"/>
          <w:szCs w:val="22"/>
        </w:rPr>
        <w:t xml:space="preserve"> e </w:t>
      </w:r>
      <w:hyperlink r:id="rId15" w:history="1">
        <w:r>
          <w:rPr>
            <w:rStyle w:val="Hyperlink"/>
            <w:rFonts w:ascii="Encode Sans" w:hAnsi="Encode Sans"/>
            <w:sz w:val="22"/>
            <w:szCs w:val="22"/>
            <w:u w:val="single"/>
          </w:rPr>
          <w:t>Controlled Thermal Resources</w:t>
        </w:r>
      </w:hyperlink>
      <w:r>
        <w:rPr>
          <w:rFonts w:ascii="Encode Sans" w:hAnsi="Encode Sans"/>
          <w:sz w:val="22"/>
          <w:szCs w:val="22"/>
        </w:rPr>
        <w:t xml:space="preserve"> per Europa e Nord America. </w:t>
      </w:r>
    </w:p>
    <w:p w14:paraId="6F62FFB6" w14:textId="6D0638E6" w:rsidR="00DA44D2" w:rsidRPr="00044E26" w:rsidRDefault="00DA44D2" w:rsidP="0089439C">
      <w:pPr>
        <w:pBdr>
          <w:top w:val="nil"/>
          <w:left w:val="nil"/>
          <w:bottom w:val="nil"/>
          <w:right w:val="nil"/>
          <w:between w:val="nil"/>
        </w:pBdr>
        <w:rPr>
          <w:rFonts w:ascii="Encode Sans" w:eastAsia="Arial" w:hAnsi="Encode Sans" w:cs="Arial"/>
          <w:color w:val="000000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La chiusura del m</w:t>
      </w:r>
      <w:r w:rsidR="00450FFA">
        <w:rPr>
          <w:rFonts w:ascii="Encode Sans" w:hAnsi="Encode Sans"/>
          <w:sz w:val="22"/>
          <w:szCs w:val="22"/>
        </w:rPr>
        <w:t>e</w:t>
      </w:r>
      <w:r>
        <w:rPr>
          <w:rFonts w:ascii="Encode Sans" w:hAnsi="Encode Sans"/>
          <w:sz w:val="22"/>
          <w:szCs w:val="22"/>
        </w:rPr>
        <w:t>morandum d</w:t>
      </w:r>
      <w:r w:rsidR="004B3851">
        <w:rPr>
          <w:rFonts w:ascii="Encode Sans" w:hAnsi="Encode Sans"/>
          <w:sz w:val="22"/>
          <w:szCs w:val="22"/>
        </w:rPr>
        <w:t>’</w:t>
      </w:r>
      <w:r>
        <w:rPr>
          <w:rFonts w:ascii="Encode Sans" w:hAnsi="Encode Sans"/>
          <w:sz w:val="22"/>
          <w:szCs w:val="22"/>
        </w:rPr>
        <w:t xml:space="preserve">intesa non vincolante è soggetta alle consuete condizioni di chiusura, incluse le approvazioni normative. </w:t>
      </w:r>
    </w:p>
    <w:p w14:paraId="2E5CA74B" w14:textId="7BECE320" w:rsidR="007F0624" w:rsidRPr="00044E26" w:rsidRDefault="007F0624" w:rsidP="007F0624">
      <w:pPr>
        <w:jc w:val="center"/>
        <w:rPr>
          <w:rFonts w:ascii="Encode Sans" w:eastAsia="Encode Sans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# # #</w:t>
      </w:r>
    </w:p>
    <w:p w14:paraId="46D4EF33" w14:textId="77777777" w:rsidR="00211BDA" w:rsidRPr="00044E26" w:rsidRDefault="00211BDA" w:rsidP="00E653B0">
      <w:pPr>
        <w:spacing w:after="0"/>
        <w:rPr>
          <w:rFonts w:ascii="Encode Sans" w:eastAsia="Times New Roman" w:hAnsi="Encode Sans" w:cs="Arial"/>
          <w:b/>
          <w:bCs/>
          <w:sz w:val="22"/>
          <w:szCs w:val="22"/>
        </w:rPr>
      </w:pPr>
      <w:bookmarkStart w:id="0" w:name="_Hlk106354158"/>
      <w:r>
        <w:rPr>
          <w:rFonts w:ascii="Encode Sans" w:hAnsi="Encode Sans"/>
          <w:b/>
          <w:bCs/>
          <w:sz w:val="22"/>
          <w:szCs w:val="22"/>
        </w:rPr>
        <w:t>Stellantis</w:t>
      </w:r>
    </w:p>
    <w:p w14:paraId="71E955B6" w14:textId="4064BFB5" w:rsidR="00211BDA" w:rsidRPr="00AD0768" w:rsidRDefault="00797F96">
      <w:pPr>
        <w:spacing w:after="0"/>
        <w:rPr>
          <w:rFonts w:ascii="Encode Sans" w:eastAsia="Times New Roman" w:hAnsi="Encode Sans" w:cs="Arial"/>
          <w:i/>
          <w:iCs/>
          <w:sz w:val="22"/>
          <w:szCs w:val="22"/>
        </w:rPr>
      </w:pPr>
      <w:r w:rsidRPr="00AD0768">
        <w:rPr>
          <w:rFonts w:ascii="Encode Sans" w:hAnsi="Encode Sans"/>
          <w:i/>
          <w:iCs/>
          <w:sz w:val="22"/>
          <w:szCs w:val="22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www.stellantis.com.</w:t>
      </w:r>
    </w:p>
    <w:bookmarkEnd w:id="0"/>
    <w:p w14:paraId="4B1252EB" w14:textId="466624CF" w:rsidR="009D782E" w:rsidRPr="00044E26" w:rsidRDefault="009D782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Encode Sans" w:eastAsia="Arial" w:hAnsi="Encode Sans" w:cs="Arial"/>
          <w:iCs/>
          <w:color w:val="000000"/>
          <w:sz w:val="22"/>
          <w:szCs w:val="22"/>
        </w:rPr>
      </w:pPr>
    </w:p>
    <w:p w14:paraId="579EFB0E" w14:textId="09122A78" w:rsidR="00DF0988" w:rsidRPr="00044E26" w:rsidRDefault="00DF0988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Encode Sans" w:eastAsia="Arial" w:hAnsi="Encode Sans" w:cs="Arial"/>
          <w:iCs/>
          <w:color w:val="000000"/>
          <w:sz w:val="22"/>
          <w:szCs w:val="22"/>
        </w:rPr>
      </w:pPr>
    </w:p>
    <w:p w14:paraId="63216D44" w14:textId="77777777" w:rsidR="00DF0988" w:rsidRPr="00044E26" w:rsidRDefault="00DF0988" w:rsidP="00DF0988">
      <w:pPr>
        <w:spacing w:after="0"/>
        <w:jc w:val="left"/>
        <w:rPr>
          <w:rFonts w:ascii="Encode Sans" w:eastAsia="Times New Roman" w:hAnsi="Encode Sans" w:cs="Times New Roman"/>
          <w:sz w:val="22"/>
          <w:szCs w:val="22"/>
        </w:rPr>
      </w:pPr>
      <w:r>
        <w:rPr>
          <w:rFonts w:ascii="Encode Sans" w:hAnsi="Encode Sans"/>
          <w:b/>
          <w:bCs/>
          <w:sz w:val="22"/>
          <w:szCs w:val="22"/>
        </w:rPr>
        <w:t>GME Resources Limited</w:t>
      </w:r>
    </w:p>
    <w:p w14:paraId="18F40407" w14:textId="4CA041F4" w:rsidR="00DF0988" w:rsidRPr="00AD0768" w:rsidRDefault="00DF0988" w:rsidP="00AD0768">
      <w:pPr>
        <w:spacing w:after="0"/>
        <w:rPr>
          <w:rFonts w:asciiTheme="minorHAnsi" w:eastAsia="Arial" w:hAnsiTheme="minorHAnsi" w:cs="Arial"/>
          <w:i/>
          <w:iCs/>
          <w:color w:val="000000"/>
          <w:sz w:val="22"/>
          <w:szCs w:val="22"/>
        </w:rPr>
      </w:pPr>
      <w:r w:rsidRPr="00AD0768">
        <w:rPr>
          <w:rFonts w:asciiTheme="minorHAnsi" w:hAnsiTheme="minorHAnsi"/>
          <w:i/>
          <w:iCs/>
          <w:sz w:val="22"/>
          <w:szCs w:val="22"/>
        </w:rPr>
        <w:t xml:space="preserve">GME Resources Limited è un'azienda di esplorazione e sviluppo quotata nella Borsa Valori australiana, con interessi su nichel, cobalto, oro in Australia Occidentale. L'asset principale di GME è il NiWest Nickel Cobalt Project, di sua proprietà al 100%, situato accanto a Murrin Murrin Operations di Glencore. L'azienda ha completato uno studio di pre-fattibilità che ha confermato la realizzabilità tecnica ed economica di un'operazione di estrazione di solventi diretta e lisciviazione per accumulo, in uno dei depositi di nichel-cobalto più grandi e non sviluppati in Australia. Per maggiori informazioni, visitare il sito Web di GME: </w:t>
      </w:r>
      <w:hyperlink r:id="rId16" w:history="1">
        <w:r w:rsidRPr="00AD0768">
          <w:rPr>
            <w:rFonts w:asciiTheme="minorHAnsi" w:hAnsiTheme="minorHAnsi"/>
            <w:i/>
            <w:iCs/>
            <w:color w:val="0000FF"/>
            <w:sz w:val="22"/>
            <w:szCs w:val="22"/>
            <w:u w:val="single"/>
          </w:rPr>
          <w:t>www.gmeresources.com.au</w:t>
        </w:r>
      </w:hyperlink>
    </w:p>
    <w:p w14:paraId="295F216C" w14:textId="77777777" w:rsidR="00DF61C4" w:rsidRPr="00044E26" w:rsidRDefault="00DF61C4">
      <w:pPr>
        <w:spacing w:after="0"/>
        <w:jc w:val="left"/>
        <w:rPr>
          <w:rFonts w:ascii="Encode Sans" w:hAnsi="Encode Sans"/>
          <w:b/>
          <w:i/>
          <w:sz w:val="22"/>
          <w:szCs w:val="22"/>
        </w:rPr>
      </w:pPr>
      <w:bookmarkStart w:id="1" w:name="_heading=h.gjdgxs"/>
      <w:bookmarkEnd w:id="1"/>
    </w:p>
    <w:p w14:paraId="09667F5E" w14:textId="77777777" w:rsidR="00211BDA" w:rsidRPr="00044E26" w:rsidRDefault="00211BDA" w:rsidP="00211BDA">
      <w:pPr>
        <w:spacing w:after="0"/>
        <w:rPr>
          <w:rFonts w:ascii="Encode Sans" w:eastAsia="Arial" w:hAnsi="Encode Sans" w:cs="Arial"/>
          <w:b/>
          <w:sz w:val="22"/>
          <w:szCs w:val="22"/>
        </w:rPr>
      </w:pPr>
      <w:r>
        <w:rPr>
          <w:rFonts w:ascii="Encode Sans" w:hAnsi="Encode Sans"/>
          <w:b/>
          <w:sz w:val="22"/>
          <w:szCs w:val="22"/>
        </w:rPr>
        <w:t>Contatti:</w:t>
      </w:r>
    </w:p>
    <w:p w14:paraId="3C30E1AF" w14:textId="77777777" w:rsidR="00211BDA" w:rsidRPr="00296F3A" w:rsidRDefault="00211BDA" w:rsidP="00211BDA">
      <w:pPr>
        <w:spacing w:after="0"/>
        <w:rPr>
          <w:rFonts w:ascii="Encode Sans" w:eastAsiaTheme="minorEastAsia" w:hAnsi="Encode Sans" w:cs="Arial"/>
          <w:sz w:val="22"/>
          <w:szCs w:val="22"/>
        </w:rPr>
      </w:pPr>
    </w:p>
    <w:p w14:paraId="7ED2C733" w14:textId="77777777" w:rsidR="00211BDA" w:rsidRPr="00044E26" w:rsidRDefault="00211BDA" w:rsidP="00211BDA">
      <w:pPr>
        <w:spacing w:after="0"/>
        <w:rPr>
          <w:rFonts w:ascii="Encode Sans" w:hAnsi="Encode Sans" w:cs="Arial"/>
          <w:b/>
          <w:bCs/>
          <w:sz w:val="22"/>
          <w:szCs w:val="22"/>
        </w:rPr>
      </w:pPr>
      <w:r>
        <w:rPr>
          <w:rFonts w:ascii="Encode Sans" w:hAnsi="Encode Sans"/>
          <w:b/>
          <w:bCs/>
          <w:sz w:val="22"/>
          <w:szCs w:val="22"/>
        </w:rPr>
        <w:t>Stellantis</w:t>
      </w:r>
    </w:p>
    <w:p w14:paraId="7730F5DF" w14:textId="77777777" w:rsidR="00211BDA" w:rsidRPr="00296F3A" w:rsidRDefault="00211BDA" w:rsidP="00211BDA">
      <w:pPr>
        <w:spacing w:after="0"/>
        <w:rPr>
          <w:rFonts w:ascii="Encode Sans" w:hAnsi="Encode Sans" w:cs="Arial"/>
          <w:sz w:val="22"/>
          <w:szCs w:val="22"/>
        </w:rPr>
      </w:pPr>
    </w:p>
    <w:p w14:paraId="2C556014" w14:textId="77777777" w:rsidR="00211BDA" w:rsidRPr="00044E26" w:rsidRDefault="00211BDA" w:rsidP="00211BDA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</w:rPr>
      </w:pPr>
      <w:r>
        <w:rPr>
          <w:rFonts w:ascii="Encode Sans" w:hAnsi="Encode Sans"/>
          <w:b/>
          <w:bCs/>
          <w:sz w:val="22"/>
          <w:szCs w:val="22"/>
        </w:rPr>
        <w:t xml:space="preserve">Fernão Silveira </w:t>
      </w:r>
    </w:p>
    <w:p w14:paraId="6253A0AD" w14:textId="77777777" w:rsidR="00211BDA" w:rsidRPr="00044E26" w:rsidRDefault="00211BDA" w:rsidP="00211BDA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Comunicazioni globali / Stellantis</w:t>
      </w:r>
    </w:p>
    <w:p w14:paraId="2A2774C6" w14:textId="77777777" w:rsidR="005D2F0E" w:rsidRPr="00450FFA" w:rsidRDefault="005D2F0E" w:rsidP="005D2F0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GB"/>
        </w:rPr>
      </w:pPr>
      <w:r w:rsidRPr="00450FFA">
        <w:rPr>
          <w:rFonts w:ascii="Encode Sans" w:hAnsi="Encode Sans"/>
          <w:sz w:val="22"/>
          <w:szCs w:val="22"/>
          <w:lang w:val="en-GB"/>
        </w:rPr>
        <w:t>+31 6 43 25 43 41</w:t>
      </w:r>
    </w:p>
    <w:p w14:paraId="3D47FCA4" w14:textId="77777777" w:rsidR="00211BDA" w:rsidRPr="00450FFA" w:rsidRDefault="00211BDA" w:rsidP="00211BDA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GB"/>
        </w:rPr>
      </w:pPr>
      <w:r w:rsidRPr="00450FFA">
        <w:rPr>
          <w:rFonts w:ascii="Encode Sans" w:hAnsi="Encode Sans"/>
          <w:sz w:val="22"/>
          <w:szCs w:val="22"/>
          <w:lang w:val="en-GB"/>
        </w:rPr>
        <w:t xml:space="preserve">fernao.silveira@stellantis.com </w:t>
      </w:r>
    </w:p>
    <w:p w14:paraId="4C7FCF06" w14:textId="3F40B032" w:rsidR="00211BDA" w:rsidRPr="00797F96" w:rsidRDefault="00211BDA" w:rsidP="00211BDA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US"/>
        </w:rPr>
      </w:pPr>
    </w:p>
    <w:p w14:paraId="2050AF72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  <w:r w:rsidRPr="00797F96">
        <w:rPr>
          <w:rFonts w:ascii="Encode Sans" w:hAnsi="Encode Sans"/>
          <w:b/>
          <w:bCs/>
          <w:sz w:val="22"/>
          <w:szCs w:val="22"/>
          <w:lang w:val="en-US"/>
        </w:rPr>
        <w:t>Valérie GILLOT</w:t>
      </w:r>
    </w:p>
    <w:p w14:paraId="52677B6F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US"/>
        </w:rPr>
      </w:pPr>
      <w:r w:rsidRPr="00797F96">
        <w:rPr>
          <w:rFonts w:ascii="Encode Sans" w:hAnsi="Encode Sans"/>
          <w:sz w:val="22"/>
          <w:szCs w:val="22"/>
          <w:lang w:val="en-US"/>
        </w:rPr>
        <w:lastRenderedPageBreak/>
        <w:t>+33 6 83 92 92 96</w:t>
      </w:r>
    </w:p>
    <w:p w14:paraId="536B4C35" w14:textId="66F7350D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US"/>
        </w:rPr>
      </w:pPr>
      <w:r w:rsidRPr="00797F96">
        <w:rPr>
          <w:rFonts w:ascii="Encode Sans" w:hAnsi="Encode Sans"/>
          <w:sz w:val="22"/>
          <w:szCs w:val="22"/>
          <w:lang w:val="en-US"/>
        </w:rPr>
        <w:t>valerie.gillot@stellantis.com</w:t>
      </w:r>
    </w:p>
    <w:p w14:paraId="75764EB8" w14:textId="77777777" w:rsidR="00D013CE" w:rsidRPr="00797F96" w:rsidRDefault="00D013CE" w:rsidP="00211BDA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</w:p>
    <w:p w14:paraId="6DDAF8DD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US"/>
        </w:rPr>
      </w:pPr>
      <w:r w:rsidRPr="00797F96">
        <w:rPr>
          <w:rFonts w:ascii="Encode Sans" w:hAnsi="Encode Sans"/>
          <w:sz w:val="22"/>
          <w:szCs w:val="22"/>
          <w:lang w:val="en-US"/>
        </w:rPr>
        <w:t>communications@stellantis.com</w:t>
      </w:r>
    </w:p>
    <w:p w14:paraId="35BC2B40" w14:textId="0AA18D56" w:rsidR="00D013CE" w:rsidRPr="00797F96" w:rsidRDefault="00000000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  <w:lang w:val="en-US"/>
        </w:rPr>
      </w:pPr>
      <w:hyperlink r:id="rId17" w:history="1">
        <w:r w:rsidR="00FF6F01" w:rsidRPr="00797F96">
          <w:rPr>
            <w:rStyle w:val="Hyperlink"/>
            <w:rFonts w:ascii="Encode Sans" w:hAnsi="Encode Sans"/>
            <w:color w:val="auto"/>
            <w:sz w:val="22"/>
            <w:szCs w:val="22"/>
            <w:lang w:val="en-US"/>
          </w:rPr>
          <w:t>www.stellantis.com</w:t>
        </w:r>
      </w:hyperlink>
    </w:p>
    <w:p w14:paraId="6FA374A1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</w:p>
    <w:p w14:paraId="3D55479C" w14:textId="77777777" w:rsidR="00044E26" w:rsidRPr="00797F96" w:rsidRDefault="00044E26" w:rsidP="00211BDA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</w:p>
    <w:p w14:paraId="34853F97" w14:textId="45D2A6C9" w:rsidR="00C202F5" w:rsidRPr="00797F96" w:rsidRDefault="00C202F5" w:rsidP="00211BDA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  <w:r w:rsidRPr="00797F96">
        <w:rPr>
          <w:rFonts w:ascii="Encode Sans" w:hAnsi="Encode Sans"/>
          <w:b/>
          <w:bCs/>
          <w:sz w:val="22"/>
          <w:szCs w:val="22"/>
          <w:lang w:val="en-US"/>
        </w:rPr>
        <w:t>GME Resources Limited</w:t>
      </w:r>
    </w:p>
    <w:p w14:paraId="791A6BA4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</w:p>
    <w:p w14:paraId="4024FF1B" w14:textId="7E28AA4E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</w:rPr>
      </w:pPr>
      <w:r>
        <w:rPr>
          <w:rFonts w:ascii="Encode Sans" w:hAnsi="Encode Sans"/>
          <w:b/>
          <w:bCs/>
          <w:sz w:val="22"/>
          <w:szCs w:val="22"/>
        </w:rPr>
        <w:t xml:space="preserve">Paul Kopejtka  </w:t>
      </w:r>
    </w:p>
    <w:p w14:paraId="665B8FD7" w14:textId="0E993779" w:rsidR="00D013CE" w:rsidRPr="00044E26" w:rsidRDefault="00F47B55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Direttore Generale e CEO</w:t>
      </w:r>
    </w:p>
    <w:p w14:paraId="61AA0D8F" w14:textId="77777777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 xml:space="preserve">Perth, Australia Occidentale  </w:t>
      </w:r>
    </w:p>
    <w:p w14:paraId="410D7402" w14:textId="77777777" w:rsidR="00D013CE" w:rsidRPr="00450FFA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 w:rsidRPr="00450FFA">
        <w:rPr>
          <w:rFonts w:ascii="Encode Sans" w:hAnsi="Encode Sans"/>
          <w:sz w:val="22"/>
          <w:szCs w:val="22"/>
        </w:rPr>
        <w:t xml:space="preserve">+61 8 9336 3388   </w:t>
      </w:r>
    </w:p>
    <w:p w14:paraId="5C1B94B6" w14:textId="16A13225" w:rsidR="00D013CE" w:rsidRPr="00450FFA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 w:rsidRPr="00450FFA">
        <w:rPr>
          <w:rFonts w:ascii="Encode Sans" w:hAnsi="Encode Sans"/>
          <w:sz w:val="22"/>
          <w:szCs w:val="22"/>
        </w:rPr>
        <w:t>info@gmeresources.com.au</w:t>
      </w:r>
    </w:p>
    <w:p w14:paraId="407C22E6" w14:textId="7E218C39" w:rsidR="00D013CE" w:rsidRPr="00450FFA" w:rsidRDefault="00D013CE" w:rsidP="00211BDA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</w:rPr>
      </w:pPr>
    </w:p>
    <w:p w14:paraId="5E28EE9E" w14:textId="77777777" w:rsidR="00D013CE" w:rsidRPr="00797F9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b/>
          <w:bCs/>
          <w:sz w:val="22"/>
          <w:szCs w:val="22"/>
          <w:lang w:val="en-US"/>
        </w:rPr>
      </w:pPr>
      <w:r w:rsidRPr="00797F96">
        <w:rPr>
          <w:rFonts w:ascii="Encode Sans" w:hAnsi="Encode Sans"/>
          <w:b/>
          <w:bCs/>
          <w:sz w:val="22"/>
          <w:szCs w:val="22"/>
          <w:lang w:val="en-US"/>
        </w:rPr>
        <w:t xml:space="preserve">Michael Vaughan </w:t>
      </w:r>
    </w:p>
    <w:p w14:paraId="6356FBE3" w14:textId="77777777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 xml:space="preserve">Fivemark Partners </w:t>
      </w:r>
    </w:p>
    <w:p w14:paraId="1B0A212A" w14:textId="77777777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 xml:space="preserve">Perth, Australia Occidentale </w:t>
      </w:r>
    </w:p>
    <w:p w14:paraId="6EDBA433" w14:textId="77777777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 xml:space="preserve">+61 422 602 720 </w:t>
      </w:r>
    </w:p>
    <w:p w14:paraId="680D63AF" w14:textId="3C283DE7" w:rsidR="00D013CE" w:rsidRPr="00044E26" w:rsidRDefault="00D013CE" w:rsidP="00D013CE">
      <w:pPr>
        <w:tabs>
          <w:tab w:val="left" w:pos="2592"/>
        </w:tabs>
        <w:spacing w:after="0"/>
        <w:rPr>
          <w:rFonts w:ascii="Encode Sans" w:eastAsia="Arial" w:hAnsi="Encode Sans" w:cs="Arial"/>
          <w:sz w:val="22"/>
          <w:szCs w:val="22"/>
        </w:rPr>
      </w:pPr>
      <w:r>
        <w:rPr>
          <w:rFonts w:ascii="Encode Sans" w:hAnsi="Encode Sans"/>
          <w:sz w:val="22"/>
          <w:szCs w:val="22"/>
        </w:rPr>
        <w:t>michael.vaughan@fivemark.com.au</w:t>
      </w:r>
    </w:p>
    <w:p w14:paraId="6C24A05C" w14:textId="77777777" w:rsidR="00C202F5" w:rsidRDefault="00C202F5" w:rsidP="00914E09">
      <w:pPr>
        <w:rPr>
          <w:rFonts w:ascii="Arial" w:hAnsi="Arial" w:cs="Arial"/>
          <w:b/>
          <w:bCs/>
          <w:sz w:val="18"/>
          <w:szCs w:val="18"/>
        </w:rPr>
      </w:pPr>
    </w:p>
    <w:p w14:paraId="1486F7E1" w14:textId="4B1E8016" w:rsidR="00211BDA" w:rsidRDefault="00211BDA" w:rsidP="00914E0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DICHIARAZIONI PREVISIONALI</w:t>
      </w:r>
    </w:p>
    <w:p w14:paraId="18E03D4B" w14:textId="77777777" w:rsidR="00211BDA" w:rsidRDefault="00211BDA" w:rsidP="00211BDA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"prevedono", "potrebbero", "dovrebbero", "intendono", "stimano", "anticipano", "credono", "rimangono", "sulla buona strada", "progettano", "obiettivo", "previsione", "proiezione", "prospettiva", "prospettive", "piano"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6D9C35D1" w14:textId="77777777" w:rsidR="00211BDA" w:rsidRDefault="00211BDA" w:rsidP="00211BDA">
      <w:pPr>
        <w:spacing w:before="240"/>
        <w:rPr>
          <w:rFonts w:ascii="Arial" w:eastAsia="Encode Sans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I risultati effettivi potrebbero differire materialmente da quelli espressi nelle dichiarazioni previsionali quale risultato di una molteplicità di fattori, inclusi: l’impatto della pandemia da COVID-19, la capacità di Stellantis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l’imposizione di dazi a livello globale e regionale o dazi mirati all’industria automobilistica, l’attuazione di riforme fiscali o altre variazioni nelle normative e regolamentazioni fiscali; la capacità di Stellantis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dell’ambiente, della salute e della sicurezza; l’elevato livello di concorrenza nel settore automobilistico, che potrebbe aumentare a causa di consolidamenti; la potenziale carenza nel finanziamento dei piani pensionistici di Stellantis;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di Stellantis e migliorare le attività, la situazione finanziaria e i risultati operativi; un significativo malfunzionamento, interruzione o violazione della sicurezza che possa compromettere i sistemi di information technology o i sistemi di controllo elettronico contenuti nei veicoli di Stellantis; la capacità di Stellantis di realizzare i benefici previsti dagli accordi di joint venture; interruzioni dovute a instabilità </w:t>
      </w:r>
      <w:r>
        <w:rPr>
          <w:rFonts w:ascii="Arial" w:hAnsi="Arial"/>
          <w:i/>
          <w:sz w:val="18"/>
          <w:szCs w:val="18"/>
        </w:rPr>
        <w:lastRenderedPageBreak/>
        <w:t>politica, sociale ed economica; i rischi associati alle relazioni con dipendenti, concessionari e fornitori; aumenti dei costi, interruzioni di forniture o carenza di materie prime, parti, componenti e sistemi utilizzati nei veicoli di Stellantis; sviluppi in relazioni sindacali, industriali e nella normativa del lavoro; fluttuazioni dei tassi di cambio, variazioni dai tassi di interesse, rischio di credito e altri rischi di mercato; tensioni politiche e sociali; terremoti o altri disastri; altri rischi e incertezze.</w:t>
      </w:r>
    </w:p>
    <w:p w14:paraId="5D67444A" w14:textId="206B0CB1" w:rsidR="00D90200" w:rsidRDefault="00211BDA" w:rsidP="00044E26">
      <w:pPr>
        <w:spacing w:before="240"/>
        <w:rPr>
          <w:b/>
          <w:i/>
          <w:sz w:val="16"/>
          <w:szCs w:val="16"/>
        </w:rPr>
      </w:pPr>
      <w:r>
        <w:rPr>
          <w:rFonts w:ascii="Arial" w:hAnsi="Arial"/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D90200" w:rsidSect="00C202F5">
      <w:footerReference w:type="default" r:id="rId18"/>
      <w:headerReference w:type="first" r:id="rId19"/>
      <w:pgSz w:w="12242" w:h="15842"/>
      <w:pgMar w:top="1134" w:right="1928" w:bottom="1134" w:left="1928" w:header="1021" w:footer="4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0EDE" w14:textId="77777777" w:rsidR="00F32655" w:rsidRDefault="00F32655">
      <w:pPr>
        <w:spacing w:after="0"/>
      </w:pPr>
      <w:r>
        <w:separator/>
      </w:r>
    </w:p>
  </w:endnote>
  <w:endnote w:type="continuationSeparator" w:id="0">
    <w:p w14:paraId="48F7086B" w14:textId="77777777" w:rsidR="00F32655" w:rsidRDefault="00F3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ncode Sans Expanded Expanded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panose1 w:val="020B0604020202020204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20FE" w14:textId="785AD2F4" w:rsidR="00D90200" w:rsidRDefault="00D90200">
    <w:pPr>
      <w:pBdr>
        <w:top w:val="nil"/>
        <w:left w:val="nil"/>
        <w:bottom w:val="nil"/>
        <w:right w:val="nil"/>
        <w:between w:val="nil"/>
      </w:pBdr>
      <w:spacing w:before="120" w:line="288" w:lineRule="auto"/>
      <w:jc w:val="center"/>
      <w:rPr>
        <w:color w:val="24378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C36C" w14:textId="77777777" w:rsidR="00F32655" w:rsidRDefault="00F32655">
      <w:pPr>
        <w:spacing w:after="0"/>
      </w:pPr>
      <w:r>
        <w:separator/>
      </w:r>
    </w:p>
  </w:footnote>
  <w:footnote w:type="continuationSeparator" w:id="0">
    <w:p w14:paraId="71E463B8" w14:textId="77777777" w:rsidR="00F32655" w:rsidRDefault="00F3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92BB" w14:textId="62919EE8" w:rsidR="00D90200" w:rsidRPr="004E387D" w:rsidRDefault="00296F3A" w:rsidP="004E387D">
    <w:pPr>
      <w:pStyle w:val="Header"/>
    </w:pPr>
    <w:r>
      <w:rPr>
        <w:noProof/>
        <w:color w:val="0D0D0D"/>
      </w:rPr>
      <w:drawing>
        <wp:inline distT="0" distB="0" distL="0" distR="0" wp14:anchorId="078A0CBE" wp14:editId="56177C0F">
          <wp:extent cx="5158665" cy="638175"/>
          <wp:effectExtent l="0" t="0" r="444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694" b="43964"/>
                  <a:stretch/>
                </pic:blipFill>
                <pic:spPr bwMode="auto">
                  <a:xfrm>
                    <a:off x="0" y="0"/>
                    <a:ext cx="5250127" cy="649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712"/>
    <w:multiLevelType w:val="multilevel"/>
    <w:tmpl w:val="C0DC2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E7116"/>
    <w:multiLevelType w:val="multilevel"/>
    <w:tmpl w:val="32F691E6"/>
    <w:lvl w:ilvl="0">
      <w:start w:val="1"/>
      <w:numFmt w:val="decimal"/>
      <w:pStyle w:val="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C63BD7"/>
    <w:multiLevelType w:val="hybridMultilevel"/>
    <w:tmpl w:val="67C458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10324">
    <w:abstractNumId w:val="0"/>
  </w:num>
  <w:num w:numId="2" w16cid:durableId="898202631">
    <w:abstractNumId w:val="1"/>
  </w:num>
  <w:num w:numId="3" w16cid:durableId="171064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00"/>
    <w:rsid w:val="000127F3"/>
    <w:rsid w:val="00027EDA"/>
    <w:rsid w:val="000403C6"/>
    <w:rsid w:val="00044E26"/>
    <w:rsid w:val="0006441F"/>
    <w:rsid w:val="00077D56"/>
    <w:rsid w:val="000B0968"/>
    <w:rsid w:val="000B2E42"/>
    <w:rsid w:val="000C5A52"/>
    <w:rsid w:val="000D0AC3"/>
    <w:rsid w:val="00100E33"/>
    <w:rsid w:val="0011344A"/>
    <w:rsid w:val="00115CA3"/>
    <w:rsid w:val="00123307"/>
    <w:rsid w:val="00134F8D"/>
    <w:rsid w:val="0016045E"/>
    <w:rsid w:val="00162B39"/>
    <w:rsid w:val="00166784"/>
    <w:rsid w:val="00172B2C"/>
    <w:rsid w:val="0018374B"/>
    <w:rsid w:val="0019432C"/>
    <w:rsid w:val="00195133"/>
    <w:rsid w:val="001A14C2"/>
    <w:rsid w:val="001A3B61"/>
    <w:rsid w:val="001B5B66"/>
    <w:rsid w:val="001B7F90"/>
    <w:rsid w:val="001C1B73"/>
    <w:rsid w:val="001C1D40"/>
    <w:rsid w:val="001D10B3"/>
    <w:rsid w:val="001D2376"/>
    <w:rsid w:val="001E145E"/>
    <w:rsid w:val="001F58EE"/>
    <w:rsid w:val="00202659"/>
    <w:rsid w:val="00206526"/>
    <w:rsid w:val="002074AC"/>
    <w:rsid w:val="00211BDA"/>
    <w:rsid w:val="00214934"/>
    <w:rsid w:val="002232A1"/>
    <w:rsid w:val="0023414D"/>
    <w:rsid w:val="00247709"/>
    <w:rsid w:val="0025678C"/>
    <w:rsid w:val="00263AD6"/>
    <w:rsid w:val="00287CED"/>
    <w:rsid w:val="00296F3A"/>
    <w:rsid w:val="002B72BF"/>
    <w:rsid w:val="002C77BE"/>
    <w:rsid w:val="002D1821"/>
    <w:rsid w:val="002D43AD"/>
    <w:rsid w:val="002D67E6"/>
    <w:rsid w:val="002D6E8E"/>
    <w:rsid w:val="003011A4"/>
    <w:rsid w:val="003062BC"/>
    <w:rsid w:val="00306BC9"/>
    <w:rsid w:val="00374F28"/>
    <w:rsid w:val="0037579C"/>
    <w:rsid w:val="003B3239"/>
    <w:rsid w:val="003C0EBE"/>
    <w:rsid w:val="003D21DF"/>
    <w:rsid w:val="003D756D"/>
    <w:rsid w:val="00401F74"/>
    <w:rsid w:val="004502A2"/>
    <w:rsid w:val="00450FFA"/>
    <w:rsid w:val="00492DDE"/>
    <w:rsid w:val="004B3851"/>
    <w:rsid w:val="004C37B7"/>
    <w:rsid w:val="004C48ED"/>
    <w:rsid w:val="004E29EF"/>
    <w:rsid w:val="004E387D"/>
    <w:rsid w:val="004E3DDE"/>
    <w:rsid w:val="004F0A2C"/>
    <w:rsid w:val="004F2150"/>
    <w:rsid w:val="004F3BE9"/>
    <w:rsid w:val="004F7329"/>
    <w:rsid w:val="005062F7"/>
    <w:rsid w:val="005073F1"/>
    <w:rsid w:val="00512922"/>
    <w:rsid w:val="00516057"/>
    <w:rsid w:val="00525726"/>
    <w:rsid w:val="00547AF9"/>
    <w:rsid w:val="0055767E"/>
    <w:rsid w:val="00572D4A"/>
    <w:rsid w:val="0058367F"/>
    <w:rsid w:val="005911DA"/>
    <w:rsid w:val="005B0E86"/>
    <w:rsid w:val="005D2F0E"/>
    <w:rsid w:val="005E4EB5"/>
    <w:rsid w:val="00603F18"/>
    <w:rsid w:val="0061766E"/>
    <w:rsid w:val="006217F3"/>
    <w:rsid w:val="00625C11"/>
    <w:rsid w:val="006262D2"/>
    <w:rsid w:val="00631BCB"/>
    <w:rsid w:val="006616BE"/>
    <w:rsid w:val="00677729"/>
    <w:rsid w:val="00680D18"/>
    <w:rsid w:val="006863D0"/>
    <w:rsid w:val="006B0CEC"/>
    <w:rsid w:val="006B2EB2"/>
    <w:rsid w:val="0071156E"/>
    <w:rsid w:val="0071381F"/>
    <w:rsid w:val="007376E7"/>
    <w:rsid w:val="00764E79"/>
    <w:rsid w:val="0076578D"/>
    <w:rsid w:val="00773518"/>
    <w:rsid w:val="00786615"/>
    <w:rsid w:val="00797F96"/>
    <w:rsid w:val="007A17A2"/>
    <w:rsid w:val="007B698C"/>
    <w:rsid w:val="007C5570"/>
    <w:rsid w:val="007F0624"/>
    <w:rsid w:val="007F30E2"/>
    <w:rsid w:val="008018C5"/>
    <w:rsid w:val="008170F0"/>
    <w:rsid w:val="00837A76"/>
    <w:rsid w:val="00843224"/>
    <w:rsid w:val="008535C7"/>
    <w:rsid w:val="008763BD"/>
    <w:rsid w:val="0089439C"/>
    <w:rsid w:val="008A0E8A"/>
    <w:rsid w:val="008B0A0F"/>
    <w:rsid w:val="008D26D0"/>
    <w:rsid w:val="00907495"/>
    <w:rsid w:val="0091229A"/>
    <w:rsid w:val="00914E09"/>
    <w:rsid w:val="00925DB9"/>
    <w:rsid w:val="00945F1A"/>
    <w:rsid w:val="00980D9E"/>
    <w:rsid w:val="00990BE3"/>
    <w:rsid w:val="00991B50"/>
    <w:rsid w:val="00996297"/>
    <w:rsid w:val="0099793C"/>
    <w:rsid w:val="009A2719"/>
    <w:rsid w:val="009A5024"/>
    <w:rsid w:val="009B2260"/>
    <w:rsid w:val="009B3485"/>
    <w:rsid w:val="009C39C6"/>
    <w:rsid w:val="009D083B"/>
    <w:rsid w:val="009D5DC6"/>
    <w:rsid w:val="009D782E"/>
    <w:rsid w:val="009D7CB7"/>
    <w:rsid w:val="00A10846"/>
    <w:rsid w:val="00A237F3"/>
    <w:rsid w:val="00A61578"/>
    <w:rsid w:val="00A70AB9"/>
    <w:rsid w:val="00A816C8"/>
    <w:rsid w:val="00A906F0"/>
    <w:rsid w:val="00A9686E"/>
    <w:rsid w:val="00A976CF"/>
    <w:rsid w:val="00AB0FFA"/>
    <w:rsid w:val="00AD0768"/>
    <w:rsid w:val="00AD7B93"/>
    <w:rsid w:val="00AF5DF3"/>
    <w:rsid w:val="00B27345"/>
    <w:rsid w:val="00B31E73"/>
    <w:rsid w:val="00B46A84"/>
    <w:rsid w:val="00B54574"/>
    <w:rsid w:val="00B57822"/>
    <w:rsid w:val="00B901C8"/>
    <w:rsid w:val="00BA02C9"/>
    <w:rsid w:val="00BC4685"/>
    <w:rsid w:val="00BD74C3"/>
    <w:rsid w:val="00BE126A"/>
    <w:rsid w:val="00BE75A5"/>
    <w:rsid w:val="00C00E9B"/>
    <w:rsid w:val="00C202F5"/>
    <w:rsid w:val="00C30F21"/>
    <w:rsid w:val="00C334EF"/>
    <w:rsid w:val="00C35BE9"/>
    <w:rsid w:val="00C42C0B"/>
    <w:rsid w:val="00C520FA"/>
    <w:rsid w:val="00C566C4"/>
    <w:rsid w:val="00C61685"/>
    <w:rsid w:val="00C818B8"/>
    <w:rsid w:val="00CA3AFC"/>
    <w:rsid w:val="00CA420F"/>
    <w:rsid w:val="00CB19A5"/>
    <w:rsid w:val="00CC15FE"/>
    <w:rsid w:val="00CC5C47"/>
    <w:rsid w:val="00CD319D"/>
    <w:rsid w:val="00D013CE"/>
    <w:rsid w:val="00D019D7"/>
    <w:rsid w:val="00D31646"/>
    <w:rsid w:val="00D3455C"/>
    <w:rsid w:val="00D40E54"/>
    <w:rsid w:val="00D878B6"/>
    <w:rsid w:val="00D90200"/>
    <w:rsid w:val="00DA44D2"/>
    <w:rsid w:val="00DB7F49"/>
    <w:rsid w:val="00DF0988"/>
    <w:rsid w:val="00DF61C4"/>
    <w:rsid w:val="00E11EDF"/>
    <w:rsid w:val="00E13473"/>
    <w:rsid w:val="00E15211"/>
    <w:rsid w:val="00E16A57"/>
    <w:rsid w:val="00E36F4A"/>
    <w:rsid w:val="00E45814"/>
    <w:rsid w:val="00E653B0"/>
    <w:rsid w:val="00E669FB"/>
    <w:rsid w:val="00E759EE"/>
    <w:rsid w:val="00E76235"/>
    <w:rsid w:val="00E877EC"/>
    <w:rsid w:val="00E97FB7"/>
    <w:rsid w:val="00EB585F"/>
    <w:rsid w:val="00EC46E6"/>
    <w:rsid w:val="00EC4F3A"/>
    <w:rsid w:val="00EE2EA9"/>
    <w:rsid w:val="00EE3906"/>
    <w:rsid w:val="00EF0351"/>
    <w:rsid w:val="00F1190D"/>
    <w:rsid w:val="00F15B93"/>
    <w:rsid w:val="00F32655"/>
    <w:rsid w:val="00F455C0"/>
    <w:rsid w:val="00F47B55"/>
    <w:rsid w:val="00F5359D"/>
    <w:rsid w:val="00F55FA4"/>
    <w:rsid w:val="00F62C02"/>
    <w:rsid w:val="00F72EB4"/>
    <w:rsid w:val="00F75BDD"/>
    <w:rsid w:val="00F76B60"/>
    <w:rsid w:val="00F76C4A"/>
    <w:rsid w:val="00F77D35"/>
    <w:rsid w:val="00F9493A"/>
    <w:rsid w:val="00FB58AF"/>
    <w:rsid w:val="00FE2429"/>
    <w:rsid w:val="00FF2E7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32A46"/>
  <w15:docId w15:val="{DC5260CA-F10F-4366-B52B-A1AA950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Expanded Expanded" w:eastAsia="Encode Sans Expanded Expanded" w:hAnsi="Encode Sans Expanded Expanded" w:cs="Encode Sans Expanded Expanded"/>
        <w:sz w:val="24"/>
        <w:szCs w:val="24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9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2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01553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1233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69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66C4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ellantis.com/it/investors/eventi/strategic-pla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meresources.com.au/" TargetMode="External"/><Relationship Id="rId17" Type="http://schemas.openxmlformats.org/officeDocument/2006/relationships/hyperlink" Target="http://www.stellant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meresources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ellantis.com/it/news/comunicati-stampa/2022/giugno/stellantis-stringe-un-accordo-con-controlled-thermal-resources-per-la-fornitura-di-litio-a-basse-emissioni-finalizzata-alla-produzione-di-veicoli-elettrici-in-nord-ameri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ellantis.com/it/news/comunicati-stampa/2022/giugno/stellantis-espande-la-collaborazione-con-vulcan-energy-diventando-azionista-dell-azienda-fornitrice-di-litio-decarbonizza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KiqmgnFWjNIePMn31xKA93Gpg==">AMUW2mUG7u/lDcnSZzv9FjaaY9FhnfvkmGs44xZwCWevG2wGa33fmjm1/+SwQaPggkO+3VU5R6MLZmEE06nn4xbEqrTZc/nbSoJPz4V2OdiB+N6Xz+ItyKy2e67tE3MtiX7dW++zlzEdw/K4GF8BkAV2nssumPmRTzeLytoJ0FKDP8iDojFh/XwfYTTR5Ani7NuaQ+G2U4o2iS5mkhzGkqP4OF5wnPcxbIUE2FtmSA05mAjDwQj6fpylsukA6IOc8nQCfyQsPRh52x0WOGb1jZTSejoZR/DfiRRLZoyhf1zRzDCFhzGVPevmdp5GGmNdDBj73L2i7D1W</go:docsCustomData>
</go:gDocsCustomXmlDataStorage>
</file>

<file path=customXml/itemProps1.xml><?xml version="1.0" encoding="utf-8"?>
<ds:datastoreItem xmlns:ds="http://schemas.openxmlformats.org/officeDocument/2006/customXml" ds:itemID="{927D9E67-E9AB-41C9-A428-35E0A2710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72769-84AF-4548-A1A2-8D05E3C84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F0404-43C9-4599-9D27-01858C8D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FCA US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Connelly Kaileen (FCA)</dc:creator>
  <cp:lastModifiedBy>Paul Johnston</cp:lastModifiedBy>
  <cp:revision>8</cp:revision>
  <cp:lastPrinted>2022-10-09T18:34:00Z</cp:lastPrinted>
  <dcterms:created xsi:type="dcterms:W3CDTF">2022-10-09T18:08:00Z</dcterms:created>
  <dcterms:modified xsi:type="dcterms:W3CDTF">2022-10-10T04:23:00Z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  <property fmtid="{D5CDD505-2E9C-101B-9397-08002B2CF9AE}" pid="4" name="ContentTypeId">
    <vt:lpwstr>0x010100D1AB943AC203684599DF6BB292D4C1A7</vt:lpwstr>
  </property>
  <property fmtid="{D5CDD505-2E9C-101B-9397-08002B2CF9AE}" pid="5" name="MSIP_Label_2fd53d93-3f4c-4b90-b511-bd6bdbb4fba9_Enabled">
    <vt:lpwstr>true</vt:lpwstr>
  </property>
  <property fmtid="{D5CDD505-2E9C-101B-9397-08002B2CF9AE}" pid="6" name="MSIP_Label_2fd53d93-3f4c-4b90-b511-bd6bdbb4fba9_SetDate">
    <vt:lpwstr>2022-10-05T08:10:22Z</vt:lpwstr>
  </property>
  <property fmtid="{D5CDD505-2E9C-101B-9397-08002B2CF9AE}" pid="7" name="MSIP_Label_2fd53d93-3f4c-4b90-b511-bd6bdbb4fba9_Method">
    <vt:lpwstr>Standard</vt:lpwstr>
  </property>
  <property fmtid="{D5CDD505-2E9C-101B-9397-08002B2CF9AE}" pid="8" name="MSIP_Label_2fd53d93-3f4c-4b90-b511-bd6bdbb4fba9_Name">
    <vt:lpwstr>2fd53d93-3f4c-4b90-b511-bd6bdbb4fba9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ActionId">
    <vt:lpwstr>390a0b9b-a251-4cc8-a057-f8361f4e1afd</vt:lpwstr>
  </property>
  <property fmtid="{D5CDD505-2E9C-101B-9397-08002B2CF9AE}" pid="11" name="MSIP_Label_2fd53d93-3f4c-4b90-b511-bd6bdbb4fba9_ContentBits">
    <vt:lpwstr>0</vt:lpwstr>
  </property>
</Properties>
</file>