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550839" w:rsidP="00025751">
      <w:pPr>
        <w:pStyle w:val="SSubjectBlock"/>
      </w:pPr>
      <w:r>
        <mc:AlternateContent>
          <mc:Choice Requires="wps">
            <w:drawing>
              <wp:anchor distT="0" distB="0" distL="114300" distR="114300" simplePos="0" relativeHeight="251660288" behindDoc="0" locked="1" layoutInCell="1" allowOverlap="0">
                <wp:simplePos x="0" y="0"/>
                <wp:positionH relativeFrom="column">
                  <wp:posOffset>-1122</wp:posOffset>
                </wp:positionH>
                <wp:positionV relativeFrom="page">
                  <wp:posOffset>1691640</wp:posOffset>
                </wp:positionV>
                <wp:extent cx="429768" cy="64008"/>
                <wp:effectExtent l="0" t="0" r="8890" b="0"/>
                <wp:wrapNone/>
                <wp:docPr id="12" name="Freeform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pathLst>
                            <a:path fill="norm" h="39" w="354" stroke="1">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27" o:spid="_x0000_s1025" style="height:5.05pt;margin-left:-0.1pt;margin-top:133.2pt;mso-height-percent:0;mso-height-relative:margin;mso-position-vertical-relative:page;mso-width-percent:0;mso-width-relative:margin;mso-wrap-distance-bottom:0;mso-wrap-distance-left:9pt;mso-wrap-distance-right:9pt;mso-wrap-distance-top:0;mso-wrap-style:square;position:absolute;v-text-anchor:top;visibility:visible;width:33.85pt;z-index:251661312" coordsize="354,39" o:allowoverlap="f" path="m329,39l,39,27,,354,,329,39xe" fillcolor="#243782" stroked="f">
                <v:path arrowok="t" o:connecttype="custom" o:connectlocs="399417,64008;0,64008;32779,0;429768,0;399417,64008" o:connectangles="0,0,0,0,0"/>
                <w10:anchorlock/>
              </v:shape>
            </w:pict>
          </mc:Fallback>
        </mc:AlternateContent>
      </w:r>
      <w:r>
        <w:t>Stellantis</w:t>
      </w:r>
      <w:r w:rsidR="009D126C">
        <w:t xml:space="preserve"> </w:t>
      </w:r>
      <w:r w:rsidR="00175E14">
        <w:t>soutient</w:t>
      </w:r>
      <w:r>
        <w:t xml:space="preserve"> ses ambitions en matière d’économie circulaire avec une Business Unit dédiée conçue pour initier une nouvelle ère de fabrication durable et de consommation responsable</w:t>
      </w:r>
    </w:p>
    <w:p w:rsidR="004E67A2" w:rsidP="00E330D7">
      <w:pPr>
        <w:pStyle w:val="SBullet"/>
        <w:ind w:left="720" w:hanging="360"/>
      </w:pPr>
      <w:bookmarkStart w:id="0" w:name="_Hlk115160361"/>
      <w:r>
        <w:t>L’économie circulaire joue un rôle majeur pour permettre à Stellantis d’atteindre une empreinte carbone neutre à l’horizon 2038</w:t>
      </w:r>
    </w:p>
    <w:p w:rsidR="00904D20" w:rsidP="00E330D7">
      <w:pPr>
        <w:pStyle w:val="SBullet"/>
        <w:ind w:left="720" w:hanging="360"/>
      </w:pPr>
      <w:bookmarkEnd w:id="0"/>
      <w:r>
        <w:t xml:space="preserve">Mise en place d’un modèle commercial </w:t>
      </w:r>
      <w:r>
        <w:t>Cradle</w:t>
      </w:r>
      <w:r>
        <w:t xml:space="preserve"> to </w:t>
      </w:r>
      <w:r>
        <w:t>Cradle</w:t>
      </w:r>
      <w:r>
        <w:t xml:space="preserve"> (du berceau au berceau) qui permettra de générer plus de 2 milliards d’euros de chiffre d’affaires d’ici 2030, conformément </w:t>
      </w:r>
      <w:r>
        <w:t>au</w:t>
      </w:r>
      <w:r>
        <w:t xml:space="preserve"> Plan Stratégique Dare Forward 2030</w:t>
      </w:r>
    </w:p>
    <w:p w:rsidR="009C4B9F" w:rsidP="00E330D7">
      <w:pPr>
        <w:pStyle w:val="SBullet"/>
        <w:ind w:left="720" w:hanging="360"/>
      </w:pPr>
      <w:r>
        <w:t xml:space="preserve">Les Hubs de chaque grande région </w:t>
      </w:r>
      <w:bookmarkStart w:id="1" w:name="_Hlk115152197"/>
      <w:r>
        <w:t>seront soutenus par des boucles locales permettant de gagner en efficacité et de préserver les ressources limitées de notre planète</w:t>
      </w:r>
    </w:p>
    <w:p w:rsidR="00D63AD2" w:rsidP="00E330D7">
      <w:pPr>
        <w:pStyle w:val="SBullet"/>
        <w:spacing w:before="240"/>
        <w:ind w:left="720" w:hanging="360"/>
      </w:pPr>
      <w:bookmarkEnd w:id="1"/>
      <w:r>
        <w:t xml:space="preserve">Le nouveau label SUSTAINera </w:t>
      </w:r>
      <w:r w:rsidR="00B50607">
        <w:t xml:space="preserve">permet une </w:t>
      </w:r>
      <w:r>
        <w:t>transparence</w:t>
      </w:r>
      <w:r w:rsidR="00B50607">
        <w:t xml:space="preserve"> sur les économies de </w:t>
      </w:r>
      <w:r>
        <w:t>matériaux et de CO</w:t>
      </w:r>
      <w:r>
        <w:rPr>
          <w:vertAlign w:val="subscript"/>
        </w:rPr>
        <w:t>2</w:t>
      </w:r>
      <w:r w:rsidR="00B50607">
        <w:rPr>
          <w:vertAlign w:val="subscript"/>
        </w:rPr>
        <w:t> </w:t>
      </w:r>
      <w:r w:rsidR="00B50607">
        <w:t xml:space="preserve">; il représente </w:t>
      </w:r>
      <w:r>
        <w:t>la promesse de</w:t>
      </w:r>
      <w:r w:rsidR="00B50607">
        <w:t xml:space="preserve"> solutions de </w:t>
      </w:r>
      <w:r>
        <w:t>produits et de services</w:t>
      </w:r>
      <w:r w:rsidR="00B50607">
        <w:t xml:space="preserve"> durables et </w:t>
      </w:r>
      <w:r>
        <w:t xml:space="preserve">abordables </w:t>
      </w:r>
    </w:p>
    <w:p w:rsidR="009C4B9F" w:rsidP="00E330D7">
      <w:pPr>
        <w:pStyle w:val="SDatePlace"/>
        <w:spacing w:before="240" w:after="0"/>
        <w:jc w:val="both"/>
        <w:rPr>
          <w:szCs w:val="24"/>
        </w:rPr>
      </w:pPr>
      <w:r>
        <w:t>AMSTERDAM, le 11</w:t>
      </w:r>
      <w:r w:rsidR="00A12E8D">
        <w:t xml:space="preserve"> </w:t>
      </w:r>
      <w:r>
        <w:t>octobre</w:t>
      </w:r>
      <w:r w:rsidR="00A12E8D">
        <w:t xml:space="preserve"> </w:t>
      </w:r>
      <w:r>
        <w:t xml:space="preserve">2022 – Stellantis N.V. a annoncé aujourd’hui la mise en place d’un plan global qui permettra à sa Business Unit Économie Circulaire de générer plus de 2 milliards d’euros de chiffre d’affaires d’ici 2030 tout en contribuant à l’objectif ambitieux </w:t>
      </w:r>
      <w:r w:rsidR="00A12E8D">
        <w:t>de l’entreprise</w:t>
      </w:r>
      <w:r w:rsidR="00514E86">
        <w:t xml:space="preserve"> </w:t>
      </w:r>
      <w:r w:rsidR="00A12E8D">
        <w:t>d’</w:t>
      </w:r>
      <w:r>
        <w:t xml:space="preserve">atteindre une empreinte carbone neutre à l’horizon 2038. </w:t>
      </w:r>
    </w:p>
    <w:p w:rsidR="000860A2" w:rsidRPr="000860A2" w:rsidP="00E330D7">
      <w:pPr>
        <w:pStyle w:val="SDatePlace"/>
        <w:spacing w:before="240" w:after="0"/>
        <w:jc w:val="both"/>
        <w:rPr>
          <w:szCs w:val="24"/>
        </w:rPr>
      </w:pPr>
      <w:r>
        <w:t xml:space="preserve">Sept activités rentables ont été présentées dans le Plan Stratégique </w:t>
      </w:r>
      <w:r>
        <w:fldChar w:fldCharType="begin"/>
      </w:r>
      <w:r>
        <w:instrText xml:space="preserve"> HYPERLINK "https://www.stellantis.com/fr/finance/evenements/strategic-plan" </w:instrText>
      </w:r>
      <w:r>
        <w:fldChar w:fldCharType="separate"/>
      </w:r>
      <w:r>
        <w:rPr>
          <w:rStyle w:val="Hyperlink"/>
        </w:rPr>
        <w:t>Dare</w:t>
      </w:r>
      <w:r>
        <w:rPr>
          <w:rStyle w:val="Hyperlink"/>
          <w:b/>
          <w:bCs/>
          <w:szCs w:val="24"/>
        </w:rPr>
        <w:t xml:space="preserve"> </w:t>
      </w:r>
      <w:r>
        <w:rPr>
          <w:rStyle w:val="Hyperlink"/>
        </w:rPr>
        <w:t>Forward</w:t>
      </w:r>
      <w:r>
        <w:rPr>
          <w:rStyle w:val="Hyperlink"/>
          <w:b/>
          <w:bCs/>
          <w:szCs w:val="24"/>
        </w:rPr>
        <w:t xml:space="preserve"> </w:t>
      </w:r>
      <w:r>
        <w:rPr>
          <w:rStyle w:val="Hyperlink"/>
        </w:rPr>
        <w:t>2030</w:t>
      </w:r>
      <w:r>
        <w:fldChar w:fldCharType="end"/>
      </w:r>
      <w:r>
        <w:t xml:space="preserve">, dont la Business Unit Économie Circulaire, qui élargit aujourd’hui son approche </w:t>
      </w:r>
      <w:r w:rsidR="007E44DA">
        <w:t xml:space="preserve">rigoureuse </w:t>
      </w:r>
      <w:r>
        <w:t>à 360° basée sur les 4R – </w:t>
      </w:r>
      <w:r w:rsidR="006D762D">
        <w:t>reman</w:t>
      </w:r>
      <w:r w:rsidR="006D762D">
        <w:t xml:space="preserve">, </w:t>
      </w:r>
      <w:r w:rsidR="006D762D">
        <w:t>repair</w:t>
      </w:r>
      <w:r w:rsidR="006D762D">
        <w:t xml:space="preserve">, </w:t>
      </w:r>
      <w:r w:rsidR="006D762D">
        <w:t>reuse</w:t>
      </w:r>
      <w:r w:rsidR="006D762D">
        <w:t>, recycle</w:t>
      </w:r>
      <w:r>
        <w:t> – afin de répondre aux responsabilités éthiques de l’entreprise pour l’avenir et générer de la valeur financière pour Stellantis.</w:t>
      </w:r>
    </w:p>
    <w:p w:rsidR="00AE217B">
      <w:pPr>
        <w:spacing w:after="0"/>
        <w:jc w:val="left"/>
        <w:rPr>
          <w:szCs w:val="24"/>
        </w:rPr>
      </w:pPr>
      <w:r>
        <w:rPr>
          <w:szCs w:val="24"/>
        </w:rPr>
        <w:br w:type="page"/>
      </w:r>
    </w:p>
    <w:p w:rsidR="00305F9C" w:rsidP="00E330D7">
      <w:pPr>
        <w:pStyle w:val="SDatePlace"/>
        <w:spacing w:before="240" w:after="0"/>
        <w:jc w:val="both"/>
        <w:rPr>
          <w:szCs w:val="24"/>
        </w:rPr>
      </w:pPr>
      <w:r>
        <w:t xml:space="preserve">« Stellantis est en train de bâtir une activité durable et rentable basée sur les principes de l’économie circulaire dans les marchés où </w:t>
      </w:r>
      <w:r w:rsidR="00AE217B">
        <w:t>nous opérons</w:t>
      </w:r>
      <w:r>
        <w:t xml:space="preserve">», a déclaré Alison Jones, Stellantis Senior Vice President, Business Unit Économie Circulaire. « Nous avons la chance d’avoir des collaborateurs expérimentés et des partenaires de confiance qui se chargent de nos activités actuelles. Focalisés sur les 4R, nous nous développons désormais avec une grande rigueur en renforçant nos capacités, nos équipes et nos installations, </w:t>
      </w:r>
      <w:r w:rsidR="007E44DA">
        <w:t xml:space="preserve"> tout en créant </w:t>
      </w:r>
      <w:r>
        <w:t>un écosystème intelligent et intégré qui nous permettra de mieux gérer la pénurie de matériaux et d’atteindre une empreinte carbone neutre. »</w:t>
      </w:r>
    </w:p>
    <w:p w:rsidR="00332654" w:rsidP="00E330D7">
      <w:pPr>
        <w:spacing w:before="240" w:after="0" w:line="259" w:lineRule="auto"/>
        <w:rPr>
          <w:rFonts w:ascii="Encode Sans ExpandedLight" w:hAnsi="Encode Sans ExpandedLight"/>
        </w:rPr>
      </w:pPr>
      <w:r>
        <w:rPr>
          <w:rFonts w:ascii="Encode Sans ExpandedLight" w:hAnsi="Encode Sans ExpandedLight"/>
        </w:rPr>
        <w:t xml:space="preserve">Les principaux </w:t>
      </w:r>
      <w:r w:rsidR="00C95BBA">
        <w:rPr>
          <w:rFonts w:ascii="Encode Sans ExpandedLight" w:hAnsi="Encode Sans ExpandedLight"/>
        </w:rPr>
        <w:t>objectifs</w:t>
      </w:r>
      <w:r>
        <w:rPr>
          <w:rFonts w:ascii="Encode Sans ExpandedLight" w:hAnsi="Encode Sans ExpandedLight"/>
        </w:rPr>
        <w:t xml:space="preserve"> de</w:t>
      </w:r>
      <w:r w:rsidR="00C95BBA">
        <w:rPr>
          <w:rFonts w:ascii="Encode Sans ExpandedLight" w:hAnsi="Encode Sans ExpandedLight"/>
        </w:rPr>
        <w:t xml:space="preserve"> la Business Unit Économie Circulaire </w:t>
      </w:r>
      <w:r>
        <w:rPr>
          <w:rFonts w:ascii="Encode Sans ExpandedLight" w:hAnsi="Encode Sans ExpandedLight"/>
        </w:rPr>
        <w:t xml:space="preserve">sont </w:t>
      </w:r>
      <w:r w:rsidR="00C95BBA">
        <w:rPr>
          <w:rFonts w:ascii="Encode Sans ExpandedLight" w:hAnsi="Encode Sans ExpandedLight"/>
        </w:rPr>
        <w:t xml:space="preserve">de prolonger la durée de vie des véhicules et des pièces détachées en </w:t>
      </w:r>
      <w:r>
        <w:rPr>
          <w:rFonts w:ascii="Encode Sans ExpandedLight" w:hAnsi="Encode Sans ExpandedLight"/>
        </w:rPr>
        <w:t>s’assurant</w:t>
      </w:r>
      <w:r w:rsidR="00C95BBA">
        <w:rPr>
          <w:rFonts w:ascii="Encode Sans ExpandedLight" w:hAnsi="Encode Sans ExpandedLight"/>
        </w:rPr>
        <w:t xml:space="preserve"> qu’ils durent le plus longtemps possible, et de réi</w:t>
      </w:r>
      <w:r>
        <w:rPr>
          <w:rFonts w:ascii="Encode Sans ExpandedLight" w:hAnsi="Encode Sans ExpandedLight"/>
        </w:rPr>
        <w:t>ntégrer</w:t>
      </w:r>
      <w:r w:rsidR="00C95BBA">
        <w:rPr>
          <w:rFonts w:ascii="Encode Sans ExpandedLight" w:hAnsi="Encode Sans ExpandedLight"/>
        </w:rPr>
        <w:t xml:space="preserve"> les matériaux et les véhicules en fin de vie dans le processus de fabrication de nouveaux véhicules et produits. Cette méthod</w:t>
      </w:r>
      <w:r>
        <w:rPr>
          <w:rFonts w:ascii="Encode Sans ExpandedLight" w:hAnsi="Encode Sans ExpandedLight"/>
        </w:rPr>
        <w:t>ologie</w:t>
      </w:r>
      <w:r w:rsidR="00C95BBA">
        <w:rPr>
          <w:rFonts w:ascii="Encode Sans ExpandedLight" w:hAnsi="Encode Sans ExpandedLight"/>
        </w:rPr>
        <w:t xml:space="preserve"> compl</w:t>
      </w:r>
      <w:r>
        <w:rPr>
          <w:rFonts w:ascii="Encode Sans ExpandedLight" w:hAnsi="Encode Sans ExpandedLight"/>
        </w:rPr>
        <w:t>ète</w:t>
      </w:r>
      <w:r w:rsidR="00C95BBA">
        <w:rPr>
          <w:rFonts w:ascii="Encode Sans ExpandedLight" w:hAnsi="Encode Sans ExpandedLight"/>
        </w:rPr>
        <w:t xml:space="preserve"> les principes de « Conception pour l’économie circulaire » à la base du nouveau </w:t>
      </w:r>
      <w:r>
        <w:fldChar w:fldCharType="begin"/>
      </w:r>
      <w:r>
        <w:instrText xml:space="preserve"> HYPERLINK "https://www.media.stellantis.com/fr-fr/citroen/press/citroen-oli-all-e-une-approche-radicale-responsable-et-optimiste-qui-engage-une-demarche-audacieuse-pour-l-avenir-de-la-marque" </w:instrText>
      </w:r>
      <w:r>
        <w:fldChar w:fldCharType="separate"/>
      </w:r>
      <w:r w:rsidRPr="00AE217B">
        <w:rPr>
          <w:rStyle w:val="Hyperlink"/>
          <w:rFonts w:ascii="Encode Sans ExpandedLight" w:hAnsi="Encode Sans ExpandedLight"/>
        </w:rPr>
        <w:t>Citroën ‘</w:t>
      </w:r>
      <w:r w:rsidRPr="00AE217B">
        <w:rPr>
          <w:rStyle w:val="Hyperlink"/>
          <w:rFonts w:ascii="Encode Sans ExpandedLight" w:hAnsi="Encode Sans ExpandedLight"/>
        </w:rPr>
        <w:t>oli</w:t>
      </w:r>
      <w:r w:rsidRPr="00AE217B">
        <w:rPr>
          <w:rStyle w:val="Hyperlink"/>
          <w:rFonts w:ascii="Encode Sans ExpandedLight" w:hAnsi="Encode Sans ExpandedLight"/>
        </w:rPr>
        <w:t>’ [</w:t>
      </w:r>
      <w:r w:rsidRPr="00AE217B">
        <w:rPr>
          <w:rStyle w:val="Hyperlink"/>
          <w:rFonts w:ascii="Encode Sans ExpandedLight" w:hAnsi="Encode Sans ExpandedLight"/>
        </w:rPr>
        <w:t>all-ë</w:t>
      </w:r>
      <w:r w:rsidRPr="00AE217B">
        <w:rPr>
          <w:rStyle w:val="Hyperlink"/>
          <w:rFonts w:ascii="Encode Sans ExpandedLight" w:hAnsi="Encode Sans ExpandedLight"/>
        </w:rPr>
        <w:t>]</w:t>
      </w:r>
      <w:r>
        <w:fldChar w:fldCharType="end"/>
      </w:r>
      <w:r>
        <w:rPr>
          <w:rFonts w:ascii="Encode Sans ExpandedLight" w:hAnsi="Encode Sans ExpandedLight"/>
        </w:rPr>
        <w:t xml:space="preserve"> </w:t>
      </w:r>
      <w:r w:rsidR="00C95BBA">
        <w:rPr>
          <w:rFonts w:ascii="Encode Sans ExpandedLight" w:hAnsi="Encode Sans ExpandedLight"/>
        </w:rPr>
        <w:t>un concept-car familial multi-usage unique en son genre, de la conception avec une utilisation optimale et limitée de matériaux légers et recyclés, jusqu'aux processus de production responsables, en passant par la durabilité pour une « durée d’utilisation » prolongée et une recyclabilité renforcée en fin de vie.</w:t>
      </w:r>
    </w:p>
    <w:p w:rsidR="00AC4C42" w:rsidP="00E330D7">
      <w:pPr>
        <w:spacing w:before="240" w:after="0"/>
        <w:rPr>
          <w:rFonts w:ascii="Encode Sans ExpandedLight" w:hAnsi="Encode Sans ExpandedLight"/>
          <w:b/>
          <w:bCs/>
        </w:rPr>
      </w:pPr>
      <w:r>
        <w:fldChar w:fldCharType="begin"/>
      </w:r>
      <w:r>
        <w:instrText xml:space="preserve"> HYPERLINK "https://youtu.be/paLjKfiG-UI" \t "_blank" </w:instrText>
      </w:r>
      <w:r>
        <w:fldChar w:fldCharType="separate"/>
      </w:r>
      <w:r w:rsidRPr="00AC4C42">
        <w:rPr>
          <w:rStyle w:val="Hyperlink"/>
          <w:rFonts w:ascii="Encode Sans ExpandedLight" w:hAnsi="Encode Sans ExpandedLight"/>
          <w:b/>
          <w:bCs/>
        </w:rPr>
        <w:t>Vidéo : L’économie circulaire chez Stellantis - Vue d’ensemble par Alison Jones</w:t>
      </w:r>
      <w:r>
        <w:fldChar w:fldCharType="end"/>
      </w:r>
    </w:p>
    <w:p w:rsidR="00291976" w:rsidRPr="00965014" w:rsidP="00E330D7">
      <w:pPr>
        <w:spacing w:before="240" w:after="0"/>
        <w:rPr>
          <w:rFonts w:ascii="Encode Sans ExpandedLight" w:hAnsi="Encode Sans ExpandedLight"/>
          <w:b/>
          <w:bCs/>
        </w:rPr>
      </w:pPr>
      <w:r>
        <w:rPr>
          <w:rFonts w:ascii="Encode Sans ExpandedLight" w:hAnsi="Encode Sans ExpandedLight"/>
          <w:b/>
          <w:bCs/>
        </w:rPr>
        <w:t>Économie circulaire, la stratégie des 4R :</w:t>
      </w:r>
    </w:p>
    <w:p w:rsidR="00867F63" w:rsidP="00715B1C">
      <w:pPr>
        <w:spacing w:after="0"/>
        <w:rPr>
          <w:rFonts w:ascii="Encode Sans ExpandedLight" w:hAnsi="Encode Sans ExpandedLight"/>
          <w:b/>
          <w:bCs/>
        </w:rPr>
      </w:pPr>
      <w:r>
        <w:rPr>
          <w:rStyle w:val="normaltextrun"/>
          <w:rFonts w:ascii="Encode Sans ExpandedLight" w:hAnsi="Encode Sans ExpandedLight"/>
        </w:rPr>
        <w:t xml:space="preserve">Stellantis a développé une </w:t>
      </w:r>
      <w:r w:rsidR="00AE217B">
        <w:rPr>
          <w:rStyle w:val="normaltextrun"/>
          <w:rFonts w:ascii="Encode Sans ExpandedLight" w:hAnsi="Encode Sans ExpandedLight"/>
        </w:rPr>
        <w:t xml:space="preserve">activité </w:t>
      </w:r>
      <w:r>
        <w:rPr>
          <w:rStyle w:val="normaltextrun"/>
          <w:rFonts w:ascii="Encode Sans ExpandedLight" w:hAnsi="Encode Sans ExpandedLight"/>
        </w:rPr>
        <w:t xml:space="preserve">complète à 360° basée sur la stratégie des 4R : </w:t>
      </w:r>
      <w:r w:rsidR="00B50607">
        <w:rPr>
          <w:rStyle w:val="normaltextrun"/>
          <w:rFonts w:ascii="Encode Sans ExpandedLight" w:hAnsi="Encode Sans ExpandedLight"/>
        </w:rPr>
        <w:t>re</w:t>
      </w:r>
      <w:r w:rsidR="006D762D">
        <w:rPr>
          <w:rStyle w:val="normaltextrun"/>
          <w:rFonts w:ascii="Encode Sans ExpandedLight" w:hAnsi="Encode Sans ExpandedLight"/>
        </w:rPr>
        <w:t>man</w:t>
      </w:r>
      <w:r>
        <w:rPr>
          <w:rStyle w:val="normaltextrun"/>
          <w:rFonts w:ascii="Encode Sans ExpandedLight" w:hAnsi="Encode Sans ExpandedLight"/>
        </w:rPr>
        <w:t xml:space="preserve"> </w:t>
      </w:r>
      <w:r>
        <w:rPr>
          <w:rStyle w:val="normaltextrun"/>
          <w:rFonts w:ascii="Encode Sans ExpandedLight" w:hAnsi="Encode Sans ExpandedLight"/>
        </w:rPr>
        <w:t>r</w:t>
      </w:r>
      <w:r w:rsidR="006D762D">
        <w:rPr>
          <w:rStyle w:val="normaltextrun"/>
          <w:rFonts w:ascii="Encode Sans ExpandedLight" w:hAnsi="Encode Sans ExpandedLight"/>
        </w:rPr>
        <w:t>epair</w:t>
      </w:r>
      <w:r>
        <w:rPr>
          <w:rStyle w:val="normaltextrun"/>
          <w:rFonts w:ascii="Encode Sans ExpandedLight" w:hAnsi="Encode Sans ExpandedLight"/>
        </w:rPr>
        <w:t xml:space="preserve">, </w:t>
      </w:r>
      <w:r w:rsidR="006D762D">
        <w:rPr>
          <w:rStyle w:val="normaltextrun"/>
          <w:rFonts w:ascii="Encode Sans ExpandedLight" w:hAnsi="Encode Sans ExpandedLight"/>
        </w:rPr>
        <w:t>reuse</w:t>
      </w:r>
      <w:r w:rsidR="006D762D">
        <w:rPr>
          <w:rStyle w:val="normaltextrun"/>
          <w:rFonts w:ascii="Encode Sans ExpandedLight" w:hAnsi="Encode Sans ExpandedLight"/>
        </w:rPr>
        <w:t xml:space="preserve"> </w:t>
      </w:r>
      <w:r>
        <w:rPr>
          <w:rStyle w:val="normaltextrun"/>
          <w:rFonts w:ascii="Encode Sans ExpandedLight" w:hAnsi="Encode Sans ExpandedLight"/>
        </w:rPr>
        <w:t xml:space="preserve">et recycle. Cet écosystème intégré est essentiel à la préservation et à la protection des ressources de notre planète.  </w:t>
      </w:r>
    </w:p>
    <w:p w:rsidR="002843C2" w:rsidRPr="00EE5ED7" w:rsidP="00E330D7">
      <w:pPr>
        <w:pStyle w:val="paragraph"/>
        <w:numPr>
          <w:ilvl w:val="0"/>
          <w:numId w:val="21"/>
        </w:numPr>
        <w:spacing w:before="240" w:beforeAutospacing="0" w:after="0" w:afterAutospacing="0"/>
        <w:jc w:val="both"/>
        <w:textAlignment w:val="baseline"/>
        <w:rPr>
          <w:rStyle w:val="normaltextrun"/>
          <w:rFonts w:ascii="Encode Sans ExpandedLight" w:hAnsi="Encode Sans ExpandedLight" w:eastAsiaTheme="minorHAnsi" w:cs="Segoe UI"/>
          <w:szCs w:val="16"/>
        </w:rPr>
      </w:pPr>
      <w:r w:rsidRPr="00E330D7">
        <w:rPr>
          <w:rStyle w:val="normaltextrun"/>
          <w:rFonts w:ascii="Encode Sans ExpandedLight" w:hAnsi="Encode Sans ExpandedLight"/>
          <w:b/>
          <w:bCs/>
        </w:rPr>
        <w:t>R</w:t>
      </w:r>
      <w:r>
        <w:rPr>
          <w:rStyle w:val="normaltextrun"/>
          <w:rFonts w:ascii="Encode Sans ExpandedLight" w:hAnsi="Encode Sans ExpandedLight"/>
          <w:b/>
          <w:bCs/>
        </w:rPr>
        <w:t>e</w:t>
      </w:r>
      <w:r w:rsidR="006D762D">
        <w:rPr>
          <w:rStyle w:val="normaltextrun"/>
          <w:rFonts w:ascii="Encode Sans ExpandedLight" w:hAnsi="Encode Sans ExpandedLight"/>
          <w:b/>
          <w:bCs/>
        </w:rPr>
        <w:t>man</w:t>
      </w:r>
      <w:r>
        <w:rPr>
          <w:rStyle w:val="normaltextrun"/>
          <w:rFonts w:ascii="Encode Sans ExpandedLight" w:hAnsi="Encode Sans ExpandedLight"/>
        </w:rPr>
        <w:t xml:space="preserve"> </w:t>
      </w:r>
      <w:r w:rsidR="00764A70">
        <w:rPr>
          <w:rStyle w:val="normaltextrun"/>
          <w:rFonts w:ascii="Encode Sans ExpandedLight" w:hAnsi="Encode Sans ExpandedLight"/>
        </w:rPr>
        <w:t xml:space="preserve">– Les pièces usagées, endommagées ou défectueuses sont entièrement démontées et nettoyées </w:t>
      </w:r>
      <w:r w:rsidR="00B91463">
        <w:rPr>
          <w:rStyle w:val="normaltextrun"/>
          <w:rFonts w:ascii="Encode Sans ExpandedLight" w:hAnsi="Encode Sans ExpandedLight"/>
        </w:rPr>
        <w:t>et remise</w:t>
      </w:r>
      <w:r w:rsidR="009D126C">
        <w:rPr>
          <w:rStyle w:val="normaltextrun"/>
          <w:rFonts w:ascii="Encode Sans ExpandedLight" w:hAnsi="Encode Sans ExpandedLight"/>
        </w:rPr>
        <w:t>s</w:t>
      </w:r>
      <w:r w:rsidR="00B91463">
        <w:rPr>
          <w:rStyle w:val="normaltextrun"/>
          <w:rFonts w:ascii="Encode Sans ExpandedLight" w:hAnsi="Encode Sans ExpandedLight"/>
        </w:rPr>
        <w:t xml:space="preserve"> en état conformément aux </w:t>
      </w:r>
      <w:r w:rsidR="00764A70">
        <w:rPr>
          <w:rStyle w:val="normaltextrun"/>
          <w:rFonts w:ascii="Encode Sans ExpandedLight" w:hAnsi="Encode Sans ExpandedLight"/>
        </w:rPr>
        <w:t>spécifications d’origine. Nous proposons actuellement près de 12 000</w:t>
      </w:r>
      <w:r w:rsidR="00764A70">
        <w:rPr>
          <w:rFonts w:ascii="Encode Sans ExpandedLight" w:hAnsi="Encode Sans ExpandedLight"/>
        </w:rPr>
        <w:t> pièces</w:t>
      </w:r>
      <w:r w:rsidR="00764A70">
        <w:rPr>
          <w:rStyle w:val="normaltextrun"/>
          <w:rFonts w:ascii="Encode Sans ExpandedLight" w:hAnsi="Encode Sans ExpandedLight"/>
        </w:rPr>
        <w:t xml:space="preserve"> sur 40 familles de produits,</w:t>
      </w:r>
      <w:r w:rsidR="00764A70">
        <w:rPr>
          <w:rFonts w:ascii="Encode Sans ExpandedLight" w:hAnsi="Encode Sans ExpandedLight"/>
        </w:rPr>
        <w:t xml:space="preserve"> </w:t>
      </w:r>
      <w:r w:rsidR="00764A70">
        <w:rPr>
          <w:rStyle w:val="normaltextrun"/>
          <w:rFonts w:ascii="Encode Sans ExpandedLight" w:hAnsi="Encode Sans ExpandedLight"/>
        </w:rPr>
        <w:t>y compris des batteries pour véhicules électriques.</w:t>
      </w:r>
    </w:p>
    <w:p w:rsidR="00514E86" w:rsidP="00514E86">
      <w:pPr>
        <w:pStyle w:val="paragraph"/>
        <w:numPr>
          <w:ilvl w:val="0"/>
          <w:numId w:val="21"/>
        </w:numPr>
        <w:spacing w:before="240" w:beforeAutospacing="0" w:after="0" w:afterAutospacing="0"/>
        <w:jc w:val="both"/>
        <w:textAlignment w:val="baseline"/>
        <w:rPr>
          <w:rStyle w:val="eop"/>
          <w:rFonts w:ascii="Encode Sans ExpandedLight" w:hAnsi="Encode Sans ExpandedLight"/>
        </w:rPr>
      </w:pPr>
      <w:r w:rsidRPr="004F746E">
        <w:rPr>
          <w:rStyle w:val="normaltextrun"/>
          <w:rFonts w:ascii="Encode Sans ExpandedLight" w:hAnsi="Encode Sans ExpandedLight"/>
          <w:b/>
          <w:bCs/>
        </w:rPr>
        <w:t>Repair</w:t>
      </w:r>
      <w:r w:rsidR="00764A70">
        <w:rPr>
          <w:rStyle w:val="normaltextrun"/>
          <w:rFonts w:ascii="Encode Sans ExpandedLight" w:hAnsi="Encode Sans ExpandedLight"/>
        </w:rPr>
        <w:t>– Les pièces endommagées sont réparées et réinstallées dans les véhicules des clients. Les centres « e-</w:t>
      </w:r>
      <w:r w:rsidR="00764A70">
        <w:rPr>
          <w:rStyle w:val="normaltextrun"/>
          <w:rFonts w:ascii="Encode Sans ExpandedLight" w:hAnsi="Encode Sans ExpandedLight"/>
        </w:rPr>
        <w:t>repair</w:t>
      </w:r>
      <w:r w:rsidR="00764A70">
        <w:rPr>
          <w:rStyle w:val="normaltextrun"/>
          <w:rFonts w:ascii="Encode Sans ExpandedLight" w:hAnsi="Encode Sans ExpandedLight"/>
        </w:rPr>
        <w:t> » de Stellantis travaillent sur les batteries des véhicules électriques dans 21 sites internationaux.</w:t>
      </w:r>
      <w:r w:rsidR="00764A70">
        <w:rPr>
          <w:rStyle w:val="eop"/>
          <w:rFonts w:ascii="Encode Sans ExpandedLight" w:hAnsi="Encode Sans ExpandedLight"/>
        </w:rPr>
        <w:t> </w:t>
      </w:r>
    </w:p>
    <w:p w:rsidR="00514E86" w:rsidRPr="00514E86" w:rsidP="00E330D7">
      <w:pPr>
        <w:pStyle w:val="paragraph"/>
        <w:numPr>
          <w:ilvl w:val="0"/>
          <w:numId w:val="21"/>
        </w:numPr>
        <w:spacing w:before="240" w:beforeAutospacing="0" w:after="0" w:afterAutospacing="0"/>
        <w:textAlignment w:val="baseline"/>
        <w:rPr>
          <w:rStyle w:val="normaltextrun"/>
          <w:rFonts w:ascii="Encode Sans ExpandedLight" w:hAnsi="Encode Sans ExpandedLight"/>
        </w:rPr>
      </w:pPr>
      <w:r w:rsidRPr="00514E86">
        <w:rPr>
          <w:rStyle w:val="normaltextrun"/>
          <w:rFonts w:ascii="Encode Sans ExpandedLight" w:hAnsi="Encode Sans ExpandedLight"/>
          <w:b/>
          <w:bCs/>
        </w:rPr>
        <w:t>R</w:t>
      </w:r>
      <w:r w:rsidR="006D762D">
        <w:rPr>
          <w:rStyle w:val="normaltextrun"/>
          <w:rFonts w:ascii="Encode Sans ExpandedLight" w:hAnsi="Encode Sans ExpandedLight"/>
          <w:b/>
          <w:bCs/>
        </w:rPr>
        <w:t>euse</w:t>
      </w:r>
      <w:r w:rsidRPr="00514E86">
        <w:rPr>
          <w:rStyle w:val="normaltextrun"/>
          <w:rFonts w:ascii="Encode Sans ExpandedLight" w:hAnsi="Encode Sans ExpandedLight"/>
          <w:b/>
          <w:bCs/>
        </w:rPr>
        <w:t xml:space="preserve"> </w:t>
      </w:r>
      <w:bookmarkStart w:id="2" w:name="_Hlk115265913"/>
      <w:r w:rsidRPr="00514E86">
        <w:rPr>
          <w:rStyle w:val="normaltextrun"/>
          <w:rFonts w:ascii="Encode Sans ExpandedLight" w:hAnsi="Encode Sans ExpandedLight"/>
          <w:b/>
          <w:bCs/>
        </w:rPr>
        <w:t>–</w:t>
      </w:r>
      <w:bookmarkEnd w:id="2"/>
      <w:r w:rsidRPr="00514E86">
        <w:rPr>
          <w:rStyle w:val="normaltextrun"/>
          <w:rFonts w:ascii="Encode Sans ExpandedLight" w:hAnsi="Encode Sans ExpandedLight"/>
          <w:b/>
          <w:bCs/>
        </w:rPr>
        <w:t xml:space="preserve"> </w:t>
      </w:r>
      <w:r w:rsidRPr="00043D9E">
        <w:rPr>
          <w:rStyle w:val="normaltextrun"/>
          <w:rFonts w:ascii="Encode Sans ExpandedLight" w:hAnsi="Encode Sans ExpandedLight"/>
        </w:rPr>
        <w:t>Environ 4,5 millions de pièces multimarque</w:t>
      </w:r>
      <w:r w:rsidR="006833D9">
        <w:rPr>
          <w:rStyle w:val="normaltextrun"/>
          <w:rFonts w:ascii="Encode Sans ExpandedLight" w:hAnsi="Encode Sans ExpandedLight"/>
        </w:rPr>
        <w:t xml:space="preserve"> en stock encore </w:t>
      </w:r>
      <w:r w:rsidRPr="00043D9E">
        <w:rPr>
          <w:rStyle w:val="normaltextrun"/>
          <w:rFonts w:ascii="Encode Sans ExpandedLight" w:hAnsi="Encode Sans ExpandedLight"/>
        </w:rPr>
        <w:t>en bon état</w:t>
      </w:r>
      <w:r w:rsidR="006833D9">
        <w:rPr>
          <w:rStyle w:val="normaltextrun"/>
          <w:rFonts w:ascii="Encode Sans ExpandedLight" w:hAnsi="Encode Sans ExpandedLight"/>
        </w:rPr>
        <w:t>,</w:t>
      </w:r>
      <w:r w:rsidRPr="00043D9E">
        <w:rPr>
          <w:rStyle w:val="normaltextrun"/>
          <w:rFonts w:ascii="Encode Sans ExpandedLight" w:hAnsi="Encode Sans ExpandedLight"/>
        </w:rPr>
        <w:t xml:space="preserve"> sont récupérées des véhicules en fin de vie et vendues dans 155 pays via la plateforme de e-commerce </w:t>
      </w:r>
      <w:r>
        <w:fldChar w:fldCharType="begin"/>
      </w:r>
      <w:r>
        <w:instrText xml:space="preserve"> HYPERLINK "https://www.b-parts.com/fr" </w:instrText>
      </w:r>
      <w:r>
        <w:fldChar w:fldCharType="separate"/>
      </w:r>
      <w:r w:rsidRPr="00514E86">
        <w:rPr>
          <w:rStyle w:val="Hyperlink"/>
          <w:rFonts w:ascii="Encode Sans ExpandedLight" w:hAnsi="Encode Sans ExpandedLight"/>
        </w:rPr>
        <w:t>B-Parts</w:t>
      </w:r>
      <w:r>
        <w:fldChar w:fldCharType="end"/>
      </w:r>
      <w:r w:rsidRPr="00043D9E">
        <w:rPr>
          <w:rStyle w:val="normaltextrun"/>
          <w:rFonts w:ascii="Encode Sans ExpandedLight" w:hAnsi="Encode Sans ExpandedLight"/>
        </w:rPr>
        <w:t xml:space="preserve">.  </w:t>
      </w:r>
    </w:p>
    <w:p w:rsidR="002034EB" w:rsidRPr="00A13660" w:rsidP="00E330D7">
      <w:pPr>
        <w:pStyle w:val="paragraph"/>
        <w:numPr>
          <w:ilvl w:val="0"/>
          <w:numId w:val="21"/>
        </w:numPr>
        <w:spacing w:before="240" w:beforeAutospacing="0" w:after="0" w:afterAutospacing="0"/>
        <w:jc w:val="both"/>
        <w:textAlignment w:val="baseline"/>
        <w:rPr>
          <w:b/>
          <w:bCs/>
        </w:rPr>
      </w:pPr>
      <w:r>
        <w:rPr>
          <w:rStyle w:val="normaltextrun"/>
          <w:rFonts w:ascii="Encode Sans ExpandedLight" w:hAnsi="Encode Sans ExpandedLight"/>
          <w:b/>
          <w:bCs/>
        </w:rPr>
        <w:t>Recycle</w:t>
      </w:r>
      <w:r>
        <w:rPr>
          <w:rStyle w:val="normaltextrun"/>
          <w:rFonts w:ascii="Encode Sans ExpandedLight" w:hAnsi="Encode Sans ExpandedLight"/>
        </w:rPr>
        <w:t xml:space="preserve"> – Les déchets de production et les pièces des VHU (véhicules hors d’usage) sont réin</w:t>
      </w:r>
      <w:r w:rsidR="00B91463">
        <w:rPr>
          <w:rStyle w:val="normaltextrun"/>
          <w:rFonts w:ascii="Encode Sans ExpandedLight" w:hAnsi="Encode Sans ExpandedLight"/>
        </w:rPr>
        <w:t>tégrés</w:t>
      </w:r>
      <w:r>
        <w:rPr>
          <w:rStyle w:val="normaltextrun"/>
          <w:rFonts w:ascii="Encode Sans ExpandedLight" w:hAnsi="Encode Sans ExpandedLight"/>
        </w:rPr>
        <w:t xml:space="preserve"> dans le processus de fabrication. En seulement six mois, la Business Unit a </w:t>
      </w:r>
      <w:r w:rsidR="006833D9">
        <w:rPr>
          <w:rStyle w:val="normaltextrun"/>
          <w:rFonts w:ascii="Encode Sans ExpandedLight" w:hAnsi="Encode Sans ExpandedLight"/>
        </w:rPr>
        <w:t>collect</w:t>
      </w:r>
      <w:r>
        <w:rPr>
          <w:rStyle w:val="normaltextrun"/>
          <w:rFonts w:ascii="Encode Sans ExpandedLight" w:hAnsi="Encode Sans ExpandedLight"/>
        </w:rPr>
        <w:t>é le million de pièces recyclées.</w:t>
      </w:r>
    </w:p>
    <w:p w:rsidR="009C207A" w:rsidP="00E330D7">
      <w:pPr>
        <w:pStyle w:val="SDatePlace"/>
        <w:spacing w:before="240" w:after="0"/>
        <w:jc w:val="both"/>
        <w:rPr>
          <w:b/>
          <w:bCs/>
          <w:szCs w:val="24"/>
        </w:rPr>
      </w:pPr>
      <w:r>
        <w:rPr>
          <w:b/>
        </w:rPr>
        <w:t>Des Hubs soutenus par des boucles locales</w:t>
      </w:r>
    </w:p>
    <w:p w:rsidR="00320C5C" w:rsidP="00715B1C">
      <w:pPr>
        <w:pStyle w:val="SDatePlace"/>
        <w:spacing w:after="0"/>
        <w:jc w:val="both"/>
      </w:pPr>
      <w:r>
        <w:t xml:space="preserve">La Business Unit Économie Circulaire de Stellantis prévoit un développement ambitieux du volume de ses activités ainsi qu’un déploiement dans de nouveaux pays, tout en continuant à privilégier une innovation constante et la formation de ses collaborateurs aux nouvelles technologies. </w:t>
      </w:r>
    </w:p>
    <w:p w:rsidR="000877E6" w:rsidP="00E330D7">
      <w:pPr>
        <w:pStyle w:val="SDatePlace"/>
        <w:spacing w:before="240" w:after="0"/>
        <w:jc w:val="both"/>
      </w:pPr>
      <w:r>
        <w:t>En septembre dernier, Stellantis a annoncé l’ouverture en 2023 de son principal Hub d’</w:t>
      </w:r>
      <w:r w:rsidR="005A2F68">
        <w:t>E</w:t>
      </w:r>
      <w:r>
        <w:t xml:space="preserve">conomie </w:t>
      </w:r>
      <w:r w:rsidR="005A2F68">
        <w:t>C</w:t>
      </w:r>
      <w:r>
        <w:t xml:space="preserve">irculaire au sein du complexe de Mirafiori en Italie. Cette opération permettra de développer les activités actuelles de Stellantis tout en soutenant son modèle commercial </w:t>
      </w:r>
      <w:r>
        <w:t>Cradle</w:t>
      </w:r>
      <w:r>
        <w:t xml:space="preserve"> to </w:t>
      </w:r>
      <w:r>
        <w:t>Cradle</w:t>
      </w:r>
      <w:r>
        <w:t xml:space="preserve"> (du berceau au berceau) en Europe. Le Hub accueillera les activités de remise en état et de démantèlement des véhicules, ainsi que le reconditionnement des pièces détachées, </w:t>
      </w:r>
      <w:r w:rsidR="005A2F68">
        <w:t>avec la possibilité de s'étendre à l'échelle mondiale</w:t>
      </w:r>
      <w:r>
        <w:t>. Les ambitions de la Business Unit viennent également soutenir l’acquisition en</w:t>
      </w:r>
      <w:r w:rsidR="005A2F68">
        <w:t xml:space="preserve"> </w:t>
      </w:r>
      <w:r>
        <w:t>2016 d’</w:t>
      </w:r>
      <w:r>
        <w:fldChar w:fldCharType="begin"/>
      </w:r>
      <w:r>
        <w:instrText xml:space="preserve"> HYPERLINK "https://aramis.group/fr/" </w:instrText>
      </w:r>
      <w:r>
        <w:fldChar w:fldCharType="separate"/>
      </w:r>
      <w:r>
        <w:rPr>
          <w:rStyle w:val="Hyperlink"/>
        </w:rPr>
        <w:t>Aramis</w:t>
      </w:r>
      <w:r>
        <w:fldChar w:fldCharType="end"/>
      </w:r>
      <w:r>
        <w:t xml:space="preserve">, leader européen de l’achat et de la vente en ligne de voitures d'occasion multimarque, qui disposera </w:t>
      </w:r>
      <w:r w:rsidR="005A2F68">
        <w:t xml:space="preserve">(d’ici la fin de l’année) </w:t>
      </w:r>
      <w:r>
        <w:t xml:space="preserve">de sept centres de reconditionnement internes, stratégiquement implantés en </w:t>
      </w:r>
      <w:r w:rsidR="00B344A4">
        <w:t>Europe centrale et occidentale.</w:t>
      </w:r>
    </w:p>
    <w:p w:rsidR="00514E86" w:rsidP="00514E86">
      <w:pPr>
        <w:pStyle w:val="SDatePlace"/>
        <w:spacing w:before="240" w:after="0"/>
        <w:jc w:val="both"/>
        <w:rPr>
          <w:b/>
          <w:bCs/>
          <w:szCs w:val="24"/>
        </w:rPr>
      </w:pPr>
      <w:r>
        <w:t>Outre les différents Hubs d’</w:t>
      </w:r>
      <w:r w:rsidR="005A2F68">
        <w:t>E</w:t>
      </w:r>
      <w:r>
        <w:t xml:space="preserve">conomie </w:t>
      </w:r>
      <w:r w:rsidR="005A2F68">
        <w:t>C</w:t>
      </w:r>
      <w:r>
        <w:t xml:space="preserve">irculaire, la Business Unit utilisera ce qu’on appelle des « boucles locales », qui permettront de </w:t>
      </w:r>
      <w:r w:rsidR="005A2F68">
        <w:t xml:space="preserve">conserver </w:t>
      </w:r>
      <w:r>
        <w:t xml:space="preserve">les produits et les matériaux au sein des différents pays, accélérant ainsi les livraisons pour les clients. Au Brésil, les pièces essentielles, comme les démarreurs ou les alternateurs des véhicules des marques Stellantis, sont </w:t>
      </w:r>
      <w:r w:rsidR="00B50607">
        <w:t>reconditionnées</w:t>
      </w:r>
      <w:r>
        <w:t xml:space="preserve">, distribuées et vendues </w:t>
      </w:r>
      <w:r w:rsidR="005A2F68">
        <w:t xml:space="preserve">par l’intermédiaire de </w:t>
      </w:r>
      <w:r>
        <w:t xml:space="preserve">près de 1 000 concessions locales, soutenant ainsi la philosophie d’économie circulaire </w:t>
      </w:r>
      <w:r w:rsidR="005A2F68">
        <w:t>de Stellantis</w:t>
      </w:r>
      <w:r>
        <w:t xml:space="preserve"> et son objectif d’atteindre une empreinte carbone neutre.</w:t>
      </w:r>
      <w:r>
        <w:rPr>
          <w:b/>
          <w:bCs/>
          <w:szCs w:val="24"/>
        </w:rPr>
        <w:t xml:space="preserve">  </w:t>
      </w:r>
    </w:p>
    <w:p w:rsidR="00514E86" w:rsidP="00E330D7">
      <w:pPr>
        <w:pStyle w:val="SDatePlace"/>
        <w:spacing w:before="240"/>
        <w:jc w:val="both"/>
      </w:pPr>
      <w:r>
        <w:t xml:space="preserve">S’appuyant sur les compétences et capacités actuelles de l’entreprise, cette démarche représente une nouvelle étape importante dans la mise en œuvre du </w:t>
      </w:r>
      <w:r w:rsidR="005A2F68">
        <w:t>P</w:t>
      </w:r>
      <w:r>
        <w:t xml:space="preserve">lan </w:t>
      </w:r>
      <w:r w:rsidR="005A2F68">
        <w:t>S</w:t>
      </w:r>
      <w:r>
        <w:t xml:space="preserve">tratégique pour la Business Unit Économie Circulaire de Stellantis. En effet, cela permettra </w:t>
      </w:r>
      <w:r w:rsidR="005A2F68">
        <w:t xml:space="preserve">à l’entreprise </w:t>
      </w:r>
      <w:r>
        <w:t>de quadrupler le</w:t>
      </w:r>
      <w:r w:rsidR="005A2F68">
        <w:t xml:space="preserve">s revenus liés à </w:t>
      </w:r>
      <w:r>
        <w:t>une durée de vie prolongée des pièces et des services, et de multiplier par 10 le chiffre d’affaires lié au recyclage en 2030 par rapport à 2021.</w:t>
      </w:r>
      <w:r>
        <w:br w:type="page"/>
      </w:r>
    </w:p>
    <w:p w:rsidR="00D63AD2" w:rsidP="00715B1C">
      <w:pPr>
        <w:pStyle w:val="SDatePlace"/>
        <w:spacing w:after="0"/>
        <w:jc w:val="both"/>
        <w:rPr>
          <w:b/>
          <w:bCs/>
          <w:szCs w:val="24"/>
        </w:rPr>
      </w:pPr>
      <w:r>
        <w:rPr>
          <w:b/>
          <w:bCs/>
          <w:szCs w:val="24"/>
        </w:rPr>
        <w:t xml:space="preserve">Présentation de SUSTAINera </w:t>
      </w:r>
    </w:p>
    <w:p w:rsidR="00E70B9F" w:rsidP="00E330D7">
      <w:pPr>
        <w:pStyle w:val="SDatePlace"/>
        <w:jc w:val="both"/>
      </w:pPr>
      <w:r>
        <w:t xml:space="preserve">Outre l’expansion de ses activités d’économie circulaire, la Business Unit lance également son nouveau label SUSTAINera dédié aux pièces détachées et aux accessoires, gage d’une diminution jusqu’à 80 % des matériaux et 50 % de l’énergie par rapport aux pièces neuves équivalentes. Ces valeurs sont déterminées au moyen d’une analyse du cycle de vie des produits </w:t>
      </w:r>
      <w:r w:rsidR="00B50607">
        <w:t xml:space="preserve">les plus </w:t>
      </w:r>
      <w:r>
        <w:t xml:space="preserve">vendus pour chaque famille de produits, selon une méthodologie approuvée par </w:t>
      </w:r>
      <w:r>
        <w:t>Sphera</w:t>
      </w:r>
      <w:r w:rsidR="00514E86">
        <w:t>, une société indépendante</w:t>
      </w:r>
    </w:p>
    <w:p w:rsidR="00E70B9F" w:rsidP="00E330D7">
      <w:pPr>
        <w:pStyle w:val="SDatePlace"/>
        <w:spacing w:before="240" w:after="0"/>
        <w:jc w:val="both"/>
      </w:pPr>
      <w:r>
        <w:t>« Le label SUSTAINera symbolise notre promesse d’offrir aux clients de nos marques des produits et des services transparents, durables et abordables, sans compromettre la qualité, tout en protégeant l’environnement grâce à une diminution notable des déchets et des ressources utilisées », a déclaré Alison Jones.</w:t>
      </w:r>
    </w:p>
    <w:p w:rsidR="000B331D" w:rsidP="00E330D7">
      <w:pPr>
        <w:pStyle w:val="SDatePlace"/>
        <w:spacing w:before="240" w:after="0"/>
        <w:jc w:val="both"/>
        <w:rPr>
          <w:szCs w:val="24"/>
        </w:rPr>
      </w:pPr>
      <w:r>
        <w:t xml:space="preserve">Choisi parmi plusieurs centaines de propositions émanant des collaborateurs de Stellantis, le label SUSTAINera incarne également l’une des valeurs fondamentales </w:t>
      </w:r>
      <w:r w:rsidR="00514E86">
        <w:t>de l’entreprise</w:t>
      </w:r>
      <w:r>
        <w:t>, qui est de bâtir un avenir meilleur au moyen d’activités écoresponsables capables de nous mener vers une nouvelle ère</w:t>
      </w:r>
      <w:r w:rsidR="00B50607">
        <w:t xml:space="preserve"> de développement durable</w:t>
      </w:r>
      <w:r>
        <w:t>.</w:t>
      </w:r>
    </w:p>
    <w:p w:rsidR="00715B1C" w:rsidP="004B143F">
      <w:pPr>
        <w:pStyle w:val="SDatePlace"/>
        <w:spacing w:after="0"/>
        <w:jc w:val="center"/>
      </w:pPr>
    </w:p>
    <w:p w:rsidR="00E047DA" w:rsidP="004B143F">
      <w:pPr>
        <w:pStyle w:val="SDatePlace"/>
        <w:spacing w:after="0"/>
        <w:jc w:val="center"/>
      </w:pPr>
      <w:r>
        <w:t># # #</w:t>
      </w:r>
    </w:p>
    <w:p w:rsidR="00AC6EE5" w:rsidP="00715B1C">
      <w:pPr>
        <w:pStyle w:val="SDatePlace"/>
        <w:spacing w:after="0"/>
        <w:rPr>
          <w:b/>
          <w:color w:val="243782" w:themeColor="accent1"/>
          <w:sz w:val="22"/>
        </w:rPr>
      </w:pPr>
    </w:p>
    <w:p w:rsidR="00B96799" w:rsidRPr="00E330D7" w:rsidP="00715B1C">
      <w:pPr>
        <w:pStyle w:val="SDatePlace"/>
        <w:spacing w:after="0"/>
        <w:rPr>
          <w:b/>
          <w:color w:val="243782" w:themeColor="accent1"/>
          <w:szCs w:val="20"/>
        </w:rPr>
      </w:pPr>
      <w:r w:rsidRPr="00E330D7">
        <w:rPr>
          <w:b/>
          <w:color w:val="243782" w:themeColor="accent1"/>
          <w:szCs w:val="20"/>
        </w:rPr>
        <w:t>À propos de Stellantis</w:t>
      </w:r>
    </w:p>
    <w:p w:rsidR="007819D6" w:rsidRPr="00E330D7" w:rsidP="007819D6">
      <w:pPr>
        <w:rPr>
          <w:rFonts w:eastAsia="Encode Sans" w:cs="Encode Sans"/>
          <w:i/>
          <w:color w:val="222222"/>
          <w:szCs w:val="28"/>
          <w:highlight w:val="white"/>
        </w:rPr>
      </w:pPr>
      <w:bookmarkStart w:id="3" w:name="_Hlk97712532"/>
      <w:r w:rsidRPr="00E330D7">
        <w:rPr>
          <w:i/>
          <w:color w:val="222222"/>
          <w:szCs w:val="28"/>
          <w:highlight w:val="white"/>
        </w:rPr>
        <w:t>Stellantis N.V. (NYSE / MTA / Euronext Paris : STLA) fait partie des principaux constructeurs automobiles et fournisseurs de services de mobilité internationaux</w:t>
      </w:r>
      <w:r w:rsidRPr="00E330D7">
        <w:rPr>
          <w:i/>
          <w:color w:val="222222"/>
          <w:szCs w:val="28"/>
        </w:rPr>
        <w:t>. Abarth</w:t>
      </w:r>
      <w:r w:rsidRPr="00E330D7">
        <w:rPr>
          <w:i/>
          <w:color w:val="222222"/>
          <w:szCs w:val="28"/>
          <w:highlight w:val="white"/>
        </w:rPr>
        <w:t>, Alfa Romeo, Chrysler, Citroën, Dodge, DS Automobiles, Fiat, Jeep</w:t>
      </w:r>
      <w:r w:rsidRPr="00E330D7">
        <w:rPr>
          <w:i/>
          <w:color w:val="222222"/>
          <w:szCs w:val="28"/>
          <w:highlight w:val="white"/>
          <w:vertAlign w:val="subscript"/>
        </w:rPr>
        <w:t>®</w:t>
      </w:r>
      <w:r w:rsidRPr="00E330D7">
        <w:rPr>
          <w:i/>
          <w:color w:val="222222"/>
          <w:szCs w:val="28"/>
          <w:highlight w:val="white"/>
        </w:rPr>
        <w:t xml:space="preserve">,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r>
        <w:fldChar w:fldCharType="begin"/>
      </w:r>
      <w:r>
        <w:instrText xml:space="preserve"> HYPERLINK "https://www.stellantis.com/fr" </w:instrText>
      </w:r>
      <w:r>
        <w:fldChar w:fldCharType="separate"/>
      </w:r>
      <w:r w:rsidRPr="00514E86" w:rsidR="00514E86">
        <w:rPr>
          <w:rStyle w:val="Hyperlink"/>
          <w:i/>
          <w:szCs w:val="28"/>
          <w:highlight w:val="white"/>
        </w:rPr>
        <w:t>www.stellantis.com</w:t>
      </w:r>
      <w: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9"/>
        <w:gridCol w:w="1835"/>
        <w:gridCol w:w="570"/>
        <w:gridCol w:w="1624"/>
        <w:gridCol w:w="556"/>
        <w:gridCol w:w="1591"/>
        <w:gridCol w:w="568"/>
        <w:gridCol w:w="1041"/>
        <w:gridCol w:w="22"/>
      </w:tblGrid>
      <w:tr w:rsidTr="0023542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729"/>
        </w:trPr>
        <w:tc>
          <w:tcPr>
            <w:tcW w:w="579" w:type="dxa"/>
            <w:vAlign w:val="center"/>
          </w:tcPr>
          <w:p w:rsidR="001E6C1E" w:rsidRPr="00514E86" w:rsidP="00792B47">
            <w:pPr>
              <w:spacing w:after="0"/>
              <w:jc w:val="left"/>
              <w:rPr>
                <w:color w:val="243782" w:themeColor="text2"/>
                <w:sz w:val="22"/>
                <w:szCs w:val="14"/>
              </w:rPr>
            </w:pPr>
            <w:bookmarkEnd w:id="3"/>
            <w:r w:rsidRPr="00514E86">
              <w:rPr>
                <w:noProof/>
                <w:color w:val="243782" w:themeColor="text2"/>
                <w:sz w:val="22"/>
                <w:szCs w:val="14"/>
              </w:rPr>
              <w:drawing>
                <wp:anchor distT="0" distB="0" distL="114300" distR="114300" simplePos="0" relativeHeight="251663360" behindDoc="0" locked="0" layoutInCell="1" allowOverlap="1">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514E86" w:rsidP="00792B47">
            <w:pPr>
              <w:spacing w:before="120" w:after="0"/>
              <w:jc w:val="left"/>
              <w:rPr>
                <w:color w:val="243782" w:themeColor="text2"/>
                <w:sz w:val="22"/>
                <w:szCs w:val="14"/>
              </w:rPr>
            </w:pPr>
            <w:r>
              <w:fldChar w:fldCharType="begin"/>
            </w:r>
            <w:r>
              <w:instrText xml:space="preserve"> HYPERLINK "https://twitter.com/Stellantis" </w:instrText>
            </w:r>
            <w:r>
              <w:fldChar w:fldCharType="separate"/>
            </w:r>
            <w:r w:rsidRPr="00E330D7" w:rsidR="00E21ABA">
              <w:rPr>
                <w:rStyle w:val="Hyperlink"/>
                <w:sz w:val="22"/>
                <w:szCs w:val="14"/>
                <w:u w:val="none"/>
              </w:rPr>
              <w:t>@Stellantis</w:t>
            </w:r>
            <w:r>
              <w:fldChar w:fldCharType="end"/>
            </w:r>
          </w:p>
        </w:tc>
        <w:tc>
          <w:tcPr>
            <w:tcW w:w="570" w:type="dxa"/>
            <w:vAlign w:val="center"/>
          </w:tcPr>
          <w:p w:rsidR="001E6C1E" w:rsidRPr="00514E86" w:rsidP="00792B47">
            <w:pPr>
              <w:spacing w:after="0"/>
              <w:jc w:val="left"/>
              <w:rPr>
                <w:color w:val="243782" w:themeColor="text2"/>
                <w:sz w:val="22"/>
                <w:szCs w:val="14"/>
              </w:rPr>
            </w:pPr>
            <w:r w:rsidRPr="00514E86">
              <w:rPr>
                <w:noProof/>
                <w:color w:val="243782" w:themeColor="text2"/>
                <w:sz w:val="22"/>
                <w:szCs w:val="14"/>
              </w:rPr>
              <w:drawing>
                <wp:anchor distT="0" distB="0" distL="114300" distR="114300" simplePos="0" relativeHeight="251658240" behindDoc="1" locked="0" layoutInCell="1" allowOverlap="1">
                  <wp:simplePos x="0" y="0"/>
                  <wp:positionH relativeFrom="column">
                    <wp:posOffset>-379730</wp:posOffset>
                  </wp:positionH>
                  <wp:positionV relativeFrom="paragraph">
                    <wp:posOffset>-73025</wp:posOffset>
                  </wp:positionV>
                  <wp:extent cx="292735" cy="292735"/>
                  <wp:effectExtent l="0" t="0" r="0" b="0"/>
                  <wp:wrapTight wrapText="bothSides">
                    <wp:wrapPolygon>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514E86" w:rsidP="00792B47">
            <w:pPr>
              <w:spacing w:before="120" w:after="0"/>
              <w:jc w:val="left"/>
              <w:rPr>
                <w:color w:val="243782" w:themeColor="text2"/>
                <w:sz w:val="22"/>
                <w:szCs w:val="14"/>
              </w:rPr>
            </w:pPr>
            <w:r>
              <w:fldChar w:fldCharType="begin"/>
            </w:r>
            <w:r>
              <w:instrText xml:space="preserve"> HYPERLINK "https://www.facebook.com/Stellantis" </w:instrText>
            </w:r>
            <w:r>
              <w:fldChar w:fldCharType="separate"/>
            </w:r>
            <w:r w:rsidRPr="00E330D7" w:rsidR="00E21ABA">
              <w:rPr>
                <w:rStyle w:val="Hyperlink"/>
                <w:sz w:val="22"/>
                <w:szCs w:val="14"/>
                <w:u w:val="none"/>
              </w:rPr>
              <w:t>Stellantis</w:t>
            </w:r>
            <w:r>
              <w:fldChar w:fldCharType="end"/>
            </w:r>
          </w:p>
        </w:tc>
        <w:tc>
          <w:tcPr>
            <w:tcW w:w="556" w:type="dxa"/>
            <w:vAlign w:val="center"/>
          </w:tcPr>
          <w:p w:rsidR="001E6C1E" w:rsidRPr="00514E86" w:rsidP="00792B47">
            <w:pPr>
              <w:spacing w:after="0"/>
              <w:jc w:val="left"/>
              <w:rPr>
                <w:color w:val="243782" w:themeColor="text2"/>
                <w:sz w:val="22"/>
                <w:szCs w:val="14"/>
              </w:rPr>
            </w:pPr>
            <w:r w:rsidRPr="00514E86">
              <w:rPr>
                <w:noProof/>
                <w:color w:val="243782" w:themeColor="text2"/>
                <w:sz w:val="22"/>
                <w:szCs w:val="14"/>
              </w:rPr>
              <w:drawing>
                <wp:anchor distT="0" distB="0" distL="114300" distR="114300" simplePos="0" relativeHeight="251659264" behindDoc="1" locked="0" layoutInCell="1" allowOverlap="1">
                  <wp:simplePos x="0" y="0"/>
                  <wp:positionH relativeFrom="column">
                    <wp:posOffset>-379095</wp:posOffset>
                  </wp:positionH>
                  <wp:positionV relativeFrom="paragraph">
                    <wp:posOffset>-46355</wp:posOffset>
                  </wp:positionV>
                  <wp:extent cx="292100" cy="292735"/>
                  <wp:effectExtent l="0" t="0" r="0" b="0"/>
                  <wp:wrapTight wrapText="bothSides">
                    <wp:wrapPolygon>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514E86" w:rsidP="00792B47">
            <w:pPr>
              <w:spacing w:before="120" w:after="0"/>
              <w:jc w:val="left"/>
              <w:rPr>
                <w:color w:val="243782" w:themeColor="text2"/>
                <w:sz w:val="22"/>
                <w:szCs w:val="14"/>
              </w:rPr>
            </w:pPr>
            <w:r>
              <w:fldChar w:fldCharType="begin"/>
            </w:r>
            <w:r>
              <w:instrText xml:space="preserve"> HYPERLINK "https://www.linkedin.com/company/stellantis/" </w:instrText>
            </w:r>
            <w:r>
              <w:fldChar w:fldCharType="separate"/>
            </w:r>
            <w:r w:rsidRPr="00E330D7" w:rsidR="00E21ABA">
              <w:rPr>
                <w:rStyle w:val="Hyperlink"/>
                <w:sz w:val="22"/>
                <w:szCs w:val="14"/>
                <w:u w:val="none"/>
              </w:rPr>
              <w:t>Stellantis</w:t>
            </w:r>
            <w:r>
              <w:fldChar w:fldCharType="end"/>
            </w:r>
          </w:p>
        </w:tc>
        <w:tc>
          <w:tcPr>
            <w:tcW w:w="568" w:type="dxa"/>
            <w:vAlign w:val="center"/>
          </w:tcPr>
          <w:p w:rsidR="001E6C1E" w:rsidRPr="00514E86" w:rsidP="00792B47">
            <w:pPr>
              <w:spacing w:after="0"/>
              <w:jc w:val="left"/>
              <w:rPr>
                <w:color w:val="243782" w:themeColor="text2"/>
                <w:sz w:val="22"/>
                <w:szCs w:val="14"/>
              </w:rPr>
            </w:pPr>
            <w:r w:rsidRPr="00514E86">
              <w:rPr>
                <w:noProof/>
                <w:color w:val="243782" w:themeColor="text2"/>
                <w:sz w:val="22"/>
                <w:szCs w:val="14"/>
              </w:rPr>
              <w:drawing>
                <wp:anchor distT="0" distB="0" distL="114300" distR="114300" simplePos="0" relativeHeight="251662336" behindDoc="1" locked="0" layoutInCell="1" allowOverlap="1">
                  <wp:simplePos x="0" y="0"/>
                  <wp:positionH relativeFrom="column">
                    <wp:posOffset>-396875</wp:posOffset>
                  </wp:positionH>
                  <wp:positionV relativeFrom="paragraph">
                    <wp:posOffset>-72390</wp:posOffset>
                  </wp:positionV>
                  <wp:extent cx="303530" cy="292735"/>
                  <wp:effectExtent l="0" t="0" r="1270" b="0"/>
                  <wp:wrapTight wrapText="bothSides">
                    <wp:wrapPolygon>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514E86" w:rsidP="00792B47">
            <w:pPr>
              <w:spacing w:before="120" w:after="0"/>
              <w:jc w:val="left"/>
              <w:rPr>
                <w:color w:val="243782" w:themeColor="text2"/>
                <w:sz w:val="22"/>
                <w:szCs w:val="14"/>
              </w:rPr>
            </w:pPr>
            <w:r>
              <w:fldChar w:fldCharType="begin"/>
            </w:r>
            <w:r>
              <w:instrText xml:space="preserve"> HYPERLINK "https://www.youtube.com/c/Stellantis_official" </w:instrText>
            </w:r>
            <w:r>
              <w:fldChar w:fldCharType="separate"/>
            </w:r>
            <w:r w:rsidRPr="00E330D7" w:rsidR="00E21ABA">
              <w:rPr>
                <w:rStyle w:val="Hyperlink"/>
                <w:sz w:val="22"/>
                <w:szCs w:val="14"/>
                <w:u w:val="none"/>
              </w:rPr>
              <w:t>Stellantis</w:t>
            </w:r>
            <w:r>
              <w:fldChar w:fldCharType="end"/>
            </w:r>
          </w:p>
        </w:tc>
      </w:tr>
      <w:tr w:rsidTr="00792B47">
        <w:tblPrEx>
          <w:tblW w:w="5000" w:type="pct"/>
          <w:tblCellMar>
            <w:left w:w="0" w:type="dxa"/>
            <w:right w:w="57" w:type="dxa"/>
          </w:tblCellMar>
          <w:tblLook w:val="04A0"/>
        </w:tblPrEx>
        <w:trPr>
          <w:gridAfter w:val="1"/>
          <w:wAfter w:w="22" w:type="dxa"/>
          <w:trHeight w:val="2043"/>
        </w:trPr>
        <w:tc>
          <w:tcPr>
            <w:tcW w:w="8364" w:type="dxa"/>
            <w:gridSpan w:val="8"/>
          </w:tcPr>
          <w:p w:rsidR="00E047DA" w:rsidP="00792B47">
            <w:r>
              <w:rPr>
                <w:noProof/>
              </w:rPr>
              <mc:AlternateContent>
                <mc:Choice Requires="wps">
                  <w:drawing>
                    <wp:inline distT="0" distB="0" distL="0" distR="0">
                      <wp:extent cx="432000" cy="61913"/>
                      <wp:effectExtent l="0" t="0" r="6350" b="0"/>
                      <wp:docPr id="17" name="Freeform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pathLst>
                                  <a:path fill="norm" h="39" w="354" stroke="1">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id="Freeform 27" o:spid="_x0000_i1026" style="height:4.9pt;mso-left-percent:-10001;mso-position-horizontal-relative:char;mso-position-vertical-relative:line;mso-top-percent:-10001;mso-wrap-style:square;v-text-anchor:top;visibility:visible;width:34pt" coordsize="354,39" path="m329,39l,39,27,,354,,329,39xe" fillcolor="#243782" stroked="f">
                      <v:path arrowok="t" o:connecttype="custom" o:connectlocs="401492,61913;0,61913;32949,0;432000,0;401492,61913" o:connectangles="0,0,0,0,0"/>
                      <w10:wrap type="none"/>
                      <w10:anchorlock/>
                    </v:shape>
                  </w:pict>
                </mc:Fallback>
              </mc:AlternateContent>
            </w:r>
          </w:p>
          <w:p w:rsidR="00E047DA" w:rsidRPr="0085397B" w:rsidP="00792B47">
            <w:pPr>
              <w:pStyle w:val="SContact-Title"/>
            </w:pPr>
            <w:bookmarkStart w:id="4" w:name="_Hlk61784883"/>
            <w:r>
              <w:t>Pour plus d’informations, merci de contacter :</w:t>
            </w:r>
          </w:p>
          <w:sdt>
            <w:sdtPr>
              <w:rPr>
                <w:sz w:val="20"/>
              </w:rPr>
              <w:id w:val="143632974"/>
              <w:placeholder>
                <w:docPart w:val="C4475BC594FE41A4B70644BC0F69B0A8"/>
              </w:placeholder>
              <w:richText/>
            </w:sdtPr>
            <w:sdtContent>
              <w:p w:rsidR="005335E5" w:rsidRPr="00E330D7" w:rsidP="005335E5">
                <w:pPr>
                  <w:pStyle w:val="SContact-Sendersinfo"/>
                  <w:rPr>
                    <w:rFonts w:ascii="Encode Sans ExpandedLight" w:hAnsi="Encode Sans ExpandedLight"/>
                    <w:sz w:val="20"/>
                    <w:szCs w:val="20"/>
                    <w:lang w:val="it-IT"/>
                  </w:rPr>
                </w:pPr>
                <w:bookmarkStart w:id="5" w:name="_Hlk97712922"/>
                <w:sdt>
                  <w:sdtPr>
                    <w:rPr>
                      <w:sz w:val="20"/>
                      <w:szCs w:val="20"/>
                    </w:rPr>
                    <w:id w:val="-1719962335"/>
                    <w:placeholder>
                      <w:docPart w:val="CE3E5EA1A49A47D5A26AEC040D899A51"/>
                    </w:placeholder>
                    <w:richText/>
                  </w:sdtPr>
                  <w:sdtContent>
                    <w:r w:rsidRPr="00E330D7" w:rsidR="00E21ABA">
                      <w:rPr>
                        <w:sz w:val="20"/>
                        <w:szCs w:val="20"/>
                        <w:lang w:val="it-IT"/>
                      </w:rPr>
                      <w:t xml:space="preserve">Fernão </w:t>
                    </w:r>
                    <w:sdt>
                      <w:sdtPr>
                        <w:rPr>
                          <w:sz w:val="20"/>
                          <w:szCs w:val="20"/>
                        </w:rPr>
                        <w:id w:val="743996128"/>
                        <w:placeholder>
                          <w:docPart w:val="D5C503420D964060A55578895F3DD2CE"/>
                        </w:placeholder>
                        <w:richText/>
                      </w:sdtPr>
                      <w:sdtContent>
                        <w:sdt>
                          <w:sdtPr>
                            <w:rPr>
                              <w:sz w:val="20"/>
                              <w:szCs w:val="20"/>
                            </w:rPr>
                            <w:id w:val="1175080926"/>
                            <w:placeholder>
                              <w:docPart w:val="4AB496E044F443FB9950EC2028529BE8"/>
                            </w:placeholder>
                            <w:richText/>
                          </w:sdtPr>
                          <w:sdtContent>
                            <w:r w:rsidRPr="00E330D7" w:rsidR="00E21ABA">
                              <w:rPr>
                                <w:sz w:val="20"/>
                                <w:szCs w:val="20"/>
                                <w:lang w:val="it-IT"/>
                              </w:rPr>
                              <w:t>SILVEIRA</w:t>
                            </w:r>
                          </w:sdtContent>
                        </w:sdt>
                      </w:sdtContent>
                    </w:sdt>
                    <w:r w:rsidRPr="00E330D7" w:rsidR="00E21ABA">
                      <w:rPr>
                        <w:sz w:val="20"/>
                        <w:szCs w:val="20"/>
                        <w:lang w:val="it-IT"/>
                      </w:rPr>
                      <w:t xml:space="preserve"> </w:t>
                    </w:r>
                    <w:sdt>
                      <w:sdtPr>
                        <w:rPr>
                          <w:rFonts w:ascii="Encode Sans ExpandedLight" w:hAnsi="Encode Sans ExpandedLight"/>
                          <w:sz w:val="20"/>
                          <w:szCs w:val="20"/>
                        </w:rPr>
                        <w:id w:val="983514247"/>
                        <w:placeholder>
                          <w:docPart w:val="3F001C52D8B5488EA9CBF66155FB3812"/>
                        </w:placeholder>
                        <w:richText/>
                      </w:sdtPr>
                      <w:sdtContent>
                        <w:r w:rsidRPr="00E330D7" w:rsidR="00E21ABA">
                          <w:rPr>
                            <w:rFonts w:ascii="Encode Sans ExpandedLight" w:hAnsi="Encode Sans ExpandedLight"/>
                            <w:sz w:val="20"/>
                            <w:szCs w:val="20"/>
                            <w:lang w:val="it-IT"/>
                          </w:rPr>
                          <w:t>+31 6 43 25 43 41 – fernao.silveira@stellantis.com</w:t>
                        </w:r>
                      </w:sdtContent>
                    </w:sdt>
                    <w:r w:rsidRPr="00E330D7" w:rsidR="00E21ABA">
                      <w:rPr>
                        <w:rFonts w:ascii="Encode Sans ExpandedLight" w:hAnsi="Encode Sans ExpandedLight"/>
                        <w:sz w:val="20"/>
                        <w:szCs w:val="20"/>
                        <w:lang w:val="it-IT"/>
                      </w:rPr>
                      <w:br/>
                    </w:r>
                    <w:r w:rsidRPr="00E330D7" w:rsidR="00E21ABA">
                      <w:rPr>
                        <w:sz w:val="20"/>
                        <w:szCs w:val="20"/>
                        <w:lang w:val="it-IT"/>
                      </w:rPr>
                      <w:t>Valérie GILLOT</w:t>
                    </w:r>
                  </w:sdtContent>
                </w:sdt>
                <w:r w:rsidRPr="00E330D7" w:rsidR="00E21ABA">
                  <w:rPr>
                    <w:sz w:val="20"/>
                    <w:szCs w:val="20"/>
                    <w:lang w:val="it-IT"/>
                  </w:rPr>
                  <w:t xml:space="preserve"> </w:t>
                </w:r>
                <w:sdt>
                  <w:sdtPr>
                    <w:rPr>
                      <w:rFonts w:ascii="Encode Sans ExpandedLight" w:hAnsi="Encode Sans ExpandedLight"/>
                      <w:sz w:val="20"/>
                      <w:szCs w:val="20"/>
                    </w:rPr>
                    <w:id w:val="-1037958382"/>
                    <w:placeholder>
                      <w:docPart w:val="DC541AFFAF6044019ED75F6281D796E8"/>
                    </w:placeholder>
                    <w:richText/>
                  </w:sdtPr>
                  <w:sdtContent>
                    <w:r w:rsidRPr="00E330D7" w:rsidR="00E21ABA">
                      <w:rPr>
                        <w:rFonts w:ascii="Encode Sans ExpandedLight" w:hAnsi="Encode Sans ExpandedLight"/>
                        <w:sz w:val="20"/>
                        <w:szCs w:val="20"/>
                        <w:lang w:val="it-IT"/>
                      </w:rPr>
                      <w:t>+ 33 6 83 92 92 96 – valerie.gillot@stellantis.com</w:t>
                    </w:r>
                  </w:sdtContent>
                </w:sdt>
              </w:p>
              <w:p w:rsidR="005335E5" w:rsidRPr="00E820E6" w:rsidP="005335E5">
                <w:pPr>
                  <w:pStyle w:val="SContact-Sendersinfo"/>
                  <w:rPr>
                    <w:rFonts w:ascii="Encode Sans ExpandedLight" w:hAnsi="Encode Sans ExpandedLight"/>
                    <w:sz w:val="20"/>
                    <w:szCs w:val="20"/>
                  </w:rPr>
                </w:pPr>
                <w:sdt>
                  <w:sdtPr>
                    <w:rPr>
                      <w:sz w:val="20"/>
                      <w:szCs w:val="20"/>
                    </w:rPr>
                    <w:id w:val="1282529045"/>
                    <w:placeholder>
                      <w:docPart w:val="9B6BAAB185554217B5298E176B351D31"/>
                    </w:placeholder>
                    <w:richText/>
                  </w:sdtPr>
                  <w:sdtContent>
                    <w:r w:rsidR="00E21ABA">
                      <w:rPr>
                        <w:sz w:val="20"/>
                        <w:szCs w:val="20"/>
                      </w:rPr>
                      <w:t>Nathalie ROUSSEL</w:t>
                    </w:r>
                    <w:r w:rsidR="00E21ABA">
                      <w:rPr>
                        <w:rFonts w:ascii="Cambria" w:hAnsi="Cambria"/>
                        <w:sz w:val="20"/>
                        <w:szCs w:val="20"/>
                      </w:rPr>
                      <w:t> </w:t>
                    </w:r>
                  </w:sdtContent>
                </w:sdt>
                <w:r w:rsidR="00E21ABA">
                  <w:rPr>
                    <w:sz w:val="20"/>
                    <w:szCs w:val="20"/>
                  </w:rPr>
                  <w:t xml:space="preserve"> </w:t>
                </w:r>
                <w:sdt>
                  <w:sdtPr>
                    <w:rPr>
                      <w:rFonts w:ascii="Encode Sans ExpandedLight" w:hAnsi="Encode Sans ExpandedLight"/>
                      <w:sz w:val="20"/>
                      <w:szCs w:val="20"/>
                    </w:rPr>
                    <w:id w:val="-878779968"/>
                    <w:placeholder>
                      <w:docPart w:val="CEB14744533942C592C0FF4951249444"/>
                    </w:placeholder>
                    <w:richText/>
                  </w:sdtPr>
                  <w:sdtContent>
                    <w:r w:rsidR="00E21ABA">
                      <w:rPr>
                        <w:rFonts w:ascii="Encode Sans ExpandedLight" w:hAnsi="Encode Sans ExpandedLight"/>
                        <w:sz w:val="20"/>
                        <w:szCs w:val="20"/>
                      </w:rPr>
                      <w:t>+ 33 6 87 77 41 82 – nathalie.roussel@stellantis.com</w:t>
                    </w:r>
                  </w:sdtContent>
                </w:sdt>
              </w:p>
              <w:p w:rsidR="00E047DA" w:rsidRPr="00E820E6" w:rsidP="00792B47">
                <w:pPr>
                  <w:pStyle w:val="SContact-Sendersinfo"/>
                  <w:rPr>
                    <w:rFonts w:ascii="Encode Sans ExpandedLight" w:hAnsi="Encode Sans ExpandedLight"/>
                    <w:sz w:val="20"/>
                    <w:lang w:val="es-ES"/>
                  </w:rPr>
                </w:pPr>
              </w:p>
            </w:sdtContent>
          </w:sdt>
          <w:p w:rsidR="00E047DA" w:rsidRPr="00175E14" w:rsidP="00792B47">
            <w:pPr>
              <w:pStyle w:val="SFooter-Emailwebsite"/>
              <w:rPr>
                <w:lang w:val="es-ES"/>
              </w:rPr>
            </w:pPr>
            <w:bookmarkEnd w:id="5"/>
            <w:r w:rsidRPr="00175E14">
              <w:rPr>
                <w:lang w:val="es-ES"/>
              </w:rPr>
              <w:t>communications@stellantis.com</w:t>
            </w:r>
            <w:r w:rsidRPr="00175E14">
              <w:rPr>
                <w:lang w:val="es-ES"/>
              </w:rPr>
              <w:br/>
              <w:t>www.stellantis.com</w:t>
            </w:r>
            <w:bookmarkEnd w:id="4"/>
          </w:p>
        </w:tc>
      </w:tr>
    </w:tbl>
    <w:p w:rsidR="00454D6B" w:rsidRPr="00454D6B" w:rsidP="00454D6B">
      <w:pPr>
        <w:spacing w:after="0"/>
        <w:jc w:val="left"/>
        <w:rPr>
          <w:b/>
          <w:bCs/>
        </w:rPr>
      </w:pPr>
      <w:r w:rsidRPr="00454D6B">
        <w:rPr>
          <w:b/>
          <w:bCs/>
        </w:rPr>
        <w:t>DÉCLARATIONS PROSPECTIVES</w:t>
      </w:r>
    </w:p>
    <w:p w:rsidR="00454D6B" w:rsidRPr="004F746E" w:rsidP="004F746E">
      <w:pPr>
        <w:spacing w:after="0"/>
        <w:rPr>
          <w:i/>
          <w:sz w:val="20"/>
          <w:szCs w:val="12"/>
        </w:rPr>
      </w:pPr>
      <w:r w:rsidRPr="004F746E">
        <w:rPr>
          <w:i/>
          <w:sz w:val="20"/>
          <w:szCs w:val="12"/>
        </w:rPr>
        <w:t xml:space="preserve">Cette communication contient des déclarations prospectives. En particulier, les déclarations concernant les événements futurs et les résultats opérationnels anticipés, les stratégies commerciales, les bénéfices escomptés </w:t>
      </w:r>
      <w:r w:rsidRPr="004F746E">
        <w:rPr>
          <w:i/>
          <w:sz w:val="20"/>
          <w:szCs w:val="12"/>
        </w:rPr>
        <w:t>suite à</w:t>
      </w:r>
      <w:r w:rsidRPr="004F746E">
        <w:rPr>
          <w:i/>
          <w:sz w:val="20"/>
          <w:szCs w:val="12"/>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sont pas des garanties de performances futures. Elles reposent au contraire sur l’état actuel des connaissances de Stellantis ainsi que sur ses projections et attentes </w:t>
      </w:r>
      <w:r w:rsidRPr="004F746E">
        <w:rPr>
          <w:i/>
          <w:sz w:val="20"/>
          <w:szCs w:val="12"/>
        </w:rPr>
        <w:t>futures vis-à-vis</w:t>
      </w:r>
      <w:r w:rsidRPr="004F746E">
        <w:rPr>
          <w:i/>
          <w:sz w:val="20"/>
          <w:szCs w:val="12"/>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rsidR="00454D6B" w:rsidRPr="004F746E" w:rsidP="004F746E">
      <w:pPr>
        <w:spacing w:after="0"/>
        <w:rPr>
          <w:i/>
          <w:sz w:val="20"/>
          <w:szCs w:val="12"/>
        </w:rPr>
      </w:pPr>
    </w:p>
    <w:p w:rsidR="00454D6B" w:rsidRPr="004F746E" w:rsidP="004F746E">
      <w:pPr>
        <w:spacing w:after="0"/>
        <w:rPr>
          <w:i/>
          <w:sz w:val="20"/>
          <w:szCs w:val="12"/>
        </w:rPr>
      </w:pPr>
      <w:r w:rsidRPr="004F746E">
        <w:rPr>
          <w:i/>
          <w:sz w:val="20"/>
          <w:szCs w:val="12"/>
        </w:rPr>
        <w:t xml:space="preserve">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w:t>
      </w:r>
      <w:r w:rsidRPr="004F746E">
        <w:rPr>
          <w:i/>
          <w:sz w:val="20"/>
          <w:szCs w:val="12"/>
        </w:rPr>
        <w:t>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p>
    <w:p w:rsidR="00454D6B" w:rsidRPr="004F746E" w:rsidP="004F746E">
      <w:pPr>
        <w:spacing w:after="0"/>
        <w:rPr>
          <w:i/>
          <w:sz w:val="20"/>
          <w:szCs w:val="12"/>
        </w:rPr>
      </w:pPr>
    </w:p>
    <w:p w:rsidR="00454D6B" w:rsidRPr="004F746E" w:rsidP="004F746E">
      <w:pPr>
        <w:spacing w:after="0"/>
        <w:rPr>
          <w:b/>
          <w:i/>
          <w:sz w:val="20"/>
          <w:szCs w:val="12"/>
        </w:rPr>
      </w:pPr>
      <w:r w:rsidRPr="004F746E">
        <w:rPr>
          <w:i/>
          <w:sz w:val="20"/>
          <w:szCs w:val="12"/>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rsidR="00C01C93" w:rsidRPr="004F746E" w:rsidP="004F746E">
      <w:pPr>
        <w:spacing w:after="0"/>
        <w:rPr>
          <w:sz w:val="20"/>
          <w:szCs w:val="12"/>
        </w:rPr>
      </w:pPr>
    </w:p>
    <w:sectPr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13254DB2-EF2B-4D91-9888-D98DFE88A21C}"/>
    <w:embedBold r:id="rId2" w:fontKey="{384EDAAB-652F-4A5A-8B2B-98C5D6F190EA}"/>
    <w:embedItalic r:id="rId3" w:fontKey="{FC87D121-68AA-4731-915C-45450A4381F9}"/>
    <w:embedBoldItalic r:id="rId4" w:fontKey="{B264FA0A-B513-47C8-9018-3A2676593385}"/>
  </w:font>
  <w:font w:name="Encode Sans ExpandedSemiBold">
    <w:panose1 w:val="00000000000000000000"/>
    <w:charset w:val="00"/>
    <w:family w:val="auto"/>
    <w:pitch w:val="variable"/>
    <w:sig w:usb0="A00000FF" w:usb1="4000207B" w:usb2="00000000" w:usb3="00000000" w:csb0="00000193" w:csb1="00000000"/>
    <w:embedRegular r:id="rId5" w:fontKey="{8079B115-099D-4D1C-9276-4EA315696726}"/>
    <w:embedItalic r:id="rId6" w:fontKey="{67312CEF-9C2A-49DA-8240-5EAFC607DBE9}"/>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7" w:subsetted="1" w:fontKey="{28A152B5-465B-446A-B701-5877476661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2BE1" w:rsidRPr="008D3E4C"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21ABA">
      <w:rPr>
        <w:rStyle w:val="PageNumber"/>
      </w:rPr>
      <w:t>2</w:t>
    </w:r>
    <w:r w:rsidRPr="008D3E4C">
      <w:rPr>
        <w:rStyle w:val="PageNumber"/>
      </w:rPr>
      <w:fldChar w:fldCharType="end"/>
    </w:r>
    <w:r>
      <w:rPr>
        <w:rStyle w:val="PageNumber"/>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20" w:rsidP="008D3E4C">
    <w:pPr>
      <w:pStyle w:val="Header"/>
    </w:pPr>
    <w:r>
      <w:rPr>
        <w:noProof/>
      </w:rPr>
      <mc:AlternateContent>
        <mc:Choice Requires="wpg">
          <w:drawing>
            <wp:anchor distT="0" distB="0" distL="114300" distR="114300" simplePos="0" relativeHeight="251658240" behindDoc="1" locked="1" layoutInCell="1" allowOverlap="1">
              <wp:simplePos x="0" y="0"/>
              <wp:positionH relativeFrom="page">
                <wp:posOffset>446405</wp:posOffset>
              </wp:positionH>
              <wp:positionV relativeFrom="page">
                <wp:posOffset>-20955</wp:posOffset>
              </wp:positionV>
              <wp:extent cx="269875" cy="2562225"/>
              <wp:effectExtent l="0" t="0" r="0" b="9525"/>
              <wp:wrapNone/>
              <wp:docPr id="3"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269875" cy="2562225"/>
                        <a:chOff x="0" y="-89386"/>
                        <a:chExt cx="315912" cy="2835761"/>
                      </a:xfrm>
                    </wpg:grpSpPr>
                    <wps:wsp xmlns:wps="http://schemas.microsoft.com/office/word/2010/wordprocessingShape">
                      <wps:cNvPr id="5" name="AutoShape 7"/>
                      <wps:cNvSpPr>
                        <a:spLocks noChangeAspect="1" noChangeArrowheads="1" noTextEdit="1"/>
                      </wps:cNvSpPr>
                      <wps:spPr bwMode="auto">
                        <a:xfrm>
                          <a:off x="0" y="3175"/>
                          <a:ext cx="315912" cy="2743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xmlns:wps="http://schemas.microsoft.com/office/word/2010/wordprocessingShape">
                      <wps:cNvPr id="6"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7"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8"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9"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10"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11" name="Freeform 14"/>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pathLst>
                            <a:path fill="norm" h="699" w="81" stroke="1">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A33E8D" w:rsidRPr="00150AD4" w:rsidP="008D3E4C">
                            <w:pPr>
                              <w:pStyle w:val="SPRESSRELEASESTRIP"/>
                            </w:pPr>
                            <w:r w:rsidRPr="00E330D7">
                              <w:rPr>
                                <w:rFonts w:ascii="Encode Sans ExpandedLight" w:hAnsi="Encode Sans ExpandedLight"/>
                                <w:color w:val="FFFFFF" w:themeColor="background1"/>
                                <w:sz w:val="24"/>
                                <w:szCs w:val="24"/>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e 29" o:spid="_x0000_s2049" style="height:201.75pt;margin-left:35.15pt;margin-top:-1.65pt;mso-height-relative:margin;mso-position-horizontal-relative:page;mso-position-vertical-relative:page;mso-width-relative:margin;position:absolute;width:21.25pt;z-index:-251657216" coordorigin="0,-893" coordsize="3159,28357">
              <o:lock v:ext="edit" aspectratio="t"/>
              <v:rect id="AutoShape 7" o:spid="_x0000_s2050" style="height:27432;mso-wrap-style:square;position:absolute;top:31;v-text-anchor:top;visibility:visible;width:3159" filled="f" stroked="f">
                <o:lock v:ext="edit" aspectratio="t" text="t"/>
              </v:rect>
              <v:oval id="Oval 9" o:spid="_x0000_s2051" style="height:333;left:539;mso-wrap-style:square;position:absolute;top:26638;v-text-anchor:top;visibility:visible;width:350" fillcolor="#243782" stroked="f"/>
              <v:oval id="Oval 10" o:spid="_x0000_s2052" style="height:333;left:1444;mso-wrap-style:square;position:absolute;top:26638;v-text-anchor:top;visibility:visible;width:349" fillcolor="#243782" stroked="f"/>
              <v:oval id="Oval 11" o:spid="_x0000_s2053" style="height:333;left:2333;mso-wrap-style:square;position:absolute;top:26638;v-text-anchor:top;visibility:visible;width:349" fillcolor="#243782" stroked="f"/>
              <v:oval id="Oval 12" o:spid="_x0000_s2054" style="height:222;left:1016;mso-wrap-style:square;position:absolute;top:27241;v-text-anchor:top;visibility:visible;width:238" fillcolor="#243782" stroked="f"/>
              <v:oval id="Oval 13" o:spid="_x0000_s2055" style="height:222;left:1952;mso-wrap-style:square;position:absolute;top:27241;v-text-anchor:top;visibility:visible;width:238" fillcolor="#243782" stroked="f"/>
              <v:shape id="Freeform 14" o:spid="_x0000_s2056" style="height:27293;mso-wrap-style:square;position:absolute;top:-893;v-text-anchor:middle;visibility:visible;width:3159" coordsize="81,699" o:spt="100" adj="-11796480,,5400" path="m81,c,,,,,,,693,,693,,693c,693,,693,,693c,693,,693,,693c,696,3,699,6,699c10,699,12,696,12,693c12,693,12,693,12,693c13,693,13,693,13,693c13,690,15,688,18,688c20,688,22,690,23,693c23,693,23,693,23,693c23,693,23,693,23,693c23,696,26,699,29,699c33,699,35,696,35,693c35,693,35,693,35,693c35,693,35,693,35,693c36,690,38,688,41,688c43,688,46,690,46,693c46,693,46,693,46,693c46,693,46,693,46,693c46,693,46,693,46,693c46,693,46,693,46,693c46,697,49,699,52,699c56,699,58,696,58,693c58,693,58,693,58,693c58,693,58,693,58,693c59,690,61,688,63,688c66,688,68,690,69,693c69,693,69,693,69,693c69,693,69,693,69,693c69,696,71,699,75,699c78,699,81,696,81,693c81,693,81,693,81,693c81,693,81,693,81,693l81,xe" fillcolor="#243782"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1.98pt,0,2.83pt,14.17pt">
                  <w:txbxContent>
                    <w:p w:rsidR="00A33E8D" w:rsidRPr="00150AD4" w:rsidP="008D3E4C">
                      <w:pPr>
                        <w:pStyle w:val="SPRESSRELEASESTRIP"/>
                      </w:pPr>
                      <w:r w:rsidRPr="00E330D7">
                        <w:rPr>
                          <w:rFonts w:ascii="Encode Sans ExpandedLight" w:hAnsi="Encode Sans ExpandedLight"/>
                          <w:color w:val="FFFFFF" w:themeColor="background1"/>
                          <w:sz w:val="24"/>
                          <w:szCs w:val="24"/>
                        </w:rPr>
                        <w:t xml:space="preserve">COMMUNIQUÉ DE </w:t>
                      </w:r>
                      <w:r>
                        <w:t>PRESSE</w:t>
                      </w:r>
                    </w:p>
                  </w:txbxContent>
                </v:textbox>
              </v:shape>
              <w10:anchorlock/>
            </v:group>
          </w:pict>
        </mc:Fallback>
      </mc:AlternateContent>
    </w:r>
    <w:r>
      <w:rPr>
        <w:noProof/>
      </w:rPr>
      <w:drawing>
        <wp:inline distT="0" distB="0" distL="0" distR="0">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89ACF06"/>
    <w:lvl w:ilvl="0">
      <w:start w:val="1"/>
      <w:numFmt w:val="decimal"/>
      <w:lvlText w:val="%1."/>
      <w:lvlJc w:val="left"/>
      <w:pPr>
        <w:tabs>
          <w:tab w:val="num" w:pos="1492"/>
        </w:tabs>
        <w:ind w:left="1492" w:hanging="360"/>
      </w:pPr>
    </w:lvl>
  </w:abstractNum>
  <w:abstractNum w:abstractNumId="1">
    <w:nsid w:val="FFFFFF7D"/>
    <w:multiLevelType w:val="singleLevel"/>
    <w:tmpl w:val="A28452E2"/>
    <w:lvl w:ilvl="0">
      <w:start w:val="1"/>
      <w:numFmt w:val="decimal"/>
      <w:lvlText w:val="%1."/>
      <w:lvlJc w:val="left"/>
      <w:pPr>
        <w:tabs>
          <w:tab w:val="num" w:pos="1209"/>
        </w:tabs>
        <w:ind w:left="1209" w:hanging="360"/>
      </w:pPr>
    </w:lvl>
  </w:abstractNum>
  <w:abstractNum w:abstractNumId="2">
    <w:nsid w:val="FFFFFF7E"/>
    <w:multiLevelType w:val="singleLevel"/>
    <w:tmpl w:val="0268B52A"/>
    <w:lvl w:ilvl="0">
      <w:start w:val="1"/>
      <w:numFmt w:val="decimal"/>
      <w:lvlText w:val="%1."/>
      <w:lvlJc w:val="left"/>
      <w:pPr>
        <w:tabs>
          <w:tab w:val="num" w:pos="926"/>
        </w:tabs>
        <w:ind w:left="926" w:hanging="360"/>
      </w:pPr>
    </w:lvl>
  </w:abstractNum>
  <w:abstractNum w:abstractNumId="3">
    <w:nsid w:val="FFFFFF7F"/>
    <w:multiLevelType w:val="singleLevel"/>
    <w:tmpl w:val="93F48718"/>
    <w:lvl w:ilvl="0">
      <w:start w:val="1"/>
      <w:numFmt w:val="decimal"/>
      <w:lvlText w:val="%1."/>
      <w:lvlJc w:val="left"/>
      <w:pPr>
        <w:tabs>
          <w:tab w:val="num" w:pos="643"/>
        </w:tabs>
        <w:ind w:left="643" w:hanging="360"/>
      </w:pPr>
    </w:lvl>
  </w:abstractNum>
  <w:abstractNum w:abstractNumId="4">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7A385C"/>
    <w:lvl w:ilvl="0">
      <w:start w:val="1"/>
      <w:numFmt w:val="decimal"/>
      <w:lvlText w:val="%1."/>
      <w:lvlJc w:val="left"/>
      <w:pPr>
        <w:tabs>
          <w:tab w:val="num" w:pos="360"/>
        </w:tabs>
        <w:ind w:left="360" w:hanging="360"/>
      </w:pPr>
    </w:lvl>
  </w:abstractNum>
  <w:abstractNum w:abstractNumId="9">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nsid w:val="02552905"/>
    <w:multiLevelType w:val="hybridMultilevel"/>
    <w:tmpl w:val="D4EE2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72C4058"/>
    <w:multiLevelType w:val="hybridMultilevel"/>
    <w:tmpl w:val="80244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0472987"/>
    <w:multiLevelType w:val="hybridMultilevel"/>
    <w:tmpl w:val="42AAF0A8"/>
    <w:lvl w:ilvl="0">
      <w:start w:val="1"/>
      <w:numFmt w:val="bullet"/>
      <w:lvlText w:val=""/>
      <w:lvlJc w:val="left"/>
      <w:pPr>
        <w:ind w:left="927" w:hanging="360"/>
      </w:pPr>
      <w:rPr>
        <w:rFonts w:ascii="Symbol" w:hAnsi="Symbol" w:hint="default"/>
        <w:lang w:val="en-GB"/>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3">
    <w:nsid w:val="118E24F0"/>
    <w:multiLevelType w:val="hybridMultilevel"/>
    <w:tmpl w:val="661234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0BA24E2"/>
    <w:multiLevelType w:val="hybridMultilevel"/>
    <w:tmpl w:val="49F21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1487B36"/>
    <w:multiLevelType w:val="hybridMultilevel"/>
    <w:tmpl w:val="44062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1D554F"/>
    <w:multiLevelType w:val="hybridMultilevel"/>
    <w:tmpl w:val="2036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F225A3"/>
    <w:multiLevelType w:val="hybridMultilevel"/>
    <w:tmpl w:val="6B4CE0F0"/>
    <w:lvl w:ilvl="0">
      <w:start w:val="1"/>
      <w:numFmt w:val="bullet"/>
      <w:pStyle w:val="S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4"/>
  </w:num>
  <w:num w:numId="14">
    <w:abstractNumId w:val="15"/>
  </w:num>
  <w:num w:numId="15">
    <w:abstractNumId w:val="12"/>
  </w:num>
  <w:num w:numId="16">
    <w:abstractNumId w:val="17"/>
  </w:num>
  <w:num w:numId="17">
    <w:abstractNumId w:val="18"/>
  </w:num>
  <w:num w:numId="18">
    <w:abstractNumId w:val="13"/>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embedSystemFonts/>
  <w:saveSubsetFonts/>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fr-F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550839"/>
    <w:pPr>
      <w:spacing w:before="1800" w:after="480"/>
      <w:contextualSpacing/>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nonrsolue1">
    <w:name w:val="Mention non résolue1"/>
    <w:basedOn w:val="DefaultParagraphFont"/>
    <w:uiPriority w:val="99"/>
    <w:unhideWhenUsed/>
    <w:rsid w:val="009C41C5"/>
    <w:rPr>
      <w:color w:val="605E5C"/>
      <w:shd w:val="clear" w:color="auto" w:fill="E1DFDD"/>
    </w:rPr>
  </w:style>
  <w:style w:type="character" w:customStyle="1" w:styleId="Mention1">
    <w:name w:val="Mention1"/>
    <w:basedOn w:val="DefaultParagraphFont"/>
    <w:uiPriority w:val="99"/>
    <w:unhideWhenUsed/>
    <w:rsid w:val="0077277B"/>
    <w:rPr>
      <w:color w:val="2B579A"/>
      <w:shd w:val="clear" w:color="auto" w:fill="E1DFDD"/>
    </w:rPr>
  </w:style>
  <w:style w:type="paragraph" w:customStyle="1" w:styleId="paragraph">
    <w:name w:val="paragraph"/>
    <w:basedOn w:val="Normal"/>
    <w:rsid w:val="002843C2"/>
    <w:pPr>
      <w:spacing w:before="100" w:beforeAutospacing="1" w:after="100" w:afterAutospacing="1"/>
      <w:jc w:val="left"/>
    </w:pPr>
    <w:rPr>
      <w:rFonts w:ascii="Times New Roman" w:eastAsia="Times New Roman" w:hAnsi="Times New Roman" w:cs="Times New Roman"/>
      <w:szCs w:val="24"/>
    </w:rPr>
  </w:style>
  <w:style w:type="character" w:customStyle="1" w:styleId="eop">
    <w:name w:val="eop"/>
    <w:basedOn w:val="DefaultParagraphFont"/>
    <w:rsid w:val="002843C2"/>
  </w:style>
  <w:style w:type="character" w:customStyle="1" w:styleId="UnresolvedMention">
    <w:name w:val="Unresolved Mention"/>
    <w:basedOn w:val="DefaultParagraphFont"/>
    <w:uiPriority w:val="99"/>
    <w:semiHidden/>
    <w:unhideWhenUsed/>
    <w:rsid w:val="00AE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image" Target="media/image2.emf"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s>
</file>

<file path=word/_rels/header1.xml.rels>&#65279;<?xml version="1.0" encoding="utf-8" standalone="yes"?><Relationships xmlns="http://schemas.openxmlformats.org/package/2006/relationships"><Relationship Id="rId1" Type="http://schemas.openxmlformats.org/officeDocument/2006/relationships/image" Target="media/image5.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P="006D3118">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F014BD" w:rsidP="00E44672">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F014BD" w:rsidP="00E44672">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F014BD" w:rsidP="00E44672">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F014BD" w:rsidP="00E44672">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C541AFFAF6044019ED75F6281D796E8"/>
        <w:category>
          <w:name w:val="General"/>
          <w:gallery w:val="placeholder"/>
        </w:category>
        <w:types>
          <w:type w:val="bbPlcHdr"/>
        </w:types>
        <w:behaviors>
          <w:behavior w:val="content"/>
        </w:behaviors>
        <w:guid w:val="{038CB705-4F9D-4B82-9171-36CFE962F81D}"/>
      </w:docPartPr>
      <w:docPartBody>
        <w:p w:rsidR="00F014BD" w:rsidP="00E44672">
          <w:pPr>
            <w:pStyle w:val="DC541AFFAF6044019ED75F6281D796E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6BAAB185554217B5298E176B351D31"/>
        <w:category>
          <w:name w:val="General"/>
          <w:gallery w:val="placeholder"/>
        </w:category>
        <w:types>
          <w:type w:val="bbPlcHdr"/>
        </w:types>
        <w:behaviors>
          <w:behavior w:val="content"/>
        </w:behaviors>
        <w:guid w:val="{9E227051-017D-4246-82F2-01B3352A592A}"/>
      </w:docPartPr>
      <w:docPartBody>
        <w:p w:rsidR="00F014BD" w:rsidP="00E44672">
          <w:pPr>
            <w:pStyle w:val="9B6BAAB185554217B5298E176B351D31"/>
          </w:pPr>
          <w:r w:rsidRPr="0086416D">
            <w:rPr>
              <w:rStyle w:val="PlaceholderText"/>
              <w:b/>
              <w:color w:val="44546A" w:themeColor="text2"/>
            </w:rPr>
            <w:t>First name LAST NAME</w:t>
          </w:r>
        </w:p>
      </w:docPartBody>
    </w:docPart>
    <w:docPart>
      <w:docPartPr>
        <w:name w:val="CEB14744533942C592C0FF4951249444"/>
        <w:category>
          <w:name w:val="General"/>
          <w:gallery w:val="placeholder"/>
        </w:category>
        <w:types>
          <w:type w:val="bbPlcHdr"/>
        </w:types>
        <w:behaviors>
          <w:behavior w:val="content"/>
        </w:behaviors>
        <w:guid w:val="{FCC60EF4-CDEC-43A1-9B73-6B860CC67E07}"/>
      </w:docPartPr>
      <w:docPartBody>
        <w:p w:rsidR="00F014BD" w:rsidP="00E44672">
          <w:pPr>
            <w:pStyle w:val="CEB14744533942C592C0FF49512494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 w:type="paragraph" w:customStyle="1" w:styleId="DC541AFFAF6044019ED75F6281D796E8">
    <w:name w:val="DC541AFFAF6044019ED75F6281D796E8"/>
    <w:rsid w:val="00E44672"/>
  </w:style>
  <w:style w:type="paragraph" w:customStyle="1" w:styleId="9B6BAAB185554217B5298E176B351D31">
    <w:name w:val="9B6BAAB185554217B5298E176B351D31"/>
    <w:rsid w:val="00E44672"/>
  </w:style>
  <w:style w:type="paragraph" w:customStyle="1" w:styleId="CEB14744533942C592C0FF4951249444">
    <w:name w:val="CEB14744533942C592C0FF4951249444"/>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FBF923D714E4D8BC4709D888CA9AA" ma:contentTypeVersion="14" ma:contentTypeDescription="Create a new document." ma:contentTypeScope="" ma:versionID="bbac0c28462399975b57a5db92d191f3">
  <xsd:schema xmlns:xsd="http://www.w3.org/2001/XMLSchema" xmlns:xs="http://www.w3.org/2001/XMLSchema" xmlns:p="http://schemas.microsoft.com/office/2006/metadata/properties" xmlns:ns2="82ffea06-ae0a-4343-ae7d-a6a7052d8d99" xmlns:ns3="5a7f20cc-9d93-46bf-804a-ce83ed589fac" targetNamespace="http://schemas.microsoft.com/office/2006/metadata/properties" ma:root="true" ma:fieldsID="9672f7d7a75460b45292d038fce9cdf8" ns2:_="" ns3:_="">
    <xsd:import namespace="82ffea06-ae0a-4343-ae7d-a6a7052d8d99"/>
    <xsd:import namespace="5a7f20cc-9d93-46bf-804a-ce83ed589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fea06-ae0a-4343-ae7d-a6a7052d8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f20cc-9d93-46bf-804a-ce83ed589f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0aa7f6e-ad1d-4df3-aece-fd92b4e6751d}" ma:internalName="TaxCatchAll" ma:showField="CatchAllData" ma:web="5a7f20cc-9d93-46bf-804a-ce83ed589fa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7f20cc-9d93-46bf-804a-ce83ed589fac" xsi:nil="true"/>
    <lcf76f155ced4ddcb4097134ff3c332f xmlns="82ffea06-ae0a-4343-ae7d-a6a7052d8d99">
      <Terms xmlns="http://schemas.microsoft.com/office/infopath/2007/PartnerControls"/>
    </lcf76f155ced4ddcb4097134ff3c332f>
    <MediaLengthInSeconds xmlns="82ffea06-ae0a-4343-ae7d-a6a7052d8d99" xsi:nil="true"/>
    <SharedWithUsers xmlns="5a7f20cc-9d93-46bf-804a-ce83ed589fac">
      <UserInfo>
        <DisplayName>LUCILE OLIVAS MAYNEZ</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3A4F-297A-4FCC-941B-EC0C5FFF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fea06-ae0a-4343-ae7d-a6a7052d8d99"/>
    <ds:schemaRef ds:uri="5a7f20cc-9d93-46bf-804a-ce83ed589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5F86A-FA26-456A-8419-65FA9072627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7f20cc-9d93-46bf-804a-ce83ed589fac"/>
    <ds:schemaRef ds:uri="http://purl.org/dc/elements/1.1/"/>
    <ds:schemaRef ds:uri="82ffea06-ae0a-4343-ae7d-a6a7052d8d99"/>
    <ds:schemaRef ds:uri="http://www.w3.org/XML/1998/namespace"/>
    <ds:schemaRef ds:uri="http://purl.org/dc/dcmitype/"/>
  </ds:schemaRefs>
</ds:datastoreItem>
</file>

<file path=customXml/itemProps3.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4.xml><?xml version="1.0" encoding="utf-8"?>
<ds:datastoreItem xmlns:ds="http://schemas.openxmlformats.org/officeDocument/2006/customXml" ds:itemID="{6B2E53D0-0B60-4FB8-B002-C2841D5F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2092</Words>
  <Characters>11950</Characters>
  <Application>Microsoft Office Word</Application>
  <DocSecurity>0</DocSecurity>
  <Lines>104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