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01912" w14:textId="65FAF2BD" w:rsidR="00550839" w:rsidRDefault="0086416D" w:rsidP="00550839">
      <w:pPr>
        <w:pStyle w:val="SSubjectBlock"/>
      </w:pPr>
      <w:r>
        <w:rPr>
          <w:lang w:val="en-US"/>
        </w:rPr>
        <mc:AlternateContent>
          <mc:Choice Requires="wps">
            <w:drawing>
              <wp:anchor distT="0" distB="0" distL="114300" distR="114300" simplePos="0" relativeHeight="251658240" behindDoc="0" locked="1" layoutInCell="1" allowOverlap="0" wp14:anchorId="7CAD3B5A" wp14:editId="1CCAD9C4">
                <wp:simplePos x="0" y="0"/>
                <wp:positionH relativeFrom="column">
                  <wp:posOffset>-1122</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a16="http://schemas.microsoft.com/office/drawing/2014/main" xmlns:pic="http://schemas.openxmlformats.org/drawingml/2006/picture" xmlns:a14="http://schemas.microsoft.com/office/drawing/2010/main">
            <w:pict w14:anchorId="60670EE9">
              <v:shape id="Freeform 27" style="position:absolute;margin-left:-.1pt;margin-top:133.2pt;width:33.85pt;height: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spid="_x0000_s1026" o:allowoverlap="f" fillcolor="#243782 [3204]"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" w14:anchorId="262B1232">
                <v:path arrowok="t" o:connecttype="custom" o:connectlocs="399417,64008;0,64008;32779,0;429768,0;399417,64008" o:connectangles="0,0,0,0,0"/>
                <w10:wrap anchory="page"/>
                <w10:anchorlock/>
              </v:shape>
            </w:pict>
          </mc:Fallback>
        </mc:AlternateContent>
      </w:r>
      <w:r>
        <w:t xml:space="preserve">Stellantis </w:t>
      </w:r>
      <w:r w:rsidR="00125947" w:rsidRPr="00125947">
        <w:t>renforce son réseau mondial de projets collaboratifs pour soutenir l’innovation dans le monde</w:t>
      </w:r>
    </w:p>
    <w:p w14:paraId="48F8C617" w14:textId="77777777" w:rsidR="00125947" w:rsidRPr="00125947" w:rsidRDefault="00125947" w:rsidP="00125947">
      <w:pPr>
        <w:pStyle w:val="ListParagraph"/>
        <w:numPr>
          <w:ilvl w:val="0"/>
          <w:numId w:val="19"/>
        </w:numPr>
        <w:ind w:left="714" w:hanging="357"/>
        <w:contextualSpacing w:val="0"/>
        <w:rPr>
          <w:rFonts w:asciiTheme="majorHAnsi" w:hAnsiTheme="majorHAnsi"/>
          <w:szCs w:val="24"/>
        </w:rPr>
      </w:pPr>
      <w:r w:rsidRPr="00125947">
        <w:rPr>
          <w:rFonts w:asciiTheme="majorHAnsi" w:hAnsiTheme="majorHAnsi"/>
          <w:szCs w:val="24"/>
        </w:rPr>
        <w:t xml:space="preserve">Stellantis collabore à plus de 160 projets cofinancés dans le monde  </w:t>
      </w:r>
    </w:p>
    <w:p w14:paraId="0AD441B1" w14:textId="77777777" w:rsidR="00125947" w:rsidRPr="00125947" w:rsidRDefault="00125947" w:rsidP="00125947">
      <w:pPr>
        <w:pStyle w:val="ListParagraph"/>
        <w:numPr>
          <w:ilvl w:val="0"/>
          <w:numId w:val="19"/>
        </w:numPr>
        <w:ind w:left="714" w:hanging="357"/>
        <w:contextualSpacing w:val="0"/>
        <w:rPr>
          <w:rFonts w:asciiTheme="majorHAnsi" w:hAnsiTheme="majorHAnsi"/>
          <w:szCs w:val="24"/>
        </w:rPr>
      </w:pPr>
      <w:r w:rsidRPr="00125947">
        <w:rPr>
          <w:rFonts w:asciiTheme="majorHAnsi" w:hAnsiTheme="majorHAnsi"/>
          <w:szCs w:val="24"/>
        </w:rPr>
        <w:t>Fort de l’un des plus grands écosystèmes du secteur automobile : plus de 1 000 partenaires, incluant des organismes publics, des centres de R&amp;D, des universités et autres parties prenantes</w:t>
      </w:r>
    </w:p>
    <w:p w14:paraId="0BE8D4E8" w14:textId="77777777" w:rsidR="00125947" w:rsidRPr="00125947" w:rsidRDefault="00125947" w:rsidP="00125947">
      <w:pPr>
        <w:pStyle w:val="ListParagraph"/>
        <w:numPr>
          <w:ilvl w:val="0"/>
          <w:numId w:val="19"/>
        </w:numPr>
        <w:ind w:left="714" w:hanging="357"/>
        <w:contextualSpacing w:val="0"/>
        <w:rPr>
          <w:rFonts w:asciiTheme="majorHAnsi" w:hAnsiTheme="majorHAnsi"/>
          <w:szCs w:val="24"/>
        </w:rPr>
      </w:pPr>
      <w:r w:rsidRPr="00125947">
        <w:rPr>
          <w:rFonts w:asciiTheme="majorHAnsi" w:hAnsiTheme="majorHAnsi"/>
          <w:szCs w:val="24"/>
        </w:rPr>
        <w:t>Les projets collaboratifs sont alignés avec les domaines techniques stratégiques de Stellantis</w:t>
      </w:r>
    </w:p>
    <w:p w14:paraId="7E3C8532" w14:textId="77777777" w:rsidR="00125947" w:rsidRPr="00125947" w:rsidRDefault="00125947" w:rsidP="00125947">
      <w:pPr>
        <w:pStyle w:val="ListParagraph"/>
        <w:numPr>
          <w:ilvl w:val="0"/>
          <w:numId w:val="19"/>
        </w:numPr>
        <w:ind w:left="714" w:hanging="357"/>
        <w:contextualSpacing w:val="0"/>
        <w:rPr>
          <w:rFonts w:asciiTheme="majorHAnsi" w:hAnsiTheme="majorHAnsi"/>
          <w:szCs w:val="24"/>
        </w:rPr>
      </w:pPr>
      <w:r w:rsidRPr="00125947">
        <w:rPr>
          <w:rFonts w:asciiTheme="majorHAnsi" w:hAnsiTheme="majorHAnsi"/>
          <w:szCs w:val="24"/>
        </w:rPr>
        <w:t xml:space="preserve">S’appuyant sur une approche ouverte et un esprit pionnier, Stellantis renforce son innovation et construit la feuille de route de la mobilité du futur  </w:t>
      </w:r>
    </w:p>
    <w:p w14:paraId="72CEC2DA" w14:textId="77777777" w:rsidR="00125947" w:rsidRPr="00125947" w:rsidRDefault="00125947" w:rsidP="00125947">
      <w:pPr>
        <w:pStyle w:val="ListParagraph"/>
        <w:numPr>
          <w:ilvl w:val="0"/>
          <w:numId w:val="19"/>
        </w:numPr>
        <w:ind w:left="714" w:hanging="357"/>
        <w:contextualSpacing w:val="0"/>
        <w:rPr>
          <w:rFonts w:asciiTheme="majorHAnsi" w:hAnsiTheme="majorHAnsi"/>
          <w:szCs w:val="24"/>
        </w:rPr>
      </w:pPr>
      <w:r w:rsidRPr="00125947">
        <w:rPr>
          <w:rFonts w:asciiTheme="majorHAnsi" w:hAnsiTheme="majorHAnsi"/>
          <w:szCs w:val="24"/>
        </w:rPr>
        <w:t xml:space="preserve">Les solutions apportées à ces défis techniques accélèreront la transformation de Stellantis en une Tech </w:t>
      </w:r>
      <w:proofErr w:type="spellStart"/>
      <w:r w:rsidRPr="00125947">
        <w:rPr>
          <w:rFonts w:asciiTheme="majorHAnsi" w:hAnsiTheme="majorHAnsi"/>
          <w:szCs w:val="24"/>
        </w:rPr>
        <w:t>company</w:t>
      </w:r>
      <w:proofErr w:type="spellEnd"/>
      <w:r w:rsidRPr="00125947">
        <w:rPr>
          <w:rFonts w:asciiTheme="majorHAnsi" w:hAnsiTheme="majorHAnsi"/>
          <w:szCs w:val="24"/>
        </w:rPr>
        <w:t xml:space="preserve"> de la mobilité durable et contribueront à l’atteinte des objectifs du Plan Stratégique Dare </w:t>
      </w:r>
      <w:proofErr w:type="spellStart"/>
      <w:r w:rsidRPr="00125947">
        <w:rPr>
          <w:rFonts w:asciiTheme="majorHAnsi" w:hAnsiTheme="majorHAnsi"/>
          <w:szCs w:val="24"/>
        </w:rPr>
        <w:t>Forward</w:t>
      </w:r>
      <w:proofErr w:type="spellEnd"/>
      <w:r w:rsidRPr="00125947">
        <w:rPr>
          <w:rFonts w:asciiTheme="majorHAnsi" w:hAnsiTheme="majorHAnsi"/>
          <w:szCs w:val="24"/>
        </w:rPr>
        <w:t> 2030</w:t>
      </w:r>
    </w:p>
    <w:p w14:paraId="7B98FF56" w14:textId="79DE3954" w:rsidR="00125947" w:rsidRPr="00125947" w:rsidRDefault="000F2FE8" w:rsidP="00125947">
      <w:pPr>
        <w:rPr>
          <w:szCs w:val="24"/>
        </w:rPr>
      </w:pPr>
      <w:r>
        <w:t xml:space="preserve">AMSTERDAM, le </w:t>
      </w:r>
      <w:r w:rsidR="00125947">
        <w:t>26</w:t>
      </w:r>
      <w:r>
        <w:t xml:space="preserve"> septembre 2022 – </w:t>
      </w:r>
      <w:hyperlink r:id="rId10" w:history="1">
        <w:r w:rsidR="00125947" w:rsidRPr="00125947">
          <w:rPr>
            <w:rStyle w:val="Hyperlink"/>
            <w:szCs w:val="24"/>
          </w:rPr>
          <w:t>Stellantis</w:t>
        </w:r>
      </w:hyperlink>
      <w:r w:rsidR="00125947" w:rsidRPr="00125947">
        <w:rPr>
          <w:szCs w:val="24"/>
        </w:rPr>
        <w:t xml:space="preserve"> rassemble des chercheurs, des scientifiques et des ingénieurs du monde entier au sein d’un des plus grands réseaux d’innovation collaborative, afin d’accélérer le développement et la mise en œuvre de technologies de pointe qui permettront à l’entreprise d’atteindre les objectifs de son Plan Stratégique Dare </w:t>
      </w:r>
      <w:proofErr w:type="spellStart"/>
      <w:r w:rsidR="00125947" w:rsidRPr="00125947">
        <w:rPr>
          <w:szCs w:val="24"/>
        </w:rPr>
        <w:t>Forward</w:t>
      </w:r>
      <w:proofErr w:type="spellEnd"/>
      <w:r w:rsidR="00125947" w:rsidRPr="00125947">
        <w:rPr>
          <w:szCs w:val="24"/>
        </w:rPr>
        <w:t> 2030, et notamment une empreinte carbone neutre à l’horizon 2038.</w:t>
      </w:r>
    </w:p>
    <w:p w14:paraId="3788840C" w14:textId="77777777" w:rsidR="00125947" w:rsidRPr="00125947" w:rsidRDefault="00125947" w:rsidP="00125947">
      <w:pPr>
        <w:rPr>
          <w:szCs w:val="24"/>
        </w:rPr>
      </w:pPr>
      <w:r w:rsidRPr="00125947">
        <w:rPr>
          <w:szCs w:val="24"/>
        </w:rPr>
        <w:t xml:space="preserve">Travaillant depuis plus de 30 ans avec des organismes publics, des centres de R&amp;D, des universités et diverses parties prenantes, Stellantis capitalise sur cette expérience qui représente l’un des plus vastes écosystèmes collaboratifs au monde, et aujourd’hui totalise 164 projets </w:t>
      </w:r>
      <w:r w:rsidRPr="00125947">
        <w:rPr>
          <w:szCs w:val="24"/>
        </w:rPr>
        <w:lastRenderedPageBreak/>
        <w:t xml:space="preserve">en cours et plus de 1 000 partenaires différents impliqués à l’échelle mondiale. </w:t>
      </w:r>
    </w:p>
    <w:p w14:paraId="0B3E994E" w14:textId="77777777" w:rsidR="00125947" w:rsidRPr="00125947" w:rsidRDefault="00125947" w:rsidP="00125947">
      <w:pPr>
        <w:rPr>
          <w:szCs w:val="24"/>
        </w:rPr>
      </w:pPr>
      <w:r w:rsidRPr="00125947">
        <w:rPr>
          <w:szCs w:val="24"/>
        </w:rPr>
        <w:t>Pouvant associer financements privés et publics, ces projets réunissent l’expertise de la communauté technique internationale de Stellantis et les talents hautement expérimentés de différentes institutions de premier plan afin de chercher des solutions aux plus grands défis actuels de la mobilité mondiale. Ensemble, Stellantis et ses partenaires dressent une feuille de route commune pour une liberté de mouvement à la pointe de la technologie.</w:t>
      </w:r>
    </w:p>
    <w:p w14:paraId="7B8BE9BF" w14:textId="77777777" w:rsidR="00125947" w:rsidRPr="00125947" w:rsidRDefault="00125947" w:rsidP="00125947">
      <w:pPr>
        <w:rPr>
          <w:szCs w:val="24"/>
        </w:rPr>
      </w:pPr>
      <w:r w:rsidRPr="00125947">
        <w:rPr>
          <w:szCs w:val="24"/>
        </w:rPr>
        <w:t xml:space="preserve">« Pour répondre à la complexité de la mobilité de demain, il est nécessaire d’innover. Basée sur un écosystème collaboratif mondial, notre approche ouverte s’intéresse aux plus grands défis techniques afin de nous permettre de développer nos connaissances et de nous concentrer sur des travaux de recherche précompétitive susceptibles d’avoir un impact positif sur le secteur de la mobilité », a déclaré Ned </w:t>
      </w:r>
      <w:proofErr w:type="spellStart"/>
      <w:r w:rsidRPr="00125947">
        <w:rPr>
          <w:szCs w:val="24"/>
        </w:rPr>
        <w:t>Curic</w:t>
      </w:r>
      <w:proofErr w:type="spellEnd"/>
      <w:r w:rsidRPr="00125947">
        <w:rPr>
          <w:szCs w:val="24"/>
        </w:rPr>
        <w:t xml:space="preserve">, Chief </w:t>
      </w:r>
      <w:proofErr w:type="spellStart"/>
      <w:r w:rsidRPr="00125947">
        <w:rPr>
          <w:szCs w:val="24"/>
        </w:rPr>
        <w:t>Technology</w:t>
      </w:r>
      <w:proofErr w:type="spellEnd"/>
      <w:r w:rsidRPr="00125947">
        <w:rPr>
          <w:szCs w:val="24"/>
        </w:rPr>
        <w:t xml:space="preserve"> </w:t>
      </w:r>
      <w:proofErr w:type="spellStart"/>
      <w:r w:rsidRPr="00125947">
        <w:rPr>
          <w:szCs w:val="24"/>
        </w:rPr>
        <w:t>Officer</w:t>
      </w:r>
      <w:proofErr w:type="spellEnd"/>
      <w:r w:rsidRPr="00125947">
        <w:rPr>
          <w:szCs w:val="24"/>
        </w:rPr>
        <w:t xml:space="preserve"> de Stellantis. « Travailler ensemble nous rend plus forts et plus créatifs, tout particulièrement lorsque nous unissons nos forces avec certains des plus grands partenaires et chercheurs au monde. Cet esprit pionnier est essentiel pour transformer Stellantis en tech </w:t>
      </w:r>
      <w:proofErr w:type="spellStart"/>
      <w:r w:rsidRPr="00125947">
        <w:rPr>
          <w:szCs w:val="24"/>
        </w:rPr>
        <w:t>company</w:t>
      </w:r>
      <w:proofErr w:type="spellEnd"/>
      <w:r w:rsidRPr="00125947">
        <w:rPr>
          <w:szCs w:val="24"/>
        </w:rPr>
        <w:t xml:space="preserve"> reconnue à l’échelle mondiale et nous permettre de trouver des réponses innovantes aux différents défis techniques, des réponses qui </w:t>
      </w:r>
      <w:proofErr w:type="gramStart"/>
      <w:r w:rsidRPr="00125947">
        <w:rPr>
          <w:szCs w:val="24"/>
        </w:rPr>
        <w:t>au final</w:t>
      </w:r>
      <w:proofErr w:type="gramEnd"/>
      <w:r w:rsidRPr="00125947">
        <w:rPr>
          <w:szCs w:val="24"/>
        </w:rPr>
        <w:t xml:space="preserve"> aideront nos clients, notre entreprise et la société dans son ensemble. »</w:t>
      </w:r>
    </w:p>
    <w:p w14:paraId="41934F3B" w14:textId="77777777" w:rsidR="00125947" w:rsidRPr="00125947" w:rsidRDefault="00125947" w:rsidP="00125947">
      <w:pPr>
        <w:rPr>
          <w:szCs w:val="24"/>
        </w:rPr>
      </w:pPr>
      <w:r w:rsidRPr="00125947">
        <w:rPr>
          <w:szCs w:val="24"/>
        </w:rPr>
        <w:t>Les équipes Stellantis en Allemagne, au Brésil, au Canada</w:t>
      </w:r>
      <w:bookmarkStart w:id="0" w:name="_Hlk112254485"/>
      <w:r w:rsidRPr="00125947">
        <w:rPr>
          <w:szCs w:val="24"/>
        </w:rPr>
        <w:t xml:space="preserve">, en Espagne, en France, en Italie et au Portugal </w:t>
      </w:r>
      <w:bookmarkEnd w:id="0"/>
      <w:r w:rsidRPr="00125947">
        <w:rPr>
          <w:szCs w:val="24"/>
        </w:rPr>
        <w:t>travaillent en collaboration avec différents partenaires sur des objectifs communs et harmonisés. Chaque projet collaboratif cofinancé peut durer jusqu’à quatre ans.</w:t>
      </w:r>
    </w:p>
    <w:p w14:paraId="4B53543D" w14:textId="77777777" w:rsidR="00125947" w:rsidRPr="00125947" w:rsidRDefault="00125947" w:rsidP="00125947">
      <w:pPr>
        <w:rPr>
          <w:szCs w:val="24"/>
        </w:rPr>
      </w:pPr>
      <w:r w:rsidRPr="00125947">
        <w:rPr>
          <w:szCs w:val="24"/>
        </w:rPr>
        <w:t xml:space="preserve">De plus, d’autres équipes de Stellantis en Chine, aux États-Unis et en Inde s’impliquent proactivement dans des travaux de recherche précompétitive avec plusieurs acteurs académiques, afin de répondre aux défis scientifiques. </w:t>
      </w:r>
    </w:p>
    <w:p w14:paraId="56D37EC7" w14:textId="77777777" w:rsidR="00125947" w:rsidRPr="00125947" w:rsidRDefault="00125947" w:rsidP="00125947">
      <w:pPr>
        <w:rPr>
          <w:szCs w:val="24"/>
        </w:rPr>
      </w:pPr>
      <w:r w:rsidRPr="00125947">
        <w:rPr>
          <w:szCs w:val="24"/>
        </w:rPr>
        <w:t>Tous ces projets collaboratifs mondiaux sont alignés avec les domaines techniques stratégiques de Stellantis, à savoir :</w:t>
      </w:r>
    </w:p>
    <w:p w14:paraId="0AB3713D" w14:textId="77777777" w:rsidR="00125947" w:rsidRPr="00125947" w:rsidRDefault="00125947" w:rsidP="00125947">
      <w:pPr>
        <w:pStyle w:val="ListParagraph"/>
        <w:numPr>
          <w:ilvl w:val="0"/>
          <w:numId w:val="18"/>
        </w:numPr>
        <w:spacing w:after="200" w:line="276" w:lineRule="auto"/>
        <w:rPr>
          <w:szCs w:val="24"/>
        </w:rPr>
      </w:pPr>
      <w:r w:rsidRPr="00125947">
        <w:rPr>
          <w:szCs w:val="24"/>
        </w:rPr>
        <w:t>Conduite autonome et Connectivité</w:t>
      </w:r>
    </w:p>
    <w:p w14:paraId="210BD594" w14:textId="77777777" w:rsidR="00125947" w:rsidRPr="00125947" w:rsidRDefault="00125947" w:rsidP="00125947">
      <w:pPr>
        <w:pStyle w:val="ListParagraph"/>
        <w:numPr>
          <w:ilvl w:val="0"/>
          <w:numId w:val="18"/>
        </w:numPr>
        <w:spacing w:after="200" w:line="276" w:lineRule="auto"/>
        <w:jc w:val="left"/>
        <w:rPr>
          <w:szCs w:val="24"/>
        </w:rPr>
      </w:pPr>
      <w:r w:rsidRPr="00125947">
        <w:rPr>
          <w:szCs w:val="24"/>
        </w:rPr>
        <w:t>Caisse en blanc, Châssis et Habitacle</w:t>
      </w:r>
    </w:p>
    <w:p w14:paraId="5E0D4CE1" w14:textId="77777777" w:rsidR="00125947" w:rsidRPr="00125947" w:rsidRDefault="00125947" w:rsidP="00125947">
      <w:pPr>
        <w:pStyle w:val="ListParagraph"/>
        <w:numPr>
          <w:ilvl w:val="0"/>
          <w:numId w:val="18"/>
        </w:numPr>
        <w:spacing w:after="200" w:line="276" w:lineRule="auto"/>
        <w:jc w:val="left"/>
        <w:rPr>
          <w:szCs w:val="24"/>
        </w:rPr>
      </w:pPr>
      <w:r w:rsidRPr="00125947">
        <w:rPr>
          <w:szCs w:val="24"/>
        </w:rPr>
        <w:t xml:space="preserve">Technologies avancées pour Chaines de traction électrifiées </w:t>
      </w:r>
    </w:p>
    <w:p w14:paraId="3F4B43D5" w14:textId="77777777" w:rsidR="00125947" w:rsidRPr="00125947" w:rsidRDefault="00125947" w:rsidP="00125947">
      <w:pPr>
        <w:pStyle w:val="ListParagraph"/>
        <w:numPr>
          <w:ilvl w:val="0"/>
          <w:numId w:val="18"/>
        </w:numPr>
        <w:spacing w:after="200" w:line="276" w:lineRule="auto"/>
        <w:jc w:val="left"/>
        <w:rPr>
          <w:szCs w:val="24"/>
        </w:rPr>
      </w:pPr>
      <w:r w:rsidRPr="00125947">
        <w:rPr>
          <w:szCs w:val="24"/>
        </w:rPr>
        <w:t>Production</w:t>
      </w:r>
    </w:p>
    <w:p w14:paraId="45761207" w14:textId="77777777" w:rsidR="00125947" w:rsidRPr="00125947" w:rsidRDefault="00125947" w:rsidP="00125947">
      <w:pPr>
        <w:pStyle w:val="ListParagraph"/>
        <w:numPr>
          <w:ilvl w:val="0"/>
          <w:numId w:val="18"/>
        </w:numPr>
        <w:spacing w:after="200" w:line="276" w:lineRule="auto"/>
        <w:jc w:val="left"/>
        <w:rPr>
          <w:szCs w:val="24"/>
        </w:rPr>
      </w:pPr>
      <w:r w:rsidRPr="00125947">
        <w:rPr>
          <w:szCs w:val="24"/>
        </w:rPr>
        <w:t>Matériaux</w:t>
      </w:r>
    </w:p>
    <w:p w14:paraId="5D9E739A" w14:textId="77777777" w:rsidR="00125947" w:rsidRPr="00125947" w:rsidRDefault="00125947" w:rsidP="00125947">
      <w:pPr>
        <w:rPr>
          <w:szCs w:val="24"/>
        </w:rPr>
      </w:pPr>
      <w:r w:rsidRPr="00125947">
        <w:rPr>
          <w:szCs w:val="24"/>
        </w:rPr>
        <w:t>Quelques exemples de projets collaboratifs menés actuellement :</w:t>
      </w:r>
    </w:p>
    <w:p w14:paraId="22C5CBB7" w14:textId="77777777" w:rsidR="00125947" w:rsidRPr="00125947" w:rsidRDefault="00125947" w:rsidP="00125947">
      <w:pPr>
        <w:rPr>
          <w:szCs w:val="24"/>
        </w:rPr>
      </w:pPr>
      <w:r w:rsidRPr="00125947">
        <w:rPr>
          <w:b/>
          <w:bCs/>
          <w:szCs w:val="24"/>
        </w:rPr>
        <w:lastRenderedPageBreak/>
        <w:t xml:space="preserve">Hi-Drive (Conduite autonome et Connectivité) : </w:t>
      </w:r>
      <w:r w:rsidRPr="00125947">
        <w:rPr>
          <w:szCs w:val="24"/>
        </w:rPr>
        <w:t xml:space="preserve">Rassemblant des constructeurs automobiles, des fournisseurs de technologies, des universités et des instituts de recherche, Hi-Drive est le principal projet de conduite autonome mené en Europe. Il explore et teste différentes solutions pour la connectivité et la localisation haute précision des véhicules, la cybersécurité et le « machine </w:t>
      </w:r>
      <w:proofErr w:type="spellStart"/>
      <w:r w:rsidRPr="00125947">
        <w:rPr>
          <w:szCs w:val="24"/>
        </w:rPr>
        <w:t>learning</w:t>
      </w:r>
      <w:proofErr w:type="spellEnd"/>
      <w:r w:rsidRPr="00125947">
        <w:rPr>
          <w:szCs w:val="24"/>
        </w:rPr>
        <w:t> », afin de couvrir un large éventail d’environnements de circulation.</w:t>
      </w:r>
    </w:p>
    <w:p w14:paraId="1924ED1F" w14:textId="77777777" w:rsidR="00125947" w:rsidRPr="00125947" w:rsidRDefault="00125947" w:rsidP="00125947">
      <w:pPr>
        <w:rPr>
          <w:szCs w:val="24"/>
        </w:rPr>
      </w:pPr>
      <w:r w:rsidRPr="00125947">
        <w:rPr>
          <w:b/>
          <w:bCs/>
          <w:szCs w:val="24"/>
        </w:rPr>
        <w:t xml:space="preserve">Thermal </w:t>
      </w:r>
      <w:proofErr w:type="spellStart"/>
      <w:r w:rsidRPr="00125947">
        <w:rPr>
          <w:b/>
          <w:bCs/>
          <w:szCs w:val="24"/>
        </w:rPr>
        <w:t>Comfort</w:t>
      </w:r>
      <w:proofErr w:type="spellEnd"/>
      <w:r w:rsidRPr="00125947">
        <w:rPr>
          <w:b/>
          <w:bCs/>
          <w:szCs w:val="24"/>
        </w:rPr>
        <w:t xml:space="preserve"> </w:t>
      </w:r>
      <w:proofErr w:type="spellStart"/>
      <w:r w:rsidRPr="00125947">
        <w:rPr>
          <w:b/>
          <w:bCs/>
          <w:szCs w:val="24"/>
        </w:rPr>
        <w:t>Research</w:t>
      </w:r>
      <w:proofErr w:type="spellEnd"/>
      <w:r w:rsidRPr="00125947">
        <w:rPr>
          <w:b/>
          <w:bCs/>
          <w:szCs w:val="24"/>
        </w:rPr>
        <w:t xml:space="preserve"> (Caisse en blanc, Châssis et Habitacle) :</w:t>
      </w:r>
      <w:r w:rsidRPr="00125947">
        <w:rPr>
          <w:szCs w:val="24"/>
        </w:rPr>
        <w:t xml:space="preserve"> Cette collaboration a pour objectif de développer de nouveaux systèmes et stratégies permettant de régler le confort thermique à l’intérieur des véhicules tout en minimisant la consommation d’énergie, un élément clé pour prolonger l’autonomie des véhicules électriques.</w:t>
      </w:r>
    </w:p>
    <w:p w14:paraId="38A9763C" w14:textId="77777777" w:rsidR="00125947" w:rsidRPr="00125947" w:rsidRDefault="00125947" w:rsidP="00125947">
      <w:pPr>
        <w:rPr>
          <w:szCs w:val="24"/>
        </w:rPr>
      </w:pPr>
      <w:r w:rsidRPr="00125947">
        <w:rPr>
          <w:b/>
          <w:bCs/>
          <w:szCs w:val="24"/>
        </w:rPr>
        <w:t>CEVOLVER (</w:t>
      </w:r>
      <w:r w:rsidRPr="00125947">
        <w:rPr>
          <w:b/>
          <w:szCs w:val="24"/>
        </w:rPr>
        <w:t>Technologies avancées pour Chaines de traction électrifiées) :</w:t>
      </w:r>
      <w:r w:rsidRPr="00125947">
        <w:t xml:space="preserve"> </w:t>
      </w:r>
      <w:r w:rsidRPr="00125947">
        <w:rPr>
          <w:szCs w:val="24"/>
        </w:rPr>
        <w:t>Le projet CEVOLVER (</w:t>
      </w:r>
      <w:proofErr w:type="spellStart"/>
      <w:r w:rsidRPr="00125947">
        <w:rPr>
          <w:szCs w:val="24"/>
        </w:rPr>
        <w:t>Connected</w:t>
      </w:r>
      <w:proofErr w:type="spellEnd"/>
      <w:r w:rsidRPr="00125947">
        <w:rPr>
          <w:szCs w:val="24"/>
        </w:rPr>
        <w:t xml:space="preserve"> Electric </w:t>
      </w:r>
      <w:proofErr w:type="spellStart"/>
      <w:r w:rsidRPr="00125947">
        <w:rPr>
          <w:szCs w:val="24"/>
        </w:rPr>
        <w:t>Vehicle</w:t>
      </w:r>
      <w:proofErr w:type="spellEnd"/>
      <w:r w:rsidRPr="00125947">
        <w:rPr>
          <w:szCs w:val="24"/>
        </w:rPr>
        <w:t xml:space="preserve"> </w:t>
      </w:r>
      <w:proofErr w:type="spellStart"/>
      <w:r w:rsidRPr="00125947">
        <w:rPr>
          <w:szCs w:val="24"/>
        </w:rPr>
        <w:t>Optimized</w:t>
      </w:r>
      <w:proofErr w:type="spellEnd"/>
      <w:r w:rsidRPr="00125947">
        <w:rPr>
          <w:szCs w:val="24"/>
        </w:rPr>
        <w:t xml:space="preserve"> for Life, Value, </w:t>
      </w:r>
      <w:proofErr w:type="spellStart"/>
      <w:r w:rsidRPr="00125947">
        <w:rPr>
          <w:szCs w:val="24"/>
        </w:rPr>
        <w:t>Efficiency</w:t>
      </w:r>
      <w:proofErr w:type="spellEnd"/>
      <w:r w:rsidRPr="00125947">
        <w:rPr>
          <w:szCs w:val="24"/>
        </w:rPr>
        <w:t xml:space="preserve"> and Range) adopte une approche centrée sur l’utilisateur afin d’optimiser le développement et le fonctionnement des véhicules électriques, à travers des technologies, des composants et des systèmes de pointe. Le projet associe le potentiel de la connectivité aux capacités de calcul du big data.</w:t>
      </w:r>
    </w:p>
    <w:p w14:paraId="5829A992" w14:textId="77777777" w:rsidR="00125947" w:rsidRPr="00125947" w:rsidRDefault="00125947" w:rsidP="00125947">
      <w:pPr>
        <w:rPr>
          <w:szCs w:val="24"/>
        </w:rPr>
      </w:pPr>
      <w:r w:rsidRPr="00125947">
        <w:rPr>
          <w:b/>
          <w:bCs/>
          <w:szCs w:val="24"/>
        </w:rPr>
        <w:t>ODIN (Production) :</w:t>
      </w:r>
      <w:r w:rsidRPr="00125947">
        <w:t xml:space="preserve"> </w:t>
      </w:r>
      <w:r w:rsidRPr="00125947">
        <w:rPr>
          <w:szCs w:val="24"/>
        </w:rPr>
        <w:t>Afin de renforcer la confiance des sites de production de l’Union Européenne dans l’utilisation de la robotique avancée, ODIN apporte des technologies issues des toutes dernières recherches de pointe afin de démontrer que les nouveaux systèmes de production robotisés sont techniquement viables, efficaces et durables, adaptés à une mise en place immédiate sur site.</w:t>
      </w:r>
    </w:p>
    <w:p w14:paraId="515B34B5" w14:textId="77777777" w:rsidR="00125947" w:rsidRPr="00125947" w:rsidRDefault="00125947" w:rsidP="00125947">
      <w:pPr>
        <w:rPr>
          <w:szCs w:val="24"/>
        </w:rPr>
      </w:pPr>
      <w:r w:rsidRPr="00125947">
        <w:rPr>
          <w:b/>
          <w:bCs/>
          <w:szCs w:val="24"/>
        </w:rPr>
        <w:t>Forest-</w:t>
      </w:r>
      <w:proofErr w:type="spellStart"/>
      <w:r w:rsidRPr="00125947">
        <w:rPr>
          <w:b/>
          <w:bCs/>
          <w:szCs w:val="24"/>
        </w:rPr>
        <w:t>Comp</w:t>
      </w:r>
      <w:proofErr w:type="spellEnd"/>
      <w:r w:rsidRPr="00125947">
        <w:rPr>
          <w:b/>
          <w:bCs/>
          <w:szCs w:val="24"/>
        </w:rPr>
        <w:t xml:space="preserve"> (Matériaux) :</w:t>
      </w:r>
      <w:r w:rsidRPr="00125947">
        <w:rPr>
          <w:szCs w:val="24"/>
        </w:rPr>
        <w:t xml:space="preserve"> Ce projet de recherche évalue l’utilisation des ressources forestières renouvelables et non renouvelables pour la production en masse de </w:t>
      </w:r>
      <w:proofErr w:type="spellStart"/>
      <w:r w:rsidRPr="00125947">
        <w:rPr>
          <w:szCs w:val="24"/>
        </w:rPr>
        <w:t>biocomposites</w:t>
      </w:r>
      <w:proofErr w:type="spellEnd"/>
      <w:r w:rsidRPr="00125947">
        <w:rPr>
          <w:szCs w:val="24"/>
        </w:rPr>
        <w:t xml:space="preserve"> susceptibles d’être utilisés pour l’habillage intérieur ou l’isolation acoustique des véhicules.</w:t>
      </w:r>
    </w:p>
    <w:p w14:paraId="21EF2DAC" w14:textId="3301E875" w:rsidR="005F4A29" w:rsidRPr="00E820E6" w:rsidRDefault="005F4A29" w:rsidP="00125947">
      <w:pPr>
        <w:pStyle w:val="SDatePlace"/>
        <w:spacing w:after="0"/>
        <w:jc w:val="both"/>
        <w:rPr>
          <w:i/>
          <w:iCs/>
          <w:sz w:val="20"/>
          <w:szCs w:val="14"/>
        </w:rPr>
      </w:pPr>
    </w:p>
    <w:p w14:paraId="6FB7D3A2" w14:textId="77777777" w:rsidR="00E047DA" w:rsidRDefault="00E047DA" w:rsidP="00E047DA">
      <w:pPr>
        <w:pStyle w:val="SDatePlace"/>
        <w:spacing w:after="0"/>
        <w:jc w:val="center"/>
      </w:pPr>
      <w:r>
        <w:t># # #</w:t>
      </w:r>
    </w:p>
    <w:p w14:paraId="7A3ED7DF" w14:textId="77777777" w:rsidR="00E06510" w:rsidRDefault="00E06510" w:rsidP="00E06510">
      <w:pPr>
        <w:jc w:val="left"/>
      </w:pPr>
    </w:p>
    <w:p w14:paraId="57EC871D" w14:textId="77777777" w:rsidR="00B96799" w:rsidRPr="00937090" w:rsidRDefault="00B96799" w:rsidP="000F2FE8">
      <w:pPr>
        <w:pStyle w:val="SDatePlace"/>
        <w:rPr>
          <w:b/>
          <w:color w:val="243782" w:themeColor="accent1"/>
          <w:szCs w:val="20"/>
        </w:rPr>
      </w:pPr>
      <w:r w:rsidRPr="00937090">
        <w:rPr>
          <w:b/>
          <w:color w:val="243782" w:themeColor="accent1"/>
          <w:szCs w:val="20"/>
        </w:rPr>
        <w:t>À propos de Stellantis</w:t>
      </w:r>
    </w:p>
    <w:p w14:paraId="28083C2D" w14:textId="77777777" w:rsidR="007819D6" w:rsidRPr="00937090" w:rsidRDefault="00B33933" w:rsidP="007819D6">
      <w:pPr>
        <w:rPr>
          <w:rFonts w:eastAsia="Encode Sans" w:cs="Encode Sans"/>
          <w:i/>
          <w:color w:val="222222"/>
          <w:szCs w:val="28"/>
          <w:highlight w:val="white"/>
        </w:rPr>
      </w:pPr>
      <w:bookmarkStart w:id="1" w:name="_Hlk97712532"/>
      <w:r w:rsidRPr="00937090">
        <w:rPr>
          <w:i/>
          <w:color w:val="222222"/>
          <w:szCs w:val="28"/>
        </w:rPr>
        <w:t xml:space="preserve">Stellantis N.V. (NYSE / MTA / Euronext Paris : STLA) fait partie des principaux constructeurs automobiles et fournisseurs de services de mobilité internationaux. </w:t>
      </w:r>
      <w:proofErr w:type="spellStart"/>
      <w:r w:rsidRPr="00937090">
        <w:rPr>
          <w:i/>
          <w:color w:val="222222"/>
          <w:szCs w:val="28"/>
        </w:rPr>
        <w:t>Abarth</w:t>
      </w:r>
      <w:proofErr w:type="spellEnd"/>
      <w:r w:rsidRPr="00937090">
        <w:rPr>
          <w:i/>
          <w:color w:val="222222"/>
          <w:szCs w:val="28"/>
        </w:rPr>
        <w:t xml:space="preserve">, Alfa Romeo, Chrysler, Citroën, Dodge, DS Automobiles, Fiat, Jeep®, Lancia, Maserati, Opel, Peugeot, Ram, Vauxhall, Free2move et </w:t>
      </w:r>
      <w:proofErr w:type="spellStart"/>
      <w:r w:rsidRPr="00937090">
        <w:rPr>
          <w:i/>
          <w:color w:val="222222"/>
          <w:szCs w:val="28"/>
        </w:rPr>
        <w:t>Leasys</w:t>
      </w:r>
      <w:proofErr w:type="spellEnd"/>
      <w:r w:rsidRPr="00937090">
        <w:rPr>
          <w:i/>
          <w:color w:val="222222"/>
          <w:szCs w:val="28"/>
        </w:rPr>
        <w:t xml:space="preserve"> : emblématiques et chargées d’histoire, nos marques insufflent la passion des visionnaires qui les ont fondées et </w:t>
      </w:r>
      <w:r w:rsidRPr="00937090">
        <w:rPr>
          <w:i/>
          <w:color w:val="222222"/>
          <w:szCs w:val="28"/>
        </w:rPr>
        <w:lastRenderedPageBreak/>
        <w:t xml:space="preserve">celle de nos clients actuels au cœur de leurs produits et services avant-gardistes. Forts de notre diversité, nous façonnons la mobilité de demain. Notre objectif : devenir la plus grande tech </w:t>
      </w:r>
      <w:proofErr w:type="spellStart"/>
      <w:r w:rsidRPr="00937090">
        <w:rPr>
          <w:i/>
          <w:color w:val="222222"/>
          <w:szCs w:val="28"/>
        </w:rPr>
        <w:t>company</w:t>
      </w:r>
      <w:proofErr w:type="spellEnd"/>
      <w:r w:rsidRPr="00937090">
        <w:rPr>
          <w:i/>
          <w:color w:val="222222"/>
          <w:szCs w:val="28"/>
        </w:rPr>
        <w:t xml:space="preserve"> de mobilité durable, en termes de qualité et non de taille, tout en créant encore plus de valeur pour l’ensemble de nos partenaires et des communautés au sein desquelles nous opérons. Pour en savoir plus, </w:t>
      </w:r>
      <w:hyperlink r:id="rId11" w:history="1">
        <w:r w:rsidRPr="00937090">
          <w:rPr>
            <w:rStyle w:val="Hyperlink"/>
            <w:i/>
            <w:szCs w:val="28"/>
            <w:u w:val="none"/>
          </w:rPr>
          <w:t>www.stellantis.com/fr</w:t>
        </w:r>
      </w:hyperlink>
      <w:r w:rsidRPr="00937090">
        <w:rPr>
          <w:i/>
          <w:color w:val="222222"/>
          <w:szCs w:val="28"/>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5"/>
        <w:gridCol w:w="570"/>
        <w:gridCol w:w="1624"/>
        <w:gridCol w:w="556"/>
        <w:gridCol w:w="1591"/>
        <w:gridCol w:w="568"/>
        <w:gridCol w:w="1041"/>
        <w:gridCol w:w="22"/>
      </w:tblGrid>
      <w:tr w:rsidR="001E6C1E" w:rsidRPr="00BF6F2E" w14:paraId="729C3C42" w14:textId="77777777" w:rsidTr="0023542B">
        <w:trPr>
          <w:trHeight w:val="729"/>
        </w:trPr>
        <w:tc>
          <w:tcPr>
            <w:tcW w:w="579" w:type="dxa"/>
            <w:vAlign w:val="center"/>
          </w:tcPr>
          <w:bookmarkEnd w:id="1"/>
          <w:p w14:paraId="5EF95F9D" w14:textId="77777777" w:rsidR="001E6C1E" w:rsidRPr="00937090" w:rsidRDefault="001E6C1E" w:rsidP="00F903F7">
            <w:pPr>
              <w:spacing w:after="0"/>
              <w:jc w:val="left"/>
              <w:rPr>
                <w:color w:val="243782" w:themeColor="text2"/>
                <w:sz w:val="22"/>
                <w:szCs w:val="22"/>
                <w:u w:val="single"/>
              </w:rPr>
            </w:pPr>
            <w:r w:rsidRPr="00937090">
              <w:rPr>
                <w:noProof/>
                <w:color w:val="243782" w:themeColor="text2"/>
                <w:sz w:val="22"/>
                <w:szCs w:val="22"/>
                <w:u w:val="single"/>
                <w:lang w:val="en-US"/>
              </w:rPr>
              <w:drawing>
                <wp:anchor distT="0" distB="0" distL="114300" distR="114300" simplePos="0" relativeHeight="251663360" behindDoc="0" locked="0" layoutInCell="1" allowOverlap="1" wp14:anchorId="2D11079A" wp14:editId="015D58CB">
                  <wp:simplePos x="0" y="0"/>
                  <wp:positionH relativeFrom="column">
                    <wp:posOffset>-417830</wp:posOffset>
                  </wp:positionH>
                  <wp:positionV relativeFrom="paragraph">
                    <wp:posOffset>-79375</wp:posOffset>
                  </wp:positionV>
                  <wp:extent cx="303530" cy="292735"/>
                  <wp:effectExtent l="0" t="0" r="127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5" w:type="dxa"/>
          </w:tcPr>
          <w:p w14:paraId="1FD5FF00" w14:textId="77777777" w:rsidR="001E6C1E" w:rsidRPr="00837A6D" w:rsidRDefault="00275228" w:rsidP="00F903F7">
            <w:pPr>
              <w:spacing w:before="120" w:after="0"/>
              <w:jc w:val="left"/>
              <w:rPr>
                <w:color w:val="243782" w:themeColor="text2"/>
                <w:sz w:val="22"/>
                <w:szCs w:val="22"/>
              </w:rPr>
            </w:pPr>
            <w:hyperlink r:id="rId13" w:history="1">
              <w:r w:rsidR="00A43D25" w:rsidRPr="00937090">
                <w:rPr>
                  <w:rStyle w:val="Hyperlink"/>
                  <w:sz w:val="22"/>
                  <w:szCs w:val="22"/>
                  <w:u w:val="none"/>
                </w:rPr>
                <w:t>@Stellantis</w:t>
              </w:r>
            </w:hyperlink>
          </w:p>
        </w:tc>
        <w:tc>
          <w:tcPr>
            <w:tcW w:w="570" w:type="dxa"/>
            <w:vAlign w:val="center"/>
          </w:tcPr>
          <w:p w14:paraId="6FA46B3A" w14:textId="77777777" w:rsidR="001E6C1E" w:rsidRPr="00937090" w:rsidRDefault="001E6C1E" w:rsidP="00F903F7">
            <w:pPr>
              <w:spacing w:after="0"/>
              <w:jc w:val="left"/>
              <w:rPr>
                <w:color w:val="243782" w:themeColor="text2"/>
                <w:sz w:val="22"/>
                <w:szCs w:val="22"/>
                <w:u w:val="single"/>
              </w:rPr>
            </w:pPr>
            <w:r w:rsidRPr="00937090">
              <w:rPr>
                <w:noProof/>
                <w:color w:val="243782" w:themeColor="text2"/>
                <w:sz w:val="22"/>
                <w:szCs w:val="22"/>
                <w:u w:val="single"/>
                <w:lang w:val="en-US"/>
              </w:rPr>
              <w:drawing>
                <wp:anchor distT="0" distB="0" distL="114300" distR="114300" simplePos="0" relativeHeight="251660288" behindDoc="1" locked="0" layoutInCell="1" allowOverlap="1" wp14:anchorId="75241FE9" wp14:editId="05E92862">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4" w:type="dxa"/>
          </w:tcPr>
          <w:p w14:paraId="11B2942C" w14:textId="77777777" w:rsidR="001E6C1E" w:rsidRPr="00837A6D" w:rsidRDefault="00275228" w:rsidP="00F903F7">
            <w:pPr>
              <w:spacing w:before="120" w:after="0"/>
              <w:jc w:val="left"/>
              <w:rPr>
                <w:color w:val="243782" w:themeColor="text2"/>
                <w:sz w:val="22"/>
                <w:szCs w:val="22"/>
              </w:rPr>
            </w:pPr>
            <w:hyperlink r:id="rId15" w:history="1">
              <w:r w:rsidR="00A43D25" w:rsidRPr="00937090">
                <w:rPr>
                  <w:rStyle w:val="Hyperlink"/>
                  <w:sz w:val="22"/>
                  <w:szCs w:val="22"/>
                  <w:u w:val="none"/>
                </w:rPr>
                <w:t>Stellantis</w:t>
              </w:r>
            </w:hyperlink>
          </w:p>
        </w:tc>
        <w:tc>
          <w:tcPr>
            <w:tcW w:w="556" w:type="dxa"/>
            <w:vAlign w:val="center"/>
          </w:tcPr>
          <w:p w14:paraId="0AEB1874" w14:textId="77777777" w:rsidR="001E6C1E" w:rsidRPr="00937090" w:rsidRDefault="001E6C1E" w:rsidP="00F903F7">
            <w:pPr>
              <w:spacing w:after="0"/>
              <w:jc w:val="left"/>
              <w:rPr>
                <w:color w:val="243782" w:themeColor="text2"/>
                <w:sz w:val="22"/>
                <w:szCs w:val="22"/>
                <w:u w:val="single"/>
              </w:rPr>
            </w:pPr>
            <w:r w:rsidRPr="00937090">
              <w:rPr>
                <w:noProof/>
                <w:color w:val="243782" w:themeColor="text2"/>
                <w:sz w:val="22"/>
                <w:szCs w:val="22"/>
                <w:u w:val="single"/>
                <w:lang w:val="en-US"/>
              </w:rPr>
              <w:drawing>
                <wp:anchor distT="0" distB="0" distL="114300" distR="114300" simplePos="0" relativeHeight="251661312" behindDoc="1" locked="0" layoutInCell="1" allowOverlap="1" wp14:anchorId="5CBEE47B" wp14:editId="22503B52">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7815E404" w14:textId="77777777" w:rsidR="001E6C1E" w:rsidRPr="00837A6D" w:rsidRDefault="00275228" w:rsidP="00F903F7">
            <w:pPr>
              <w:spacing w:before="120" w:after="0"/>
              <w:jc w:val="left"/>
              <w:rPr>
                <w:color w:val="243782" w:themeColor="text2"/>
                <w:sz w:val="22"/>
                <w:szCs w:val="22"/>
              </w:rPr>
            </w:pPr>
            <w:hyperlink r:id="rId17" w:history="1">
              <w:r w:rsidR="00A43D25" w:rsidRPr="00937090">
                <w:rPr>
                  <w:rStyle w:val="Hyperlink"/>
                  <w:sz w:val="22"/>
                  <w:szCs w:val="22"/>
                  <w:u w:val="none"/>
                </w:rPr>
                <w:t>Stellantis</w:t>
              </w:r>
            </w:hyperlink>
          </w:p>
        </w:tc>
        <w:tc>
          <w:tcPr>
            <w:tcW w:w="568" w:type="dxa"/>
            <w:vAlign w:val="center"/>
          </w:tcPr>
          <w:p w14:paraId="7AD97166" w14:textId="77777777" w:rsidR="001E6C1E" w:rsidRPr="00937090" w:rsidRDefault="001E6C1E" w:rsidP="00F903F7">
            <w:pPr>
              <w:spacing w:after="0"/>
              <w:jc w:val="left"/>
              <w:rPr>
                <w:color w:val="243782" w:themeColor="text2"/>
                <w:sz w:val="22"/>
                <w:szCs w:val="22"/>
                <w:u w:val="single"/>
              </w:rPr>
            </w:pPr>
            <w:r w:rsidRPr="00937090">
              <w:rPr>
                <w:noProof/>
                <w:color w:val="243782" w:themeColor="text2"/>
                <w:sz w:val="22"/>
                <w:szCs w:val="22"/>
                <w:u w:val="single"/>
                <w:lang w:val="en-US"/>
              </w:rPr>
              <w:drawing>
                <wp:anchor distT="0" distB="0" distL="114300" distR="114300" simplePos="0" relativeHeight="251662336" behindDoc="1" locked="0" layoutInCell="1" allowOverlap="1" wp14:anchorId="7B007D32" wp14:editId="5CCFE125">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02E05151" w14:textId="77777777" w:rsidR="001E6C1E" w:rsidRPr="00837A6D" w:rsidRDefault="00275228" w:rsidP="00F903F7">
            <w:pPr>
              <w:spacing w:before="120" w:after="0"/>
              <w:jc w:val="left"/>
              <w:rPr>
                <w:color w:val="243782" w:themeColor="text2"/>
                <w:sz w:val="22"/>
                <w:szCs w:val="22"/>
              </w:rPr>
            </w:pPr>
            <w:hyperlink r:id="rId19" w:history="1">
              <w:r w:rsidR="00A43D25" w:rsidRPr="00937090">
                <w:rPr>
                  <w:rStyle w:val="Hyperlink"/>
                  <w:sz w:val="22"/>
                  <w:szCs w:val="22"/>
                  <w:u w:val="none"/>
                </w:rPr>
                <w:t>Stellantis</w:t>
              </w:r>
            </w:hyperlink>
          </w:p>
        </w:tc>
      </w:tr>
      <w:tr w:rsidR="00E047DA" w:rsidRPr="009C1F9B" w14:paraId="28ECC8F5" w14:textId="77777777" w:rsidTr="00F90E05">
        <w:tblPrEx>
          <w:tblCellMar>
            <w:right w:w="57" w:type="dxa"/>
          </w:tblCellMar>
        </w:tblPrEx>
        <w:trPr>
          <w:gridAfter w:val="1"/>
          <w:wAfter w:w="22" w:type="dxa"/>
          <w:trHeight w:val="2043"/>
        </w:trPr>
        <w:tc>
          <w:tcPr>
            <w:tcW w:w="8364" w:type="dxa"/>
            <w:gridSpan w:val="8"/>
          </w:tcPr>
          <w:p w14:paraId="6EC093C8" w14:textId="77777777" w:rsidR="00E047DA" w:rsidRDefault="00E047DA" w:rsidP="00F90E05">
            <w:r>
              <w:rPr>
                <w:noProof/>
                <w:lang w:val="en-US"/>
              </w:rPr>
              <mc:AlternateContent>
                <mc:Choice Requires="wps">
                  <w:drawing>
                    <wp:inline distT="0" distB="0" distL="0" distR="0" wp14:anchorId="2DFD3D8E" wp14:editId="672F46C0">
                      <wp:extent cx="432000" cy="61913"/>
                      <wp:effectExtent l="0" t="0" r="6350" b="0"/>
                      <wp:docPr id="1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xmlns:oel="http://schemas.microsoft.com/office/2019/extlst" xmlns:a="http://schemas.openxmlformats.org/drawingml/2006/main" xmlns:a16="http://schemas.microsoft.com/office/drawing/2014/main" xmlns:pic="http://schemas.openxmlformats.org/drawingml/2006/picture" xmlns:a14="http://schemas.microsoft.com/office/drawing/2010/main">
                  <w:pict w14:anchorId="004BE3B0">
                    <v:shape id="Freeform 27"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spid="_x0000_s1026" fillcolor="#243782 [3204]"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" w14:anchorId="2CB10D2C">
                      <v:path arrowok="t" o:connecttype="custom" o:connectlocs="401492,61913;0,61913;32949,0;432000,0;401492,61913" o:connectangles="0,0,0,0,0"/>
                      <w10:anchorlock/>
                    </v:shape>
                  </w:pict>
                </mc:Fallback>
              </mc:AlternateContent>
            </w:r>
          </w:p>
          <w:p w14:paraId="6CF24E79" w14:textId="77777777" w:rsidR="00E047DA" w:rsidRPr="0085397B" w:rsidRDefault="00E047DA" w:rsidP="00F90E05">
            <w:pPr>
              <w:pStyle w:val="SContact-Title"/>
            </w:pPr>
            <w:bookmarkStart w:id="2" w:name="_Hlk61784883"/>
            <w:r>
              <w:t>Pour plus d’informations, merci de contacter :</w:t>
            </w:r>
          </w:p>
          <w:bookmarkStart w:id="3" w:name="_Hlk97712922" w:displacedByCustomXml="next"/>
          <w:sdt>
            <w:sdtPr>
              <w:rPr>
                <w:sz w:val="20"/>
              </w:rPr>
              <w:id w:val="143632974"/>
              <w:placeholder>
                <w:docPart w:val="C4475BC594FE41A4B70644BC0F69B0A8"/>
              </w:placeholder>
              <w15:appearance w15:val="hidden"/>
            </w:sdtPr>
            <w:sdtEndPr/>
            <w:sdtContent>
              <w:p w14:paraId="26B96AAD" w14:textId="16153FA9" w:rsidR="005335E5" w:rsidRPr="00BF6F2E" w:rsidRDefault="00275228" w:rsidP="005335E5">
                <w:pPr>
                  <w:pStyle w:val="SContact-Sendersinfo"/>
                  <w:rPr>
                    <w:rFonts w:ascii="Encode Sans ExpandedLight" w:hAnsi="Encode Sans ExpandedLight"/>
                    <w:sz w:val="20"/>
                    <w:szCs w:val="20"/>
                    <w:lang w:val="en-US"/>
                  </w:rPr>
                </w:pPr>
                <w:sdt>
                  <w:sdtPr>
                    <w:rPr>
                      <w:sz w:val="20"/>
                      <w:szCs w:val="20"/>
                    </w:rPr>
                    <w:id w:val="-1719962335"/>
                    <w:placeholder>
                      <w:docPart w:val="CE3E5EA1A49A47D5A26AEC040D899A51"/>
                    </w:placeholder>
                    <w15:appearance w15:val="hidden"/>
                  </w:sdtPr>
                  <w:sdtEndPr/>
                  <w:sdtContent>
                    <w:proofErr w:type="spellStart"/>
                    <w:r w:rsidR="00A43D25" w:rsidRPr="00BF6F2E">
                      <w:rPr>
                        <w:sz w:val="20"/>
                        <w:szCs w:val="20"/>
                        <w:lang w:val="en-US"/>
                      </w:rPr>
                      <w:t>Fernão</w:t>
                    </w:r>
                    <w:proofErr w:type="spellEnd"/>
                    <w:r w:rsidR="00A43D25" w:rsidRPr="00BF6F2E">
                      <w:rPr>
                        <w:sz w:val="20"/>
                        <w:szCs w:val="20"/>
                        <w:lang w:val="en-US"/>
                      </w:rPr>
                      <w:t xml:space="preserve"> </w:t>
                    </w:r>
                    <w:sdt>
                      <w:sdtPr>
                        <w:rPr>
                          <w:sz w:val="20"/>
                          <w:szCs w:val="20"/>
                        </w:rPr>
                        <w:id w:val="743996128"/>
                        <w:placeholder>
                          <w:docPart w:val="D5C503420D964060A55578895F3DD2CE"/>
                        </w:placeholder>
                        <w15:appearance w15:val="hidden"/>
                      </w:sdtPr>
                      <w:sdtEndPr/>
                      <w:sdtContent>
                        <w:sdt>
                          <w:sdtPr>
                            <w:rPr>
                              <w:sz w:val="20"/>
                              <w:szCs w:val="20"/>
                            </w:rPr>
                            <w:id w:val="1175080926"/>
                            <w:placeholder>
                              <w:docPart w:val="4AB496E044F443FB9950EC2028529BE8"/>
                            </w:placeholder>
                            <w15:appearance w15:val="hidden"/>
                          </w:sdtPr>
                          <w:sdtEndPr/>
                          <w:sdtContent>
                            <w:r w:rsidR="00A43D25" w:rsidRPr="00BF6F2E">
                              <w:rPr>
                                <w:sz w:val="20"/>
                                <w:szCs w:val="20"/>
                                <w:lang w:val="en-US"/>
                              </w:rPr>
                              <w:t>SILVEIRA</w:t>
                            </w:r>
                          </w:sdtContent>
                        </w:sdt>
                      </w:sdtContent>
                    </w:sdt>
                    <w:r w:rsidR="00A43D25" w:rsidRPr="00BF6F2E">
                      <w:rPr>
                        <w:sz w:val="20"/>
                        <w:szCs w:val="20"/>
                        <w:lang w:val="en-US"/>
                      </w:rPr>
                      <w:t xml:space="preserve">  </w:t>
                    </w:r>
                    <w:sdt>
                      <w:sdtPr>
                        <w:rPr>
                          <w:rFonts w:ascii="Encode Sans ExpandedLight" w:hAnsi="Encode Sans ExpandedLight"/>
                          <w:sz w:val="20"/>
                          <w:szCs w:val="20"/>
                        </w:rPr>
                        <w:id w:val="983514247"/>
                        <w:placeholder>
                          <w:docPart w:val="3F001C52D8B5488EA9CBF66155FB3812"/>
                        </w:placeholder>
                        <w15:appearance w15:val="hidden"/>
                      </w:sdtPr>
                      <w:sdtEndPr/>
                      <w:sdtContent>
                        <w:r w:rsidR="00A43D25" w:rsidRPr="00BF6F2E">
                          <w:rPr>
                            <w:rFonts w:ascii="Encode Sans ExpandedLight" w:hAnsi="Encode Sans ExpandedLight"/>
                            <w:sz w:val="20"/>
                            <w:szCs w:val="20"/>
                            <w:lang w:val="en-US"/>
                          </w:rPr>
                          <w:t>+31 6 43 25 43 41 – fernao.silveira@stellantis.com</w:t>
                        </w:r>
                      </w:sdtContent>
                    </w:sdt>
                    <w:r w:rsidR="00A43D25" w:rsidRPr="00BF6F2E">
                      <w:rPr>
                        <w:rFonts w:ascii="Encode Sans ExpandedLight" w:hAnsi="Encode Sans ExpandedLight"/>
                        <w:sz w:val="20"/>
                        <w:szCs w:val="20"/>
                        <w:lang w:val="en-US"/>
                      </w:rPr>
                      <w:br/>
                    </w:r>
                    <w:r w:rsidR="00A43D25" w:rsidRPr="00BF6F2E">
                      <w:rPr>
                        <w:sz w:val="20"/>
                        <w:szCs w:val="20"/>
                        <w:lang w:val="en-US"/>
                      </w:rPr>
                      <w:t>Valérie GILLOT</w:t>
                    </w:r>
                  </w:sdtContent>
                </w:sdt>
                <w:r w:rsidR="00A43D25" w:rsidRPr="00BF6F2E">
                  <w:rPr>
                    <w:sz w:val="20"/>
                    <w:szCs w:val="20"/>
                    <w:lang w:val="en-US"/>
                  </w:rPr>
                  <w:t xml:space="preserve"> </w:t>
                </w:r>
                <w:sdt>
                  <w:sdtPr>
                    <w:rPr>
                      <w:rFonts w:ascii="Encode Sans ExpandedLight" w:hAnsi="Encode Sans ExpandedLight"/>
                      <w:sz w:val="20"/>
                      <w:szCs w:val="20"/>
                    </w:rPr>
                    <w:id w:val="-1037958382"/>
                    <w:placeholder>
                      <w:docPart w:val="DC541AFFAF6044019ED75F6281D796E8"/>
                    </w:placeholder>
                    <w15:appearance w15:val="hidden"/>
                  </w:sdtPr>
                  <w:sdtEndPr/>
                  <w:sdtContent>
                    <w:r w:rsidR="00A43D25" w:rsidRPr="00BF6F2E">
                      <w:rPr>
                        <w:rFonts w:ascii="Encode Sans ExpandedLight" w:hAnsi="Encode Sans ExpandedLight"/>
                        <w:sz w:val="20"/>
                        <w:szCs w:val="20"/>
                        <w:lang w:val="en-US"/>
                      </w:rPr>
                      <w:t xml:space="preserve">+ 33 6 83 92 92 96 </w:t>
                    </w:r>
                    <w:r w:rsidR="004E232F" w:rsidRPr="00BF6F2E">
                      <w:rPr>
                        <w:rFonts w:ascii="Encode Sans ExpandedLight" w:hAnsi="Encode Sans ExpandedLight"/>
                        <w:sz w:val="20"/>
                        <w:szCs w:val="20"/>
                        <w:lang w:val="en-US"/>
                      </w:rPr>
                      <w:t>–</w:t>
                    </w:r>
                    <w:r w:rsidR="00A43D25" w:rsidRPr="00BF6F2E">
                      <w:rPr>
                        <w:rFonts w:ascii="Encode Sans ExpandedLight" w:hAnsi="Encode Sans ExpandedLight"/>
                        <w:sz w:val="20"/>
                        <w:szCs w:val="20"/>
                        <w:lang w:val="en-US"/>
                      </w:rPr>
                      <w:t xml:space="preserve"> valerie.gillot@stellantis.com</w:t>
                    </w:r>
                  </w:sdtContent>
                </w:sdt>
              </w:p>
              <w:p w14:paraId="323E25EC" w14:textId="77777777" w:rsidR="005335E5" w:rsidRPr="00E820E6" w:rsidRDefault="00275228" w:rsidP="005335E5">
                <w:pPr>
                  <w:pStyle w:val="SContact-Sendersinfo"/>
                  <w:rPr>
                    <w:rFonts w:ascii="Encode Sans ExpandedLight" w:hAnsi="Encode Sans ExpandedLight"/>
                    <w:sz w:val="20"/>
                    <w:szCs w:val="20"/>
                  </w:rPr>
                </w:pPr>
                <w:sdt>
                  <w:sdtPr>
                    <w:rPr>
                      <w:sz w:val="20"/>
                      <w:szCs w:val="20"/>
                    </w:rPr>
                    <w:id w:val="1282529045"/>
                    <w:placeholder>
                      <w:docPart w:val="9B6BAAB185554217B5298E176B351D31"/>
                    </w:placeholder>
                    <w15:appearance w15:val="hidden"/>
                  </w:sdtPr>
                  <w:sdtEndPr/>
                  <w:sdtContent>
                    <w:r w:rsidR="00A43D25">
                      <w:rPr>
                        <w:sz w:val="20"/>
                        <w:szCs w:val="20"/>
                      </w:rPr>
                      <w:t>Nathalie ROUSSEL</w:t>
                    </w:r>
                    <w:r w:rsidR="00A43D25">
                      <w:rPr>
                        <w:rFonts w:ascii="Cambria" w:hAnsi="Cambria"/>
                        <w:sz w:val="20"/>
                        <w:szCs w:val="20"/>
                      </w:rPr>
                      <w:t> </w:t>
                    </w:r>
                  </w:sdtContent>
                </w:sdt>
                <w:r w:rsidR="00A43D25">
                  <w:rPr>
                    <w:sz w:val="20"/>
                    <w:szCs w:val="20"/>
                  </w:rPr>
                  <w:t xml:space="preserve"> </w:t>
                </w:r>
                <w:sdt>
                  <w:sdtPr>
                    <w:rPr>
                      <w:rFonts w:ascii="Encode Sans ExpandedLight" w:hAnsi="Encode Sans ExpandedLight"/>
                      <w:sz w:val="20"/>
                      <w:szCs w:val="20"/>
                    </w:rPr>
                    <w:id w:val="-878779968"/>
                    <w:placeholder>
                      <w:docPart w:val="CEB14744533942C592C0FF4951249444"/>
                    </w:placeholder>
                    <w15:appearance w15:val="hidden"/>
                  </w:sdtPr>
                  <w:sdtEndPr/>
                  <w:sdtContent>
                    <w:r w:rsidR="00A43D25">
                      <w:rPr>
                        <w:rFonts w:ascii="Encode Sans ExpandedLight" w:hAnsi="Encode Sans ExpandedLight"/>
                        <w:sz w:val="20"/>
                        <w:szCs w:val="20"/>
                      </w:rPr>
                      <w:t>+ 33 6 87 77 41 82 – nathalie.roussel@stellantis.com</w:t>
                    </w:r>
                  </w:sdtContent>
                </w:sdt>
              </w:p>
              <w:p w14:paraId="1541959F" w14:textId="77777777" w:rsidR="00E047DA" w:rsidRPr="00E820E6" w:rsidRDefault="00275228" w:rsidP="00F90E05">
                <w:pPr>
                  <w:pStyle w:val="SContact-Sendersinfo"/>
                  <w:rPr>
                    <w:rFonts w:ascii="Encode Sans ExpandedLight" w:hAnsi="Encode Sans ExpandedLight"/>
                    <w:sz w:val="20"/>
                    <w:lang w:val="es-ES"/>
                  </w:rPr>
                </w:pPr>
              </w:p>
            </w:sdtContent>
          </w:sdt>
          <w:bookmarkEnd w:id="3"/>
          <w:p w14:paraId="1015A1CC" w14:textId="77777777" w:rsidR="00E047DA" w:rsidRPr="00BF6F2E" w:rsidRDefault="00E047DA" w:rsidP="00F90E05">
            <w:pPr>
              <w:pStyle w:val="SFooter-Emailwebsite"/>
              <w:rPr>
                <w:lang w:val="es-ES"/>
              </w:rPr>
            </w:pPr>
            <w:r w:rsidRPr="00BF6F2E">
              <w:rPr>
                <w:lang w:val="es-ES"/>
              </w:rPr>
              <w:t>communications@stellantis.com</w:t>
            </w:r>
            <w:r w:rsidRPr="00BF6F2E">
              <w:rPr>
                <w:lang w:val="es-ES"/>
              </w:rPr>
              <w:br/>
              <w:t>www.stellantis.com</w:t>
            </w:r>
            <w:bookmarkEnd w:id="2"/>
          </w:p>
        </w:tc>
      </w:tr>
    </w:tbl>
    <w:p w14:paraId="1EE61B2C" w14:textId="1778A894" w:rsidR="009C1F9B" w:rsidRDefault="009C1F9B">
      <w:pPr>
        <w:spacing w:after="0"/>
        <w:jc w:val="left"/>
        <w:rPr>
          <w:lang w:val="es-ES"/>
        </w:rPr>
      </w:pPr>
    </w:p>
    <w:p w14:paraId="0AE7FAB4" w14:textId="77777777" w:rsidR="009C1F9B" w:rsidRDefault="009C1F9B">
      <w:pPr>
        <w:spacing w:after="0"/>
        <w:jc w:val="left"/>
        <w:rPr>
          <w:lang w:val="es-ES"/>
        </w:rPr>
      </w:pPr>
      <w:r>
        <w:rPr>
          <w:lang w:val="es-ES"/>
        </w:rPr>
        <w:br w:type="page"/>
      </w:r>
    </w:p>
    <w:p w14:paraId="147FB6D8" w14:textId="77777777" w:rsidR="009C1F9B" w:rsidRDefault="009C1F9B" w:rsidP="009C1F9B">
      <w:pPr>
        <w:spacing w:after="0"/>
        <w:rPr>
          <w:rFonts w:ascii="Arial" w:hAnsi="Arial"/>
          <w:b/>
          <w:bCs/>
          <w:i/>
          <w:iCs/>
          <w:color w:val="243782"/>
          <w:sz w:val="18"/>
          <w:szCs w:val="18"/>
          <w:lang w:eastAsia="fr-FR"/>
        </w:rPr>
      </w:pPr>
      <w:r>
        <w:rPr>
          <w:rFonts w:ascii="Arial" w:hAnsi="Arial"/>
          <w:b/>
          <w:bCs/>
          <w:i/>
          <w:iCs/>
          <w:color w:val="243782"/>
          <w:sz w:val="18"/>
          <w:szCs w:val="18"/>
          <w:lang w:eastAsia="fr-FR"/>
        </w:rPr>
        <w:lastRenderedPageBreak/>
        <w:t>DÉCLARATIONS PROSPECTIVES</w:t>
      </w:r>
    </w:p>
    <w:p w14:paraId="0296272F" w14:textId="77777777" w:rsidR="009C1F9B" w:rsidRDefault="009C1F9B" w:rsidP="009C1F9B">
      <w:pPr>
        <w:spacing w:after="0"/>
        <w:rPr>
          <w:rFonts w:ascii="Arial" w:eastAsia="Yu Mincho" w:hAnsi="Arial" w:cs="Arial"/>
          <w:b/>
          <w:bCs/>
          <w:i/>
          <w:iCs/>
          <w:color w:val="243782"/>
          <w:sz w:val="18"/>
          <w:szCs w:val="18"/>
        </w:rPr>
      </w:pPr>
    </w:p>
    <w:p w14:paraId="5569D7B7" w14:textId="77777777" w:rsidR="009C1F9B" w:rsidRDefault="009C1F9B" w:rsidP="009C1F9B">
      <w:pPr>
        <w:spacing w:after="0"/>
        <w:rPr>
          <w:rFonts w:ascii="Arial" w:eastAsia="Encode Sans Expanded" w:hAnsi="Arial" w:cs="Arial"/>
          <w:i/>
          <w:iCs/>
          <w:color w:val="242424"/>
          <w:sz w:val="18"/>
          <w:szCs w:val="18"/>
          <w:shd w:val="clear" w:color="auto" w:fill="FFFFFF"/>
        </w:rPr>
      </w:pPr>
      <w:r>
        <w:rPr>
          <w:rFonts w:ascii="Arial" w:hAnsi="Arial" w:cs="Arial"/>
          <w:i/>
          <w:iCs/>
          <w:color w:val="242424"/>
          <w:sz w:val="18"/>
          <w:szCs w:val="18"/>
          <w:shd w:val="clear" w:color="auto" w:fill="FFFFFF"/>
        </w:rPr>
        <w:t xml:space="preserve">Cette communication contient des déclarations prospectives. En particulier, les énoncés concernant les événements futurs et les </w:t>
      </w:r>
      <w:r>
        <w:rPr>
          <w:rFonts w:ascii="Arial" w:hAnsi="Arial" w:cs="Arial"/>
          <w:i/>
          <w:iCs/>
          <w:color w:val="242424"/>
          <w:sz w:val="18"/>
          <w:szCs w:val="18"/>
        </w:rPr>
        <w:t xml:space="preserve">estimations de </w:t>
      </w:r>
      <w:r>
        <w:rPr>
          <w:rFonts w:ascii="Arial" w:hAnsi="Arial" w:cs="Arial"/>
          <w:i/>
          <w:iCs/>
          <w:color w:val="242424"/>
          <w:sz w:val="18"/>
          <w:szCs w:val="18"/>
          <w:shd w:val="clear" w:color="auto" w:fill="FFFFFF"/>
        </w:rPr>
        <w:t xml:space="preserve">résultats des </w:t>
      </w:r>
      <w:r>
        <w:rPr>
          <w:rFonts w:ascii="Arial" w:hAnsi="Arial" w:cs="Arial"/>
          <w:i/>
          <w:iCs/>
          <w:color w:val="242424"/>
          <w:sz w:val="18"/>
          <w:szCs w:val="18"/>
        </w:rPr>
        <w:t>activités</w:t>
      </w:r>
      <w:r>
        <w:rPr>
          <w:rFonts w:ascii="Arial" w:hAnsi="Arial" w:cs="Arial"/>
          <w:i/>
          <w:iCs/>
          <w:color w:val="242424"/>
          <w:sz w:val="18"/>
          <w:szCs w:val="18"/>
          <w:shd w:val="clear" w:color="auto" w:fill="FFFFFF"/>
        </w:rPr>
        <w:t xml:space="preserve">, les stratégies d’entreprise, les avantages </w:t>
      </w:r>
      <w:r>
        <w:rPr>
          <w:rFonts w:ascii="Arial" w:hAnsi="Arial" w:cs="Arial"/>
          <w:i/>
          <w:iCs/>
          <w:color w:val="242424"/>
          <w:sz w:val="18"/>
          <w:szCs w:val="18"/>
        </w:rPr>
        <w:t xml:space="preserve">escomptés </w:t>
      </w:r>
      <w:r>
        <w:rPr>
          <w:rFonts w:ascii="Arial" w:hAnsi="Arial" w:cs="Arial"/>
          <w:i/>
          <w:iCs/>
          <w:color w:val="242424"/>
          <w:sz w:val="18"/>
          <w:szCs w:val="18"/>
          <w:shd w:val="clear" w:color="auto" w:fill="FFFFFF"/>
        </w:rPr>
        <w:t xml:space="preserve">de la transaction proposée, les résultats financiers et opérationnels futurs, la date </w:t>
      </w:r>
      <w:r>
        <w:rPr>
          <w:rFonts w:ascii="Arial" w:hAnsi="Arial" w:cs="Arial"/>
          <w:i/>
          <w:iCs/>
          <w:color w:val="242424"/>
          <w:sz w:val="18"/>
          <w:szCs w:val="18"/>
        </w:rPr>
        <w:t xml:space="preserve">prévue </w:t>
      </w:r>
      <w:r>
        <w:rPr>
          <w:rFonts w:ascii="Arial" w:hAnsi="Arial" w:cs="Arial"/>
          <w:i/>
          <w:iCs/>
          <w:color w:val="242424"/>
          <w:sz w:val="18"/>
          <w:szCs w:val="18"/>
          <w:shd w:val="clear" w:color="auto" w:fill="FFFFFF"/>
        </w:rPr>
        <w:t xml:space="preserve">de </w:t>
      </w:r>
      <w:r>
        <w:rPr>
          <w:rFonts w:ascii="Arial" w:hAnsi="Arial" w:cs="Arial"/>
          <w:i/>
          <w:iCs/>
          <w:color w:val="242424"/>
          <w:sz w:val="18"/>
          <w:szCs w:val="18"/>
        </w:rPr>
        <w:t xml:space="preserve">réalisation </w:t>
      </w:r>
      <w:r>
        <w:rPr>
          <w:rFonts w:ascii="Arial" w:hAnsi="Arial" w:cs="Arial"/>
          <w:i/>
          <w:iCs/>
          <w:color w:val="242424"/>
          <w:sz w:val="18"/>
          <w:szCs w:val="18"/>
          <w:shd w:val="clear" w:color="auto" w:fill="FFFFFF"/>
        </w:rPr>
        <w:t xml:space="preserve">de la transaction proposée et d’autres aspects </w:t>
      </w:r>
      <w:r>
        <w:rPr>
          <w:rFonts w:ascii="Arial" w:hAnsi="Arial" w:cs="Arial"/>
          <w:i/>
          <w:iCs/>
          <w:color w:val="242424"/>
          <w:sz w:val="18"/>
          <w:szCs w:val="18"/>
        </w:rPr>
        <w:t xml:space="preserve">escomptés </w:t>
      </w:r>
      <w:r>
        <w:rPr>
          <w:rFonts w:ascii="Arial" w:hAnsi="Arial" w:cs="Arial"/>
          <w:i/>
          <w:iCs/>
          <w:color w:val="242424"/>
          <w:sz w:val="18"/>
          <w:szCs w:val="18"/>
          <w:shd w:val="clear" w:color="auto" w:fill="FFFFFF"/>
        </w:rPr>
        <w:t xml:space="preserve">de nos </w:t>
      </w:r>
      <w:r>
        <w:rPr>
          <w:rFonts w:ascii="Arial" w:hAnsi="Arial" w:cs="Arial"/>
          <w:i/>
          <w:iCs/>
          <w:color w:val="242424"/>
          <w:sz w:val="18"/>
          <w:szCs w:val="18"/>
        </w:rPr>
        <w:t xml:space="preserve">activités </w:t>
      </w:r>
      <w:r>
        <w:rPr>
          <w:rFonts w:ascii="Arial" w:hAnsi="Arial" w:cs="Arial"/>
          <w:i/>
          <w:iCs/>
          <w:color w:val="242424"/>
          <w:sz w:val="18"/>
          <w:szCs w:val="18"/>
          <w:shd w:val="clear" w:color="auto" w:fill="FFFFFF"/>
        </w:rPr>
        <w:t xml:space="preserve">ou résultats opérationnels sont des </w:t>
      </w:r>
      <w:r>
        <w:rPr>
          <w:rFonts w:ascii="Arial" w:hAnsi="Arial" w:cs="Arial"/>
          <w:i/>
          <w:iCs/>
          <w:color w:val="242424"/>
          <w:sz w:val="18"/>
          <w:szCs w:val="18"/>
        </w:rPr>
        <w:t xml:space="preserve">déclarations </w:t>
      </w:r>
      <w:r>
        <w:rPr>
          <w:rFonts w:ascii="Arial" w:hAnsi="Arial" w:cs="Arial"/>
          <w:i/>
          <w:iCs/>
          <w:color w:val="242424"/>
          <w:sz w:val="18"/>
          <w:szCs w:val="18"/>
          <w:shd w:val="clear" w:color="auto" w:fill="FFFFFF"/>
        </w:rPr>
        <w:t>prospecti</w:t>
      </w:r>
      <w:r>
        <w:rPr>
          <w:rFonts w:ascii="Arial" w:hAnsi="Arial" w:cs="Arial"/>
          <w:i/>
          <w:iCs/>
          <w:color w:val="242424"/>
          <w:sz w:val="18"/>
          <w:szCs w:val="18"/>
        </w:rPr>
        <w:t>ve</w:t>
      </w:r>
      <w:r>
        <w:rPr>
          <w:rFonts w:ascii="Arial" w:hAnsi="Arial" w:cs="Arial"/>
          <w:i/>
          <w:iCs/>
          <w:color w:val="242424"/>
          <w:sz w:val="18"/>
          <w:szCs w:val="18"/>
          <w:shd w:val="clear" w:color="auto" w:fill="FFFFFF"/>
        </w:rPr>
        <w:t xml:space="preserve">s. </w:t>
      </w:r>
      <w:r>
        <w:rPr>
          <w:rFonts w:ascii="Arial" w:hAnsi="Arial" w:cs="Arial"/>
          <w:i/>
          <w:iCs/>
          <w:color w:val="242424"/>
          <w:sz w:val="18"/>
          <w:szCs w:val="18"/>
        </w:rPr>
        <w:t xml:space="preserve">Des mots et expressions déclarations </w:t>
      </w:r>
      <w:r>
        <w:rPr>
          <w:rFonts w:ascii="Arial" w:hAnsi="Arial" w:cs="Arial"/>
          <w:i/>
          <w:iCs/>
          <w:color w:val="242424"/>
          <w:sz w:val="18"/>
          <w:szCs w:val="18"/>
          <w:shd w:val="clear" w:color="auto" w:fill="FFFFFF"/>
        </w:rPr>
        <w:t>tels que “ peut “, “ va “, “ s’attend</w:t>
      </w:r>
      <w:r>
        <w:rPr>
          <w:rFonts w:ascii="Arial" w:hAnsi="Arial" w:cs="Arial"/>
          <w:i/>
          <w:iCs/>
          <w:color w:val="242424"/>
          <w:sz w:val="18"/>
          <w:szCs w:val="18"/>
        </w:rPr>
        <w:t>re à</w:t>
      </w:r>
      <w:r>
        <w:rPr>
          <w:rFonts w:ascii="Arial" w:hAnsi="Arial" w:cs="Arial"/>
          <w:i/>
          <w:iCs/>
          <w:color w:val="242424"/>
          <w:sz w:val="18"/>
          <w:szCs w:val="18"/>
          <w:shd w:val="clear" w:color="auto" w:fill="FFFFFF"/>
        </w:rPr>
        <w:t xml:space="preserve"> “, “ pourrait “, “ devrait “, “ </w:t>
      </w:r>
      <w:r>
        <w:rPr>
          <w:rFonts w:ascii="Arial" w:hAnsi="Arial" w:cs="Arial"/>
          <w:i/>
          <w:iCs/>
          <w:color w:val="242424"/>
          <w:sz w:val="18"/>
          <w:szCs w:val="18"/>
        </w:rPr>
        <w:t>avoir</w:t>
      </w:r>
      <w:r>
        <w:rPr>
          <w:rFonts w:ascii="Arial" w:hAnsi="Arial" w:cs="Arial"/>
          <w:i/>
          <w:iCs/>
          <w:color w:val="242424"/>
          <w:sz w:val="18"/>
          <w:szCs w:val="18"/>
          <w:shd w:val="clear" w:color="auto" w:fill="FFFFFF"/>
        </w:rPr>
        <w:t xml:space="preserve"> l’intention </w:t>
      </w:r>
      <w:r>
        <w:rPr>
          <w:rFonts w:ascii="Arial" w:hAnsi="Arial" w:cs="Arial"/>
          <w:i/>
          <w:iCs/>
          <w:color w:val="242424"/>
          <w:sz w:val="18"/>
          <w:szCs w:val="18"/>
        </w:rPr>
        <w:t>de</w:t>
      </w:r>
      <w:r>
        <w:rPr>
          <w:rFonts w:ascii="Arial" w:hAnsi="Arial" w:cs="Arial"/>
          <w:i/>
          <w:iCs/>
          <w:color w:val="242424"/>
          <w:sz w:val="18"/>
          <w:szCs w:val="18"/>
          <w:shd w:val="clear" w:color="auto" w:fill="FFFFFF"/>
        </w:rPr>
        <w:t>“, “ estime</w:t>
      </w:r>
      <w:r>
        <w:rPr>
          <w:rFonts w:ascii="Arial" w:hAnsi="Arial" w:cs="Arial"/>
          <w:i/>
          <w:iCs/>
          <w:color w:val="242424"/>
          <w:sz w:val="18"/>
          <w:szCs w:val="18"/>
        </w:rPr>
        <w:t>r</w:t>
      </w:r>
      <w:r>
        <w:rPr>
          <w:rFonts w:ascii="Arial" w:hAnsi="Arial" w:cs="Arial"/>
          <w:i/>
          <w:iCs/>
          <w:color w:val="242424"/>
          <w:sz w:val="18"/>
          <w:szCs w:val="18"/>
          <w:shd w:val="clear" w:color="auto" w:fill="FFFFFF"/>
        </w:rPr>
        <w:t xml:space="preserve"> “, “ anticipe</w:t>
      </w:r>
      <w:r>
        <w:rPr>
          <w:rFonts w:ascii="Arial" w:hAnsi="Arial" w:cs="Arial"/>
          <w:i/>
          <w:iCs/>
          <w:color w:val="242424"/>
          <w:sz w:val="18"/>
          <w:szCs w:val="18"/>
        </w:rPr>
        <w:t>r</w:t>
      </w:r>
      <w:r>
        <w:rPr>
          <w:rFonts w:ascii="Arial" w:hAnsi="Arial" w:cs="Arial"/>
          <w:i/>
          <w:iCs/>
          <w:color w:val="242424"/>
          <w:sz w:val="18"/>
          <w:szCs w:val="18"/>
          <w:shd w:val="clear" w:color="auto" w:fill="FFFFFF"/>
        </w:rPr>
        <w:t xml:space="preserve"> “, </w:t>
      </w:r>
      <w:r>
        <w:rPr>
          <w:rFonts w:ascii="Arial" w:hAnsi="Arial" w:cs="Arial"/>
          <w:i/>
          <w:iCs/>
          <w:color w:val="242424"/>
          <w:sz w:val="18"/>
          <w:szCs w:val="18"/>
        </w:rPr>
        <w:t xml:space="preserve">“ penser “, </w:t>
      </w:r>
      <w:r>
        <w:rPr>
          <w:rFonts w:ascii="Arial" w:hAnsi="Arial" w:cs="Arial"/>
          <w:i/>
          <w:iCs/>
          <w:color w:val="242424"/>
          <w:sz w:val="18"/>
          <w:szCs w:val="18"/>
          <w:shd w:val="clear" w:color="auto" w:fill="FFFFFF"/>
        </w:rPr>
        <w:t>“ croi</w:t>
      </w:r>
      <w:r>
        <w:rPr>
          <w:rFonts w:ascii="Arial" w:hAnsi="Arial" w:cs="Arial"/>
          <w:i/>
          <w:iCs/>
          <w:color w:val="242424"/>
          <w:sz w:val="18"/>
          <w:szCs w:val="18"/>
        </w:rPr>
        <w:t>re</w:t>
      </w:r>
      <w:r>
        <w:rPr>
          <w:rFonts w:ascii="Arial" w:hAnsi="Arial" w:cs="Arial"/>
          <w:i/>
          <w:iCs/>
          <w:color w:val="242424"/>
          <w:sz w:val="18"/>
          <w:szCs w:val="18"/>
          <w:shd w:val="clear" w:color="auto" w:fill="FFFFFF"/>
        </w:rPr>
        <w:t xml:space="preserve"> “, “ reste</w:t>
      </w:r>
      <w:r>
        <w:rPr>
          <w:rFonts w:ascii="Arial" w:hAnsi="Arial" w:cs="Arial"/>
          <w:i/>
          <w:iCs/>
          <w:color w:val="242424"/>
          <w:sz w:val="18"/>
          <w:szCs w:val="18"/>
        </w:rPr>
        <w:t>r</w:t>
      </w:r>
      <w:r>
        <w:rPr>
          <w:rFonts w:ascii="Arial" w:hAnsi="Arial" w:cs="Arial"/>
          <w:i/>
          <w:iCs/>
          <w:color w:val="242424"/>
          <w:sz w:val="18"/>
          <w:szCs w:val="18"/>
          <w:shd w:val="clear" w:color="auto" w:fill="FFFFFF"/>
        </w:rPr>
        <w:t xml:space="preserve"> “, “ en bonne voie “, “ conception”, “ cible “, “ objectif “, “ but “, “ prévision “, “ projection “, “ perspectives “, </w:t>
      </w:r>
      <w:r>
        <w:rPr>
          <w:rFonts w:ascii="Arial" w:hAnsi="Arial" w:cs="Arial"/>
          <w:i/>
          <w:iCs/>
          <w:color w:val="242424"/>
          <w:sz w:val="18"/>
          <w:szCs w:val="18"/>
        </w:rPr>
        <w:t xml:space="preserve">“ estimation “, </w:t>
      </w:r>
      <w:r>
        <w:rPr>
          <w:rFonts w:ascii="Arial" w:hAnsi="Arial" w:cs="Arial"/>
          <w:i/>
          <w:iCs/>
          <w:color w:val="242424"/>
          <w:sz w:val="18"/>
          <w:szCs w:val="18"/>
          <w:shd w:val="clear" w:color="auto" w:fill="FFFFFF"/>
        </w:rPr>
        <w:t>“ plan</w:t>
      </w:r>
      <w:r>
        <w:rPr>
          <w:rFonts w:ascii="Arial" w:hAnsi="Arial" w:cs="Arial"/>
          <w:i/>
          <w:iCs/>
          <w:color w:val="242424"/>
          <w:sz w:val="18"/>
          <w:szCs w:val="18"/>
        </w:rPr>
        <w:t>ifier</w:t>
      </w:r>
      <w:r>
        <w:rPr>
          <w:rFonts w:ascii="Arial" w:hAnsi="Arial" w:cs="Arial"/>
          <w:i/>
          <w:iCs/>
          <w:color w:val="242424"/>
          <w:sz w:val="18"/>
          <w:szCs w:val="18"/>
          <w:shd w:val="clear" w:color="auto" w:fill="FFFFFF"/>
        </w:rPr>
        <w:t xml:space="preserve"> “, </w:t>
      </w:r>
      <w:r>
        <w:rPr>
          <w:rFonts w:ascii="Arial" w:hAnsi="Arial" w:cs="Arial"/>
          <w:i/>
          <w:iCs/>
          <w:color w:val="242424"/>
          <w:sz w:val="18"/>
          <w:szCs w:val="18"/>
        </w:rPr>
        <w:t>ainsi que les mots et expressions de cette nature et toutes les phrases au futur indiquent des déclarations prospectives</w:t>
      </w:r>
      <w:r>
        <w:rPr>
          <w:rFonts w:ascii="Arial" w:hAnsi="Arial" w:cs="Arial"/>
          <w:i/>
          <w:iCs/>
          <w:color w:val="242424"/>
          <w:sz w:val="18"/>
          <w:szCs w:val="18"/>
          <w:shd w:val="clear" w:color="auto" w:fill="FFFFFF"/>
        </w:rPr>
        <w:t>. Les déclarations prospectives ne sont pas des garanties de rendement futur. Elles sont fondées sur l’état actuel des connaissances</w:t>
      </w:r>
      <w:r>
        <w:rPr>
          <w:rFonts w:ascii="Arial" w:hAnsi="Arial" w:cs="Arial"/>
          <w:i/>
          <w:iCs/>
          <w:color w:val="242424"/>
          <w:sz w:val="18"/>
          <w:szCs w:val="18"/>
        </w:rPr>
        <w:t xml:space="preserve"> de Stellantis</w:t>
      </w:r>
      <w:r>
        <w:rPr>
          <w:rFonts w:ascii="Arial" w:hAnsi="Arial" w:cs="Arial"/>
          <w:i/>
          <w:iCs/>
          <w:color w:val="242424"/>
          <w:sz w:val="18"/>
          <w:szCs w:val="18"/>
          <w:shd w:val="clear" w:color="auto" w:fill="FFFFFF"/>
        </w:rPr>
        <w:t xml:space="preserve">, les attentes futures et les projections concernant </w:t>
      </w:r>
      <w:r>
        <w:rPr>
          <w:rFonts w:ascii="Arial" w:hAnsi="Arial" w:cs="Arial"/>
          <w:i/>
          <w:iCs/>
          <w:color w:val="242424"/>
          <w:sz w:val="18"/>
          <w:szCs w:val="18"/>
        </w:rPr>
        <w:t>des évènements futurs</w:t>
      </w:r>
      <w:r>
        <w:rPr>
          <w:rFonts w:ascii="Arial" w:hAnsi="Arial" w:cs="Arial"/>
          <w:i/>
          <w:iCs/>
          <w:color w:val="242424"/>
          <w:sz w:val="18"/>
          <w:szCs w:val="18"/>
          <w:shd w:val="clear" w:color="auto" w:fill="FFFFFF"/>
        </w:rPr>
        <w:t xml:space="preserve"> et sont</w:t>
      </w:r>
      <w:r>
        <w:rPr>
          <w:rFonts w:ascii="Arial" w:hAnsi="Arial" w:cs="Arial"/>
          <w:i/>
          <w:iCs/>
          <w:color w:val="242424"/>
          <w:sz w:val="18"/>
          <w:szCs w:val="18"/>
        </w:rPr>
        <w:t>,</w:t>
      </w:r>
      <w:r>
        <w:rPr>
          <w:rFonts w:ascii="Arial" w:hAnsi="Arial" w:cs="Arial"/>
          <w:i/>
          <w:iCs/>
          <w:color w:val="242424"/>
          <w:sz w:val="18"/>
          <w:szCs w:val="18"/>
          <w:shd w:val="clear" w:color="auto" w:fill="FFFFFF"/>
        </w:rPr>
        <w:t xml:space="preserve"> par nature</w:t>
      </w:r>
      <w:r>
        <w:rPr>
          <w:rFonts w:ascii="Arial" w:hAnsi="Arial" w:cs="Arial"/>
          <w:i/>
          <w:iCs/>
          <w:color w:val="242424"/>
          <w:sz w:val="18"/>
          <w:szCs w:val="18"/>
        </w:rPr>
        <w:t>,</w:t>
      </w:r>
      <w:r>
        <w:rPr>
          <w:rFonts w:ascii="Arial" w:hAnsi="Arial" w:cs="Arial"/>
          <w:i/>
          <w:iCs/>
          <w:color w:val="242424"/>
          <w:sz w:val="18"/>
          <w:szCs w:val="18"/>
          <w:shd w:val="clear" w:color="auto" w:fill="FFFFFF"/>
        </w:rPr>
        <w:t xml:space="preserve"> </w:t>
      </w:r>
      <w:r>
        <w:rPr>
          <w:rFonts w:ascii="Arial" w:hAnsi="Arial" w:cs="Arial"/>
          <w:i/>
          <w:iCs/>
          <w:color w:val="242424"/>
          <w:sz w:val="18"/>
          <w:szCs w:val="18"/>
        </w:rPr>
        <w:t xml:space="preserve">soumises à de nombreux </w:t>
      </w:r>
      <w:r>
        <w:rPr>
          <w:rFonts w:ascii="Arial" w:hAnsi="Arial" w:cs="Arial"/>
          <w:i/>
          <w:iCs/>
          <w:color w:val="242424"/>
          <w:sz w:val="18"/>
          <w:szCs w:val="18"/>
          <w:shd w:val="clear" w:color="auto" w:fill="FFFFFF"/>
        </w:rPr>
        <w:t xml:space="preserve">risques et incertitudes </w:t>
      </w:r>
      <w:r>
        <w:rPr>
          <w:rFonts w:ascii="Arial" w:hAnsi="Arial" w:cs="Arial"/>
          <w:i/>
          <w:iCs/>
          <w:color w:val="242424"/>
          <w:sz w:val="18"/>
          <w:szCs w:val="18"/>
        </w:rPr>
        <w:t>inhérentes à ces activités et donc difficilement prévisibles</w:t>
      </w:r>
      <w:r>
        <w:rPr>
          <w:rFonts w:ascii="Arial" w:hAnsi="Arial" w:cs="Arial"/>
          <w:i/>
          <w:iCs/>
          <w:color w:val="242424"/>
          <w:sz w:val="18"/>
          <w:szCs w:val="18"/>
          <w:shd w:val="clear" w:color="auto" w:fill="FFFFFF"/>
        </w:rPr>
        <w:t>. Elles se rapportent à des événements et dépendent de circonstances qui pourraient ou non se produire ou exister à l’avenir et, par conséquent,</w:t>
      </w:r>
      <w:r>
        <w:rPr>
          <w:rFonts w:ascii="Arial" w:hAnsi="Arial" w:cs="Arial"/>
          <w:i/>
          <w:iCs/>
          <w:color w:val="242424"/>
          <w:sz w:val="18"/>
          <w:szCs w:val="18"/>
        </w:rPr>
        <w:t xml:space="preserve"> il ne faut pas s’y fier indûment</w:t>
      </w:r>
      <w:r>
        <w:rPr>
          <w:rFonts w:ascii="Arial" w:hAnsi="Arial" w:cs="Arial"/>
          <w:i/>
          <w:iCs/>
          <w:color w:val="242424"/>
          <w:sz w:val="18"/>
          <w:szCs w:val="18"/>
          <w:shd w:val="clear" w:color="auto" w:fill="FFFFFF"/>
        </w:rPr>
        <w:t>. </w:t>
      </w:r>
    </w:p>
    <w:p w14:paraId="588576AD" w14:textId="77777777" w:rsidR="009C1F9B" w:rsidRDefault="009C1F9B" w:rsidP="009C1F9B">
      <w:pPr>
        <w:spacing w:after="0"/>
        <w:rPr>
          <w:rFonts w:ascii="Arial" w:hAnsi="Arial" w:cs="Arial"/>
          <w:i/>
          <w:iCs/>
          <w:color w:val="242424"/>
          <w:sz w:val="18"/>
          <w:szCs w:val="18"/>
          <w:shd w:val="clear" w:color="auto" w:fill="FFFFFF"/>
        </w:rPr>
      </w:pPr>
    </w:p>
    <w:p w14:paraId="1326AA9C" w14:textId="77777777" w:rsidR="009C1F9B" w:rsidRDefault="009C1F9B" w:rsidP="009C1F9B">
      <w:pPr>
        <w:rPr>
          <w:rFonts w:ascii="Arial" w:hAnsi="Arial" w:cs="Arial"/>
          <w:i/>
          <w:iCs/>
          <w:color w:val="242424"/>
          <w:sz w:val="18"/>
          <w:szCs w:val="18"/>
          <w:shd w:val="clear" w:color="auto" w:fill="FFFFFF"/>
        </w:rPr>
      </w:pPr>
      <w:r>
        <w:rPr>
          <w:rFonts w:ascii="Arial" w:hAnsi="Arial" w:cs="Arial"/>
          <w:i/>
          <w:iCs/>
          <w:color w:val="242424"/>
          <w:sz w:val="18"/>
          <w:szCs w:val="18"/>
          <w:shd w:val="clear" w:color="auto" w:fill="FFFFFF"/>
        </w:rPr>
        <w:t xml:space="preserve">Les résultats réels peuvent </w:t>
      </w:r>
      <w:r>
        <w:rPr>
          <w:rFonts w:ascii="Arial" w:hAnsi="Arial" w:cs="Arial"/>
          <w:i/>
          <w:iCs/>
          <w:color w:val="242424"/>
          <w:sz w:val="18"/>
          <w:szCs w:val="18"/>
        </w:rPr>
        <w:t xml:space="preserve">sensiblement </w:t>
      </w:r>
      <w:r>
        <w:rPr>
          <w:rFonts w:ascii="Arial" w:hAnsi="Arial" w:cs="Arial"/>
          <w:i/>
          <w:iCs/>
          <w:color w:val="242424"/>
          <w:sz w:val="18"/>
          <w:szCs w:val="18"/>
          <w:shd w:val="clear" w:color="auto" w:fill="FFFFFF"/>
        </w:rPr>
        <w:t xml:space="preserve">différer de ceux exprimés dans les </w:t>
      </w:r>
      <w:r>
        <w:rPr>
          <w:rFonts w:ascii="Arial" w:hAnsi="Arial" w:cs="Arial"/>
          <w:i/>
          <w:iCs/>
          <w:color w:val="242424"/>
          <w:sz w:val="18"/>
          <w:szCs w:val="18"/>
        </w:rPr>
        <w:t xml:space="preserve">déclarations </w:t>
      </w:r>
      <w:r>
        <w:rPr>
          <w:rFonts w:ascii="Arial" w:hAnsi="Arial" w:cs="Arial"/>
          <w:i/>
          <w:iCs/>
          <w:color w:val="242424"/>
          <w:sz w:val="18"/>
          <w:szCs w:val="18"/>
          <w:shd w:val="clear" w:color="auto" w:fill="FFFFFF"/>
        </w:rPr>
        <w:t>prospecti</w:t>
      </w:r>
      <w:r>
        <w:rPr>
          <w:rFonts w:ascii="Arial" w:hAnsi="Arial" w:cs="Arial"/>
          <w:i/>
          <w:iCs/>
          <w:color w:val="242424"/>
          <w:sz w:val="18"/>
          <w:szCs w:val="18"/>
        </w:rPr>
        <w:t>ve</w:t>
      </w:r>
      <w:r>
        <w:rPr>
          <w:rFonts w:ascii="Arial" w:hAnsi="Arial" w:cs="Arial"/>
          <w:i/>
          <w:iCs/>
          <w:color w:val="242424"/>
          <w:sz w:val="18"/>
          <w:szCs w:val="18"/>
          <w:shd w:val="clear" w:color="auto" w:fill="FFFFFF"/>
        </w:rPr>
        <w:t>s en raison de divers facteurs, notamment : l’impact de la pandémie COVID-19, la capacité de Stellantis à lancer de nouveaux produits avec succès et à maintenir le volume des expéditions de véhicules; l’évolution des marchés financiers mondiaux, l’environnement économique général et l’évolution de la demande de produits automobiles qui sont soumis à un cycle conjoncturel; l’évolution de la situation économique et politique</w:t>
      </w:r>
      <w:r>
        <w:rPr>
          <w:rFonts w:ascii="Arial" w:hAnsi="Arial" w:cs="Arial"/>
          <w:i/>
          <w:iCs/>
          <w:color w:val="242424"/>
          <w:sz w:val="18"/>
          <w:szCs w:val="18"/>
        </w:rPr>
        <w:t>s</w:t>
      </w:r>
      <w:r>
        <w:rPr>
          <w:rFonts w:ascii="Arial" w:hAnsi="Arial" w:cs="Arial"/>
          <w:i/>
          <w:iCs/>
          <w:color w:val="242424"/>
          <w:sz w:val="18"/>
          <w:szCs w:val="18"/>
          <w:shd w:val="clear" w:color="auto" w:fill="FFFFFF"/>
        </w:rPr>
        <w:t xml:space="preserve"> locale</w:t>
      </w:r>
      <w:r>
        <w:rPr>
          <w:rFonts w:ascii="Arial" w:hAnsi="Arial" w:cs="Arial"/>
          <w:i/>
          <w:iCs/>
          <w:color w:val="242424"/>
          <w:sz w:val="18"/>
          <w:szCs w:val="18"/>
        </w:rPr>
        <w:t>s</w:t>
      </w:r>
      <w:r>
        <w:rPr>
          <w:rFonts w:ascii="Arial" w:hAnsi="Arial" w:cs="Arial"/>
          <w:i/>
          <w:iCs/>
          <w:color w:val="242424"/>
          <w:sz w:val="18"/>
          <w:szCs w:val="18"/>
          <w:shd w:val="clear" w:color="auto" w:fill="FFFFFF"/>
        </w:rPr>
        <w:t xml:space="preserve">, l’évolution de la politique commerciale et l’imposition de </w:t>
      </w:r>
      <w:r>
        <w:rPr>
          <w:rFonts w:ascii="Arial" w:hAnsi="Arial" w:cs="Arial"/>
          <w:i/>
          <w:iCs/>
          <w:color w:val="242424"/>
          <w:sz w:val="18"/>
          <w:szCs w:val="18"/>
        </w:rPr>
        <w:t xml:space="preserve">taxes </w:t>
      </w:r>
      <w:r>
        <w:rPr>
          <w:rFonts w:ascii="Arial" w:hAnsi="Arial" w:cs="Arial"/>
          <w:i/>
          <w:iCs/>
          <w:color w:val="242424"/>
          <w:sz w:val="18"/>
          <w:szCs w:val="18"/>
          <w:shd w:val="clear" w:color="auto" w:fill="FFFFFF"/>
        </w:rPr>
        <w:t xml:space="preserve">ou de </w:t>
      </w:r>
      <w:r>
        <w:rPr>
          <w:rFonts w:ascii="Arial" w:hAnsi="Arial" w:cs="Arial"/>
          <w:i/>
          <w:iCs/>
          <w:color w:val="242424"/>
          <w:sz w:val="18"/>
          <w:szCs w:val="18"/>
        </w:rPr>
        <w:t xml:space="preserve">droits de douane </w:t>
      </w:r>
      <w:r>
        <w:rPr>
          <w:rFonts w:ascii="Arial" w:hAnsi="Arial" w:cs="Arial"/>
          <w:i/>
          <w:iCs/>
          <w:color w:val="242424"/>
          <w:sz w:val="18"/>
          <w:szCs w:val="18"/>
          <w:shd w:val="clear" w:color="auto" w:fill="FFFFFF"/>
        </w:rPr>
        <w:t>mondi</w:t>
      </w:r>
      <w:r>
        <w:rPr>
          <w:rFonts w:ascii="Arial" w:hAnsi="Arial" w:cs="Arial"/>
          <w:i/>
          <w:iCs/>
          <w:color w:val="242424"/>
          <w:sz w:val="18"/>
          <w:szCs w:val="18"/>
        </w:rPr>
        <w:t>ales</w:t>
      </w:r>
      <w:r>
        <w:rPr>
          <w:rFonts w:ascii="Arial" w:hAnsi="Arial" w:cs="Arial"/>
          <w:i/>
          <w:iCs/>
          <w:color w:val="242424"/>
          <w:sz w:val="18"/>
          <w:szCs w:val="18"/>
          <w:shd w:val="clear" w:color="auto" w:fill="FFFFFF"/>
        </w:rPr>
        <w:t xml:space="preserve"> et </w:t>
      </w:r>
      <w:r>
        <w:rPr>
          <w:rFonts w:ascii="Arial" w:hAnsi="Arial" w:cs="Arial"/>
          <w:i/>
          <w:iCs/>
          <w:color w:val="242424"/>
          <w:sz w:val="18"/>
          <w:szCs w:val="18"/>
        </w:rPr>
        <w:t xml:space="preserve">régionales applicables </w:t>
      </w:r>
      <w:r>
        <w:rPr>
          <w:rFonts w:ascii="Arial" w:hAnsi="Arial" w:cs="Arial"/>
          <w:i/>
          <w:iCs/>
          <w:color w:val="242424"/>
          <w:sz w:val="18"/>
          <w:szCs w:val="18"/>
          <w:shd w:val="clear" w:color="auto" w:fill="FFFFFF"/>
        </w:rPr>
        <w:t xml:space="preserve">à l’industrie automobile, l’adoption de réformes fiscales ou d’autres modifications des lois et règlements fiscaux; la capacité de Stellantis’ à élargir certaines de leurs marques à l’échelle mondiale; sa capacité à offrir des produits innovants et attrayants; sa capacité à développer, fabriquer et vendre des véhicules dotés de caractéristiques avancées, notamment </w:t>
      </w:r>
      <w:r>
        <w:rPr>
          <w:rFonts w:ascii="Arial" w:hAnsi="Arial" w:cs="Arial"/>
          <w:i/>
          <w:iCs/>
          <w:color w:val="242424"/>
          <w:sz w:val="18"/>
          <w:szCs w:val="18"/>
        </w:rPr>
        <w:t>l’amélioration de l’</w:t>
      </w:r>
      <w:r>
        <w:rPr>
          <w:rFonts w:ascii="Arial" w:hAnsi="Arial" w:cs="Arial"/>
          <w:i/>
          <w:iCs/>
          <w:color w:val="242424"/>
          <w:sz w:val="18"/>
          <w:szCs w:val="18"/>
          <w:shd w:val="clear" w:color="auto" w:fill="FFFFFF"/>
        </w:rPr>
        <w:t xml:space="preserve">électrification, </w:t>
      </w:r>
      <w:r>
        <w:rPr>
          <w:rFonts w:ascii="Arial" w:hAnsi="Arial" w:cs="Arial"/>
          <w:i/>
          <w:iCs/>
          <w:color w:val="242424"/>
          <w:sz w:val="18"/>
          <w:szCs w:val="18"/>
        </w:rPr>
        <w:t xml:space="preserve">de la </w:t>
      </w:r>
      <w:r>
        <w:rPr>
          <w:rFonts w:ascii="Arial" w:hAnsi="Arial" w:cs="Arial"/>
          <w:i/>
          <w:iCs/>
          <w:color w:val="242424"/>
          <w:sz w:val="18"/>
          <w:szCs w:val="18"/>
          <w:shd w:val="clear" w:color="auto" w:fill="FFFFFF"/>
        </w:rPr>
        <w:t xml:space="preserve">connectivité et des caractéristiques de conduite autonome; </w:t>
      </w:r>
      <w:r>
        <w:rPr>
          <w:rFonts w:ascii="Arial" w:hAnsi="Arial" w:cs="Arial"/>
          <w:i/>
          <w:iCs/>
          <w:color w:val="242424"/>
          <w:sz w:val="18"/>
          <w:szCs w:val="18"/>
        </w:rPr>
        <w:t xml:space="preserve">tous </w:t>
      </w:r>
      <w:r>
        <w:rPr>
          <w:rFonts w:ascii="Arial" w:hAnsi="Arial" w:cs="Arial"/>
          <w:i/>
          <w:iCs/>
          <w:color w:val="242424"/>
          <w:sz w:val="18"/>
          <w:szCs w:val="18"/>
          <w:shd w:val="clear" w:color="auto" w:fill="FFFFFF"/>
        </w:rPr>
        <w:t xml:space="preserve">types </w:t>
      </w:r>
      <w:r>
        <w:rPr>
          <w:rFonts w:ascii="Arial" w:hAnsi="Arial" w:cs="Arial"/>
          <w:i/>
          <w:iCs/>
          <w:color w:val="242424"/>
          <w:sz w:val="18"/>
          <w:szCs w:val="18"/>
        </w:rPr>
        <w:t xml:space="preserve">d’actions, </w:t>
      </w:r>
      <w:r>
        <w:rPr>
          <w:rFonts w:ascii="Arial" w:hAnsi="Arial" w:cs="Arial"/>
          <w:i/>
          <w:iCs/>
          <w:color w:val="242424"/>
          <w:sz w:val="18"/>
          <w:szCs w:val="18"/>
          <w:shd w:val="clear" w:color="auto" w:fill="FFFFFF"/>
        </w:rPr>
        <w:t xml:space="preserve">de réclamations, de poursuites judiciaires, d’enquêtes gouvernementales et d’autres </w:t>
      </w:r>
      <w:r>
        <w:rPr>
          <w:rFonts w:ascii="Arial" w:hAnsi="Arial" w:cs="Arial"/>
          <w:i/>
          <w:iCs/>
          <w:color w:val="242424"/>
          <w:sz w:val="18"/>
          <w:szCs w:val="18"/>
        </w:rPr>
        <w:t xml:space="preserve">évènements </w:t>
      </w:r>
      <w:r>
        <w:rPr>
          <w:rFonts w:ascii="Arial" w:hAnsi="Arial" w:cs="Arial"/>
          <w:i/>
          <w:iCs/>
          <w:color w:val="242424"/>
          <w:sz w:val="18"/>
          <w:szCs w:val="18"/>
          <w:shd w:val="clear" w:color="auto" w:fill="FFFFFF"/>
        </w:rPr>
        <w:t xml:space="preserve">imprévus, y compris </w:t>
      </w:r>
      <w:r>
        <w:rPr>
          <w:rFonts w:ascii="Arial" w:hAnsi="Arial" w:cs="Arial"/>
          <w:i/>
          <w:iCs/>
          <w:color w:val="242424"/>
          <w:sz w:val="18"/>
          <w:szCs w:val="18"/>
        </w:rPr>
        <w:t xml:space="preserve">toutes </w:t>
      </w:r>
      <w:r>
        <w:rPr>
          <w:rFonts w:ascii="Arial" w:hAnsi="Arial" w:cs="Arial"/>
          <w:i/>
          <w:iCs/>
          <w:color w:val="242424"/>
          <w:sz w:val="18"/>
          <w:szCs w:val="18"/>
          <w:shd w:val="clear" w:color="auto" w:fill="FFFFFF"/>
        </w:rPr>
        <w:t xml:space="preserve">réclamations relatives à la responsabilité </w:t>
      </w:r>
      <w:r>
        <w:rPr>
          <w:rFonts w:ascii="Arial" w:hAnsi="Arial" w:cs="Arial"/>
          <w:i/>
          <w:iCs/>
          <w:color w:val="242424"/>
          <w:sz w:val="18"/>
          <w:szCs w:val="18"/>
        </w:rPr>
        <w:t xml:space="preserve">du fait des produits défectueux </w:t>
      </w:r>
      <w:r>
        <w:rPr>
          <w:rFonts w:ascii="Arial" w:hAnsi="Arial" w:cs="Arial"/>
          <w:i/>
          <w:iCs/>
          <w:color w:val="242424"/>
          <w:sz w:val="18"/>
          <w:szCs w:val="18"/>
          <w:shd w:val="clear" w:color="auto" w:fill="FFFFFF"/>
        </w:rPr>
        <w:t>et à la garantie des produits et les réclamations relatives à l’environnement, les enquêtes et les poursuites</w:t>
      </w:r>
      <w:r>
        <w:rPr>
          <w:rFonts w:ascii="Arial" w:hAnsi="Arial" w:cs="Arial"/>
          <w:i/>
          <w:iCs/>
          <w:color w:val="242424"/>
          <w:sz w:val="18"/>
          <w:szCs w:val="18"/>
        </w:rPr>
        <w:t xml:space="preserve"> judiciaires</w:t>
      </w:r>
      <w:r>
        <w:rPr>
          <w:rFonts w:ascii="Arial" w:hAnsi="Arial" w:cs="Arial"/>
          <w:i/>
          <w:iCs/>
          <w:color w:val="242424"/>
          <w:sz w:val="18"/>
          <w:szCs w:val="18"/>
          <w:shd w:val="clear" w:color="auto" w:fill="FFFFFF"/>
        </w:rPr>
        <w:t xml:space="preserve">; les dépenses significatives d’exploitation en ce qui concerne le respect des règlements en matière d’environnement, de santé et de sécurité; l’intensité de la concurrence dans l’industrie automobile, qui peut augmenter en raison de la consolidation; l’exposition à des </w:t>
      </w:r>
      <w:r>
        <w:rPr>
          <w:rFonts w:ascii="Arial" w:hAnsi="Arial" w:cs="Arial"/>
          <w:i/>
          <w:iCs/>
          <w:color w:val="242424"/>
          <w:sz w:val="18"/>
          <w:szCs w:val="18"/>
        </w:rPr>
        <w:t xml:space="preserve">déficits </w:t>
      </w:r>
      <w:r>
        <w:rPr>
          <w:rFonts w:ascii="Arial" w:hAnsi="Arial" w:cs="Arial"/>
          <w:i/>
          <w:iCs/>
          <w:color w:val="242424"/>
          <w:sz w:val="18"/>
          <w:szCs w:val="18"/>
          <w:shd w:val="clear" w:color="auto" w:fill="FFFFFF"/>
        </w:rPr>
        <w:t xml:space="preserve">dans le financement des régimes de retraite à prestations définies de Stellantis; la capacité de fournir ou d’organiser l’accès à un financement adéquat pour les concessionnaires et les </w:t>
      </w:r>
      <w:r>
        <w:rPr>
          <w:rFonts w:ascii="Arial" w:hAnsi="Arial" w:cs="Arial"/>
          <w:i/>
          <w:iCs/>
          <w:color w:val="242424"/>
          <w:sz w:val="18"/>
          <w:szCs w:val="18"/>
        </w:rPr>
        <w:t>consommateurs</w:t>
      </w:r>
      <w:r>
        <w:rPr>
          <w:rFonts w:ascii="Arial" w:hAnsi="Arial" w:cs="Arial"/>
          <w:i/>
          <w:iCs/>
          <w:color w:val="242424"/>
          <w:sz w:val="18"/>
          <w:szCs w:val="18"/>
          <w:shd w:val="clear" w:color="auto" w:fill="FFFFFF"/>
        </w:rPr>
        <w:t xml:space="preserve"> et les risques associés à la création et </w:t>
      </w:r>
      <w:r>
        <w:rPr>
          <w:rFonts w:ascii="Arial" w:hAnsi="Arial" w:cs="Arial"/>
          <w:i/>
          <w:iCs/>
          <w:color w:val="242424"/>
          <w:sz w:val="18"/>
          <w:szCs w:val="18"/>
        </w:rPr>
        <w:t>exploitation</w:t>
      </w:r>
      <w:r>
        <w:rPr>
          <w:rFonts w:ascii="Arial" w:hAnsi="Arial" w:cs="Arial"/>
          <w:i/>
          <w:iCs/>
          <w:color w:val="242424"/>
          <w:sz w:val="18"/>
          <w:szCs w:val="18"/>
          <w:shd w:val="clear" w:color="auto" w:fill="FFFFFF"/>
        </w:rPr>
        <w:t xml:space="preserve"> de sociétés de services financiers; la possibilité d’obtenir des financements pour </w:t>
      </w:r>
      <w:r>
        <w:rPr>
          <w:rFonts w:ascii="Arial" w:hAnsi="Arial" w:cs="Arial"/>
          <w:i/>
          <w:iCs/>
          <w:color w:val="242424"/>
          <w:sz w:val="18"/>
          <w:szCs w:val="18"/>
        </w:rPr>
        <w:t>réaliser les stratégies commerciales</w:t>
      </w:r>
      <w:r>
        <w:rPr>
          <w:rFonts w:ascii="Arial" w:hAnsi="Arial" w:cs="Arial"/>
          <w:i/>
          <w:iCs/>
          <w:color w:val="242424"/>
          <w:sz w:val="18"/>
          <w:szCs w:val="18"/>
          <w:shd w:val="clear" w:color="auto" w:fill="FFFFFF"/>
        </w:rPr>
        <w:t xml:space="preserve"> de Stellantis et améliorer ses activités, sa situation financière et ses résultats; un dysfonctionnement</w:t>
      </w:r>
      <w:r>
        <w:rPr>
          <w:rFonts w:ascii="Arial" w:hAnsi="Arial" w:cs="Arial"/>
          <w:i/>
          <w:iCs/>
          <w:color w:val="242424"/>
          <w:sz w:val="18"/>
          <w:szCs w:val="18"/>
        </w:rPr>
        <w:t xml:space="preserve"> majeur</w:t>
      </w:r>
      <w:r>
        <w:rPr>
          <w:rFonts w:ascii="Arial" w:hAnsi="Arial" w:cs="Arial"/>
          <w:i/>
          <w:iCs/>
          <w:color w:val="242424"/>
          <w:sz w:val="18"/>
          <w:szCs w:val="18"/>
          <w:shd w:val="clear" w:color="auto" w:fill="FFFFFF"/>
        </w:rPr>
        <w:t xml:space="preserve">, une perturbation ou une atteinte à la sécurité </w:t>
      </w:r>
      <w:r>
        <w:rPr>
          <w:rFonts w:ascii="Arial" w:hAnsi="Arial" w:cs="Arial"/>
          <w:i/>
          <w:iCs/>
          <w:color w:val="242424"/>
          <w:sz w:val="18"/>
          <w:szCs w:val="18"/>
        </w:rPr>
        <w:t xml:space="preserve">majeure </w:t>
      </w:r>
      <w:r>
        <w:rPr>
          <w:rFonts w:ascii="Arial" w:hAnsi="Arial" w:cs="Arial"/>
          <w:i/>
          <w:iCs/>
          <w:color w:val="242424"/>
          <w:sz w:val="18"/>
          <w:szCs w:val="18"/>
          <w:shd w:val="clear" w:color="auto" w:fill="FFFFFF"/>
        </w:rPr>
        <w:t xml:space="preserve">affectant les systèmes de technologie de l’information ou les systèmes de contrôle électronique </w:t>
      </w:r>
      <w:r>
        <w:rPr>
          <w:rFonts w:ascii="Arial" w:hAnsi="Arial" w:cs="Arial"/>
          <w:i/>
          <w:iCs/>
          <w:color w:val="242424"/>
          <w:sz w:val="18"/>
          <w:szCs w:val="18"/>
        </w:rPr>
        <w:t xml:space="preserve">embarqués </w:t>
      </w:r>
      <w:r>
        <w:rPr>
          <w:rFonts w:ascii="Arial" w:hAnsi="Arial" w:cs="Arial"/>
          <w:i/>
          <w:iCs/>
          <w:color w:val="242424"/>
          <w:sz w:val="18"/>
          <w:szCs w:val="18"/>
          <w:shd w:val="clear" w:color="auto" w:fill="FFFFFF"/>
        </w:rPr>
        <w:t xml:space="preserve">dans les véhicules de Stellantis; la capacité de Stellantis à exploiter les avantages escomptés des ententes de co-entreprise; les perturbations résultant de l’instabilité politique, sociale et économique; les risques associés à nos relations avec les employés, les concessionnaires et les fournisseurs; l’augmentation des coûts, l’interruption de l’approvisionnement ou la pénurie de matières premières, de pièces, de composants et de systèmes utilisés dans les véhicules de Stellantis; l’évolution </w:t>
      </w:r>
      <w:r>
        <w:rPr>
          <w:rFonts w:ascii="Arial" w:hAnsi="Arial" w:cs="Arial"/>
          <w:i/>
          <w:iCs/>
          <w:color w:val="242424"/>
          <w:sz w:val="18"/>
          <w:szCs w:val="18"/>
        </w:rPr>
        <w:t>du marché</w:t>
      </w:r>
      <w:r>
        <w:rPr>
          <w:rFonts w:ascii="Arial" w:hAnsi="Arial" w:cs="Arial"/>
          <w:i/>
          <w:iCs/>
          <w:color w:val="242424"/>
          <w:sz w:val="18"/>
          <w:szCs w:val="18"/>
          <w:shd w:val="clear" w:color="auto" w:fill="FFFFFF"/>
        </w:rPr>
        <w:t xml:space="preserve"> du travail</w:t>
      </w:r>
      <w:r>
        <w:rPr>
          <w:rFonts w:ascii="Arial" w:hAnsi="Arial" w:cs="Arial"/>
          <w:i/>
          <w:iCs/>
          <w:color w:val="242424"/>
          <w:sz w:val="18"/>
          <w:szCs w:val="18"/>
        </w:rPr>
        <w:t xml:space="preserve"> et des conditions de travail </w:t>
      </w:r>
      <w:r>
        <w:rPr>
          <w:rFonts w:ascii="Arial" w:hAnsi="Arial" w:cs="Arial"/>
          <w:i/>
          <w:iCs/>
          <w:color w:val="242424"/>
          <w:sz w:val="18"/>
          <w:szCs w:val="18"/>
          <w:shd w:val="clear" w:color="auto" w:fill="FFFFFF"/>
        </w:rPr>
        <w:t xml:space="preserve">et l’évolution du droit du travail applicable; fluctuations des taux de change, variations des taux d’intérêt, risque de crédit et autres risques </w:t>
      </w:r>
      <w:r>
        <w:rPr>
          <w:rFonts w:ascii="Arial" w:hAnsi="Arial" w:cs="Arial"/>
          <w:i/>
          <w:iCs/>
          <w:color w:val="242424"/>
          <w:sz w:val="18"/>
          <w:szCs w:val="18"/>
        </w:rPr>
        <w:t xml:space="preserve">de </w:t>
      </w:r>
      <w:r>
        <w:rPr>
          <w:rFonts w:ascii="Arial" w:hAnsi="Arial" w:cs="Arial"/>
          <w:i/>
          <w:iCs/>
          <w:color w:val="242424"/>
          <w:sz w:val="18"/>
          <w:szCs w:val="18"/>
          <w:shd w:val="clear" w:color="auto" w:fill="FFFFFF"/>
        </w:rPr>
        <w:t xml:space="preserve">marché; troubles politiques et civils; tremblements de terre ou </w:t>
      </w:r>
      <w:r>
        <w:rPr>
          <w:rFonts w:ascii="Arial" w:hAnsi="Arial" w:cs="Arial"/>
          <w:i/>
          <w:iCs/>
          <w:color w:val="242424"/>
          <w:sz w:val="18"/>
          <w:szCs w:val="18"/>
        </w:rPr>
        <w:t xml:space="preserve">toute </w:t>
      </w:r>
      <w:r>
        <w:rPr>
          <w:rFonts w:ascii="Arial" w:hAnsi="Arial" w:cs="Arial"/>
          <w:i/>
          <w:iCs/>
          <w:color w:val="242424"/>
          <w:sz w:val="18"/>
          <w:szCs w:val="18"/>
          <w:shd w:val="clear" w:color="auto" w:fill="FFFFFF"/>
        </w:rPr>
        <w:t>autre catastrophe; et autres risques et incertitudes.</w:t>
      </w:r>
    </w:p>
    <w:p w14:paraId="4D6BDB64" w14:textId="77777777" w:rsidR="009C1F9B" w:rsidRDefault="009C1F9B" w:rsidP="009C1F9B">
      <w:pPr>
        <w:spacing w:after="0"/>
        <w:rPr>
          <w:rFonts w:ascii="Arial" w:hAnsi="Arial" w:cs="Arial"/>
          <w:i/>
          <w:iCs/>
          <w:color w:val="242424"/>
          <w:sz w:val="18"/>
          <w:szCs w:val="18"/>
          <w:shd w:val="clear" w:color="auto" w:fill="FFFFFF"/>
        </w:rPr>
      </w:pPr>
      <w:r>
        <w:rPr>
          <w:rFonts w:ascii="Arial" w:hAnsi="Arial" w:cs="Arial"/>
          <w:i/>
          <w:iCs/>
          <w:color w:val="242424"/>
          <w:sz w:val="18"/>
          <w:szCs w:val="18"/>
          <w:shd w:val="clear" w:color="auto" w:fill="FFFFFF"/>
        </w:rPr>
        <w:t xml:space="preserve">Toutes les déclarations prospectives contenues dans la présente communication ne sont valables qu’à la date du présent document et Stellantis rejette toute obligation de mettre à jour ou de réviser les déclarations prospectives. De plus amples renseignements sur Stellantis et ses entreprises, y compris les facteurs qui pourraient avoir une incidence importante sur les résultats financiers de Stellantis, sont inclus dans les rapports et les </w:t>
      </w:r>
      <w:r>
        <w:rPr>
          <w:rFonts w:ascii="Arial" w:hAnsi="Arial" w:cs="Arial"/>
          <w:i/>
          <w:iCs/>
          <w:color w:val="242424"/>
          <w:sz w:val="18"/>
          <w:szCs w:val="18"/>
        </w:rPr>
        <w:t xml:space="preserve">documents </w:t>
      </w:r>
      <w:r>
        <w:rPr>
          <w:rFonts w:ascii="Arial" w:hAnsi="Arial" w:cs="Arial"/>
          <w:i/>
          <w:iCs/>
          <w:color w:val="242424"/>
          <w:sz w:val="18"/>
          <w:szCs w:val="18"/>
          <w:shd w:val="clear" w:color="auto" w:fill="FFFFFF"/>
        </w:rPr>
        <w:t>de Stellantis</w:t>
      </w:r>
      <w:r>
        <w:rPr>
          <w:rFonts w:ascii="Arial" w:hAnsi="Arial" w:cs="Arial"/>
          <w:i/>
          <w:iCs/>
          <w:color w:val="242424"/>
          <w:sz w:val="18"/>
          <w:szCs w:val="18"/>
        </w:rPr>
        <w:t xml:space="preserve"> déposés</w:t>
      </w:r>
      <w:r>
        <w:rPr>
          <w:rFonts w:ascii="Arial" w:hAnsi="Arial" w:cs="Arial"/>
          <w:i/>
          <w:iCs/>
          <w:color w:val="242424"/>
          <w:sz w:val="18"/>
          <w:szCs w:val="18"/>
          <w:shd w:val="clear" w:color="auto" w:fill="FFFFFF"/>
        </w:rPr>
        <w:t xml:space="preserve"> auprès de la Securities and Exchange Commission des États-Unis (SEC) et</w:t>
      </w:r>
      <w:r>
        <w:rPr>
          <w:rFonts w:ascii="Arial" w:hAnsi="Arial" w:cs="Arial"/>
          <w:i/>
          <w:iCs/>
          <w:color w:val="242424"/>
          <w:sz w:val="18"/>
          <w:szCs w:val="18"/>
        </w:rPr>
        <w:t xml:space="preserve"> de l’autorité des marchés financiers Néerlandaise (</w:t>
      </w:r>
      <w:r>
        <w:rPr>
          <w:rFonts w:ascii="Arial" w:hAnsi="Arial" w:cs="Arial"/>
          <w:i/>
          <w:iCs/>
          <w:color w:val="242424"/>
          <w:sz w:val="18"/>
          <w:szCs w:val="18"/>
          <w:shd w:val="clear" w:color="auto" w:fill="FFFFFF"/>
        </w:rPr>
        <w:t>AFM).</w:t>
      </w:r>
    </w:p>
    <w:p w14:paraId="45E9052F" w14:textId="77777777" w:rsidR="00D814DF" w:rsidRPr="009C1F9B" w:rsidRDefault="00D814DF">
      <w:pPr>
        <w:spacing w:after="0"/>
        <w:jc w:val="left"/>
      </w:pPr>
    </w:p>
    <w:sectPr w:rsidR="00D814DF" w:rsidRPr="009C1F9B" w:rsidSect="005D2EA9">
      <w:footerReference w:type="default" r:id="rId20"/>
      <w:headerReference w:type="first" r:id="rId21"/>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7A73E" w14:textId="77777777" w:rsidR="00275228" w:rsidRDefault="00275228" w:rsidP="008D3E4C">
      <w:r>
        <w:separator/>
      </w:r>
    </w:p>
  </w:endnote>
  <w:endnote w:type="continuationSeparator" w:id="0">
    <w:p w14:paraId="089372F7" w14:textId="77777777" w:rsidR="00275228" w:rsidRDefault="00275228" w:rsidP="008D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Light">
    <w:panose1 w:val="00000000000000000000"/>
    <w:charset w:val="00"/>
    <w:family w:val="auto"/>
    <w:pitch w:val="variable"/>
    <w:sig w:usb0="A00000FF" w:usb1="4000207B" w:usb2="00000000" w:usb3="00000000" w:csb0="00000193" w:csb1="00000000"/>
    <w:embedRegular r:id="rId1" w:fontKey="{8613020E-97AC-4916-94E8-17147FE04638}"/>
    <w:embedBold r:id="rId2" w:fontKey="{1BCEDFDA-B0DD-43F0-A230-1C9668070AA6}"/>
    <w:embedItalic r:id="rId3" w:fontKey="{D1B81760-7D2C-460F-A391-CD5976A6E7D8}"/>
    <w:embedBoldItalic r:id="rId4" w:fontKey="{E5725B29-BF7F-4616-BB50-3FAD25CFCB9F}"/>
  </w:font>
  <w:font w:name="Encode Sans ExpandedSemiBold">
    <w:panose1 w:val="00000000000000000000"/>
    <w:charset w:val="00"/>
    <w:family w:val="auto"/>
    <w:pitch w:val="variable"/>
    <w:sig w:usb0="A00000FF" w:usb1="4000207B" w:usb2="00000000" w:usb3="00000000" w:csb0="00000193" w:csb1="00000000"/>
    <w:embedRegular r:id="rId5" w:fontKey="{941F928B-333B-4F4C-99D2-A9964A78D864}"/>
    <w:embedItalic r:id="rId6" w:fontKey="{15E29197-193C-41CF-8C00-68358B25A2AE}"/>
  </w:font>
  <w:font w:name="Segoe UI">
    <w:panose1 w:val="020B0502040204020203"/>
    <w:charset w:val="00"/>
    <w:family w:val="swiss"/>
    <w:pitch w:val="variable"/>
    <w:sig w:usb0="E4002EFF" w:usb1="C000E47F" w:usb2="00000009" w:usb3="00000000" w:csb0="000001FF" w:csb1="00000000"/>
  </w:font>
  <w:font w:name="Encode Sans">
    <w:altName w:val="Times New Roman"/>
    <w:panose1 w:val="00000000000000000000"/>
    <w:charset w:val="00"/>
    <w:family w:val="auto"/>
    <w:pitch w:val="variable"/>
    <w:sig w:usb0="A00000FF" w:usb1="4000207B" w:usb2="00000000" w:usb3="00000000" w:csb0="00000193" w:csb1="00000000"/>
  </w:font>
  <w:font w:name="Cambria">
    <w:panose1 w:val="02040503050406030204"/>
    <w:charset w:val="00"/>
    <w:family w:val="roman"/>
    <w:pitch w:val="variable"/>
    <w:sig w:usb0="E00006FF" w:usb1="420024FF" w:usb2="02000000" w:usb3="00000000" w:csb0="0000019F" w:csb1="00000000"/>
    <w:embedRegular r:id="rId7" w:subsetted="1" w:fontKey="{0D360F8B-CF4C-4DA5-9B20-FDD85D4D6142}"/>
  </w:font>
  <w:font w:name="Arial">
    <w:panose1 w:val="020B0604020202020204"/>
    <w:charset w:val="00"/>
    <w:family w:val="swiss"/>
    <w:pitch w:val="variable"/>
    <w:sig w:usb0="E0002EFF" w:usb1="C000785B" w:usb2="00000009" w:usb3="00000000" w:csb0="000001FF" w:csb1="00000000"/>
    <w:embedItalic r:id="rId8" w:fontKey="{0EA20059-F039-4990-AEA3-CCE673C1FED2}"/>
    <w:embedBoldItalic r:id="rId9" w:fontKey="{01CC3C21-265D-40AA-9391-2FE9EDB22A75}"/>
  </w:font>
  <w:font w:name="Yu Mincho">
    <w:charset w:val="80"/>
    <w:family w:val="roman"/>
    <w:pitch w:val="variable"/>
    <w:sig w:usb0="800002E7" w:usb1="2AC7FCFF" w:usb2="00000012" w:usb3="00000000" w:csb0="0002009F" w:csb1="00000000"/>
  </w:font>
  <w:font w:name="Encode Sans Expanded">
    <w:altName w:val="Calibri"/>
    <w:charset w:val="00"/>
    <w:family w:val="auto"/>
    <w:pitch w:val="variable"/>
    <w:sig w:usb0="A00000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3409B" w14:textId="77777777" w:rsidR="00992BE1" w:rsidRPr="008D3E4C" w:rsidRDefault="00992BE1" w:rsidP="008D3E4C">
    <w:pPr>
      <w:pStyle w:val="Pagination"/>
    </w:pPr>
    <w:r>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B33933">
      <w:rPr>
        <w:rStyle w:val="PageNumber"/>
        <w:noProof/>
      </w:rPr>
      <w:t>2</w:t>
    </w:r>
    <w:r w:rsidRPr="008D3E4C">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85E83" w14:textId="77777777" w:rsidR="00275228" w:rsidRDefault="00275228" w:rsidP="008D3E4C">
      <w:r>
        <w:separator/>
      </w:r>
    </w:p>
  </w:footnote>
  <w:footnote w:type="continuationSeparator" w:id="0">
    <w:p w14:paraId="6294F50D" w14:textId="77777777" w:rsidR="00275228" w:rsidRDefault="00275228" w:rsidP="008D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10B8F" w14:textId="77777777" w:rsidR="005F2120" w:rsidRDefault="00A33E8D" w:rsidP="008D3E4C">
    <w:pPr>
      <w:pStyle w:val="Header"/>
    </w:pPr>
    <w:r>
      <w:rPr>
        <w:noProof/>
        <w:lang w:val="en-US"/>
      </w:rPr>
      <mc:AlternateContent>
        <mc:Choice Requires="wpg">
          <w:drawing>
            <wp:anchor distT="0" distB="0" distL="114300" distR="114300" simplePos="0" relativeHeight="251660288" behindDoc="1" locked="1" layoutInCell="1" allowOverlap="1" wp14:anchorId="231B93D9" wp14:editId="0DDAC1E5">
              <wp:simplePos x="0" y="0"/>
              <wp:positionH relativeFrom="page">
                <wp:posOffset>429260</wp:posOffset>
              </wp:positionH>
              <wp:positionV relativeFrom="page">
                <wp:posOffset>-7620</wp:posOffset>
              </wp:positionV>
              <wp:extent cx="269875" cy="2576195"/>
              <wp:effectExtent l="0" t="0" r="0" b="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576195"/>
                        <a:chOff x="0" y="-145349"/>
                        <a:chExt cx="315912" cy="2891724"/>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145349"/>
                          <a:ext cx="315912" cy="2785362"/>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AD05F7" w14:textId="77777777" w:rsidR="00A33E8D" w:rsidRPr="00150AD4" w:rsidRDefault="00A33E8D" w:rsidP="008D3E4C">
                            <w:pPr>
                              <w:pStyle w:val="SPRESSRELEASESTRIP"/>
                            </w:pPr>
                            <w:r w:rsidRPr="00937090">
                              <w:rPr>
                                <w:rFonts w:ascii="Encode Sans ExpandedLight" w:hAnsi="Encode Sans ExpandedLight"/>
                                <w:color w:val="FFFFFF" w:themeColor="background1"/>
                                <w:sz w:val="24"/>
                                <w:szCs w:val="24"/>
                              </w:rPr>
                              <w:t xml:space="preserve">COMMUNIQUÉ DE </w:t>
                            </w:r>
                            <w:r>
                              <w:t>PRESSE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31B93D9" id="Groupe 29" o:spid="_x0000_s1026" style="position:absolute;margin-left:33.8pt;margin-top:-.6pt;width:21.25pt;height:202.85pt;z-index:-251656192;mso-position-horizontal-relative:page;mso-position-vertical-relative:page;mso-width-relative:margin;mso-height-relative:margin" coordorigin=",-1453" coordsize="3159,28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1453;width:3159;height:27853;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61453;0,2761453;0,2761453;23401,2785362;46802,2761453;46802,2761453;50702,2761453;70203,2741529;89703,2761453;89703,2761453;89703,2761453;113104,2785362;136505,2761453;136505,2761453;136505,2761453;159906,2741529;179407,2761453;179407,2761453;179407,2761453;179407,2761453;179407,2761453;202808,2785362;226209,2761453;226209,2761453;226209,2761453;245709,2741529;269110,2761453;269110,2761453;269110,2761453;292511,2785362;315912,2761453;315912,2761453;315912,2761453;315912,0" o:connectangles="0,0,0,0,0,0,0,0,0,0,0,0,0,0,0,0,0,0,0,0,0,0,0,0,0,0,0,0,0,0,0,0,0,0,0,0" textboxrect="0,0,81,699"/>
                <v:textbox style="layout-flow:vertical;mso-layout-flow-alt:bottom-to-top" inset=".7mm,0,1mm,5mm">
                  <w:txbxContent>
                    <w:p w14:paraId="62AD05F7" w14:textId="77777777" w:rsidR="00A33E8D" w:rsidRPr="00150AD4" w:rsidRDefault="00A33E8D" w:rsidP="008D3E4C">
                      <w:pPr>
                        <w:pStyle w:val="SPRESSRELEASESTRIP"/>
                      </w:pPr>
                      <w:r w:rsidRPr="00937090">
                        <w:rPr>
                          <w:rFonts w:ascii="Encode Sans ExpandedLight" w:hAnsi="Encode Sans ExpandedLight"/>
                          <w:color w:val="FFFFFF" w:themeColor="background1"/>
                          <w:sz w:val="24"/>
                          <w:szCs w:val="24"/>
                        </w:rPr>
                        <w:t xml:space="preserve">COMMUNIQUÉ DE </w:t>
                      </w:r>
                      <w:r>
                        <w:t>PRESSE</w:t>
                      </w:r>
                    </w:p>
                  </w:txbxContent>
                </v:textbox>
              </v:shape>
              <w10:wrap anchorx="page" anchory="page"/>
              <w10:anchorlock/>
            </v:group>
          </w:pict>
        </mc:Fallback>
      </mc:AlternateContent>
    </w:r>
    <w:r>
      <w:rPr>
        <w:noProof/>
        <w:lang w:val="en-US"/>
      </w:rPr>
      <w:drawing>
        <wp:inline distT="0" distB="0" distL="0" distR="0" wp14:anchorId="4DE31EC1" wp14:editId="1D1FA942">
          <wp:extent cx="2317210" cy="718820"/>
          <wp:effectExtent l="0" t="0" r="6985" b="508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472987"/>
    <w:multiLevelType w:val="hybridMultilevel"/>
    <w:tmpl w:val="42AAF0A8"/>
    <w:lvl w:ilvl="0" w:tplc="0F487AF8">
      <w:start w:val="1"/>
      <w:numFmt w:val="bullet"/>
      <w:lvlText w:val=""/>
      <w:lvlJc w:val="left"/>
      <w:pPr>
        <w:ind w:left="927" w:hanging="360"/>
      </w:pPr>
      <w:rPr>
        <w:rFonts w:ascii="Symbol" w:hAnsi="Symbol" w:hint="default"/>
        <w:lang w:val="en-G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1A1E19D1"/>
    <w:multiLevelType w:val="multilevel"/>
    <w:tmpl w:val="54F6B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F960835"/>
    <w:multiLevelType w:val="multilevel"/>
    <w:tmpl w:val="193A4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1487B36"/>
    <w:multiLevelType w:val="hybridMultilevel"/>
    <w:tmpl w:val="44062F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33D74AB"/>
    <w:multiLevelType w:val="hybridMultilevel"/>
    <w:tmpl w:val="1F263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31D554F"/>
    <w:multiLevelType w:val="hybridMultilevel"/>
    <w:tmpl w:val="203641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3532916"/>
    <w:multiLevelType w:val="multilevel"/>
    <w:tmpl w:val="C8BC7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4C1013E"/>
    <w:multiLevelType w:val="hybridMultilevel"/>
    <w:tmpl w:val="9530C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6"/>
  </w:num>
  <w:num w:numId="12">
    <w:abstractNumId w:val="17"/>
  </w:num>
  <w:num w:numId="13">
    <w:abstractNumId w:val="11"/>
  </w:num>
  <w:num w:numId="14">
    <w:abstractNumId w:val="12"/>
  </w:num>
  <w:num w:numId="15">
    <w:abstractNumId w:val="10"/>
  </w:num>
  <w:num w:numId="16">
    <w:abstractNumId w:val="13"/>
  </w:num>
  <w:num w:numId="17">
    <w:abstractNumId w:val="15"/>
  </w:num>
  <w:num w:numId="18">
    <w:abstractNumId w:val="14"/>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9E7"/>
    <w:rsid w:val="0001260F"/>
    <w:rsid w:val="000312C1"/>
    <w:rsid w:val="000430C1"/>
    <w:rsid w:val="00077AF5"/>
    <w:rsid w:val="00087566"/>
    <w:rsid w:val="00090BFB"/>
    <w:rsid w:val="00097969"/>
    <w:rsid w:val="000B646F"/>
    <w:rsid w:val="000D3E71"/>
    <w:rsid w:val="000F0375"/>
    <w:rsid w:val="000F2FE8"/>
    <w:rsid w:val="00125947"/>
    <w:rsid w:val="00126E5A"/>
    <w:rsid w:val="00140A24"/>
    <w:rsid w:val="001454F8"/>
    <w:rsid w:val="00150AD4"/>
    <w:rsid w:val="001526F6"/>
    <w:rsid w:val="0015732F"/>
    <w:rsid w:val="00157F67"/>
    <w:rsid w:val="0016315D"/>
    <w:rsid w:val="00163432"/>
    <w:rsid w:val="00195373"/>
    <w:rsid w:val="00195CBD"/>
    <w:rsid w:val="001B0085"/>
    <w:rsid w:val="001B3D00"/>
    <w:rsid w:val="001B591C"/>
    <w:rsid w:val="001C0FF2"/>
    <w:rsid w:val="001D168B"/>
    <w:rsid w:val="001E5F48"/>
    <w:rsid w:val="001E6C1E"/>
    <w:rsid w:val="001F4703"/>
    <w:rsid w:val="002005E5"/>
    <w:rsid w:val="0021111E"/>
    <w:rsid w:val="0021219E"/>
    <w:rsid w:val="00214443"/>
    <w:rsid w:val="0022588D"/>
    <w:rsid w:val="00231806"/>
    <w:rsid w:val="0023542B"/>
    <w:rsid w:val="00242220"/>
    <w:rsid w:val="00250D80"/>
    <w:rsid w:val="00253AD7"/>
    <w:rsid w:val="00257500"/>
    <w:rsid w:val="00271869"/>
    <w:rsid w:val="00275228"/>
    <w:rsid w:val="00275C7A"/>
    <w:rsid w:val="0028018B"/>
    <w:rsid w:val="002836DD"/>
    <w:rsid w:val="00293E0C"/>
    <w:rsid w:val="002A41E2"/>
    <w:rsid w:val="002B365A"/>
    <w:rsid w:val="002C508D"/>
    <w:rsid w:val="002E1F3E"/>
    <w:rsid w:val="002E7C5F"/>
    <w:rsid w:val="002E7E74"/>
    <w:rsid w:val="002F3470"/>
    <w:rsid w:val="002F705B"/>
    <w:rsid w:val="00322BCE"/>
    <w:rsid w:val="003244DD"/>
    <w:rsid w:val="00352C28"/>
    <w:rsid w:val="00354E61"/>
    <w:rsid w:val="00355B5A"/>
    <w:rsid w:val="00361849"/>
    <w:rsid w:val="0036683D"/>
    <w:rsid w:val="00367505"/>
    <w:rsid w:val="003744CE"/>
    <w:rsid w:val="003767BF"/>
    <w:rsid w:val="003864AD"/>
    <w:rsid w:val="003A1CB4"/>
    <w:rsid w:val="003C237C"/>
    <w:rsid w:val="003D0050"/>
    <w:rsid w:val="003D3AEB"/>
    <w:rsid w:val="003E68CC"/>
    <w:rsid w:val="003E727D"/>
    <w:rsid w:val="004022B4"/>
    <w:rsid w:val="00413B95"/>
    <w:rsid w:val="00414A35"/>
    <w:rsid w:val="00424FC8"/>
    <w:rsid w:val="00425677"/>
    <w:rsid w:val="00427ABE"/>
    <w:rsid w:val="00433EDD"/>
    <w:rsid w:val="00435A04"/>
    <w:rsid w:val="0044219E"/>
    <w:rsid w:val="0044395F"/>
    <w:rsid w:val="004442AA"/>
    <w:rsid w:val="004502CD"/>
    <w:rsid w:val="0045216F"/>
    <w:rsid w:val="004532D9"/>
    <w:rsid w:val="00454BB9"/>
    <w:rsid w:val="00457227"/>
    <w:rsid w:val="00459F05"/>
    <w:rsid w:val="004613F4"/>
    <w:rsid w:val="00464B4C"/>
    <w:rsid w:val="00465656"/>
    <w:rsid w:val="00466159"/>
    <w:rsid w:val="004769AB"/>
    <w:rsid w:val="00482802"/>
    <w:rsid w:val="00484232"/>
    <w:rsid w:val="0049014C"/>
    <w:rsid w:val="004933C9"/>
    <w:rsid w:val="004C1CD5"/>
    <w:rsid w:val="004D0D6D"/>
    <w:rsid w:val="004D61EA"/>
    <w:rsid w:val="004E232F"/>
    <w:rsid w:val="004F3B45"/>
    <w:rsid w:val="004F42AC"/>
    <w:rsid w:val="004F7D4E"/>
    <w:rsid w:val="00500BF5"/>
    <w:rsid w:val="00501A19"/>
    <w:rsid w:val="00505805"/>
    <w:rsid w:val="00514713"/>
    <w:rsid w:val="00515169"/>
    <w:rsid w:val="005335E5"/>
    <w:rsid w:val="00544345"/>
    <w:rsid w:val="00550839"/>
    <w:rsid w:val="0055479C"/>
    <w:rsid w:val="00562D3D"/>
    <w:rsid w:val="00572740"/>
    <w:rsid w:val="00590749"/>
    <w:rsid w:val="00591135"/>
    <w:rsid w:val="0059213B"/>
    <w:rsid w:val="005A08A4"/>
    <w:rsid w:val="005A3295"/>
    <w:rsid w:val="005B024F"/>
    <w:rsid w:val="005B3680"/>
    <w:rsid w:val="005C775F"/>
    <w:rsid w:val="005D1D6D"/>
    <w:rsid w:val="005D2EA9"/>
    <w:rsid w:val="005D66DE"/>
    <w:rsid w:val="005F2120"/>
    <w:rsid w:val="005F4A29"/>
    <w:rsid w:val="005F5105"/>
    <w:rsid w:val="00612C67"/>
    <w:rsid w:val="00614312"/>
    <w:rsid w:val="0061682B"/>
    <w:rsid w:val="006223A6"/>
    <w:rsid w:val="00635B83"/>
    <w:rsid w:val="0063625A"/>
    <w:rsid w:val="00644D00"/>
    <w:rsid w:val="00646166"/>
    <w:rsid w:val="00655A10"/>
    <w:rsid w:val="006567E9"/>
    <w:rsid w:val="00666807"/>
    <w:rsid w:val="00666A99"/>
    <w:rsid w:val="00682310"/>
    <w:rsid w:val="006A57D7"/>
    <w:rsid w:val="006B5C7E"/>
    <w:rsid w:val="006D0648"/>
    <w:rsid w:val="006D3118"/>
    <w:rsid w:val="006E27BF"/>
    <w:rsid w:val="0070089A"/>
    <w:rsid w:val="00700983"/>
    <w:rsid w:val="00725131"/>
    <w:rsid w:val="00732990"/>
    <w:rsid w:val="00753A05"/>
    <w:rsid w:val="0075449B"/>
    <w:rsid w:val="00766F7C"/>
    <w:rsid w:val="00780566"/>
    <w:rsid w:val="007819D6"/>
    <w:rsid w:val="007A46E2"/>
    <w:rsid w:val="007A67F9"/>
    <w:rsid w:val="007B6150"/>
    <w:rsid w:val="007C12E7"/>
    <w:rsid w:val="007D2E37"/>
    <w:rsid w:val="007E317D"/>
    <w:rsid w:val="007E3AD3"/>
    <w:rsid w:val="007F1A2D"/>
    <w:rsid w:val="007F499B"/>
    <w:rsid w:val="00801DAB"/>
    <w:rsid w:val="0080313B"/>
    <w:rsid w:val="00805FAA"/>
    <w:rsid w:val="008124BD"/>
    <w:rsid w:val="00815B14"/>
    <w:rsid w:val="00837A6D"/>
    <w:rsid w:val="00844956"/>
    <w:rsid w:val="00851AC6"/>
    <w:rsid w:val="0086276D"/>
    <w:rsid w:val="0086416D"/>
    <w:rsid w:val="00876612"/>
    <w:rsid w:val="00877117"/>
    <w:rsid w:val="00895B3A"/>
    <w:rsid w:val="008A584A"/>
    <w:rsid w:val="008B44B1"/>
    <w:rsid w:val="008B4CD5"/>
    <w:rsid w:val="008B718E"/>
    <w:rsid w:val="008C6A96"/>
    <w:rsid w:val="008D3E4C"/>
    <w:rsid w:val="008F0F07"/>
    <w:rsid w:val="008F2A13"/>
    <w:rsid w:val="008F3FF9"/>
    <w:rsid w:val="00911305"/>
    <w:rsid w:val="00911369"/>
    <w:rsid w:val="00912FC8"/>
    <w:rsid w:val="00925C7D"/>
    <w:rsid w:val="00937090"/>
    <w:rsid w:val="00937413"/>
    <w:rsid w:val="009415F3"/>
    <w:rsid w:val="00950FC5"/>
    <w:rsid w:val="00951E83"/>
    <w:rsid w:val="00977E0F"/>
    <w:rsid w:val="00983D73"/>
    <w:rsid w:val="00992BE1"/>
    <w:rsid w:val="009968C5"/>
    <w:rsid w:val="009A12F3"/>
    <w:rsid w:val="009A1B4B"/>
    <w:rsid w:val="009A23AB"/>
    <w:rsid w:val="009B2B60"/>
    <w:rsid w:val="009B4B50"/>
    <w:rsid w:val="009C1F9B"/>
    <w:rsid w:val="009C33F1"/>
    <w:rsid w:val="009D0A59"/>
    <w:rsid w:val="009D180E"/>
    <w:rsid w:val="009D5F52"/>
    <w:rsid w:val="009D79F4"/>
    <w:rsid w:val="009E0EFB"/>
    <w:rsid w:val="00A0245A"/>
    <w:rsid w:val="00A338B4"/>
    <w:rsid w:val="00A33E8D"/>
    <w:rsid w:val="00A36E15"/>
    <w:rsid w:val="00A42BA7"/>
    <w:rsid w:val="00A43153"/>
    <w:rsid w:val="00A43D25"/>
    <w:rsid w:val="00A652E6"/>
    <w:rsid w:val="00A65BA3"/>
    <w:rsid w:val="00A7272E"/>
    <w:rsid w:val="00A748DE"/>
    <w:rsid w:val="00A771AD"/>
    <w:rsid w:val="00A80BD4"/>
    <w:rsid w:val="00A858D2"/>
    <w:rsid w:val="00A87390"/>
    <w:rsid w:val="00A94820"/>
    <w:rsid w:val="00AD7B1B"/>
    <w:rsid w:val="00AF79B8"/>
    <w:rsid w:val="00B148F4"/>
    <w:rsid w:val="00B177DF"/>
    <w:rsid w:val="00B32F4C"/>
    <w:rsid w:val="00B33933"/>
    <w:rsid w:val="00B54453"/>
    <w:rsid w:val="00B64F18"/>
    <w:rsid w:val="00B7006C"/>
    <w:rsid w:val="00B83626"/>
    <w:rsid w:val="00B87080"/>
    <w:rsid w:val="00B91EBB"/>
    <w:rsid w:val="00B92FB1"/>
    <w:rsid w:val="00B96131"/>
    <w:rsid w:val="00B96799"/>
    <w:rsid w:val="00BB5B3A"/>
    <w:rsid w:val="00BB64A7"/>
    <w:rsid w:val="00BC0F7E"/>
    <w:rsid w:val="00BC3BFB"/>
    <w:rsid w:val="00BD26F8"/>
    <w:rsid w:val="00BD7816"/>
    <w:rsid w:val="00BF6F2E"/>
    <w:rsid w:val="00C0321D"/>
    <w:rsid w:val="00C10E75"/>
    <w:rsid w:val="00C21B90"/>
    <w:rsid w:val="00C31F14"/>
    <w:rsid w:val="00C363C0"/>
    <w:rsid w:val="00C4394B"/>
    <w:rsid w:val="00C56338"/>
    <w:rsid w:val="00C60A64"/>
    <w:rsid w:val="00C65673"/>
    <w:rsid w:val="00C76260"/>
    <w:rsid w:val="00C814CD"/>
    <w:rsid w:val="00C90188"/>
    <w:rsid w:val="00C97693"/>
    <w:rsid w:val="00D00F9C"/>
    <w:rsid w:val="00D01DC0"/>
    <w:rsid w:val="00D0485C"/>
    <w:rsid w:val="00D239E7"/>
    <w:rsid w:val="00D265D9"/>
    <w:rsid w:val="00D36CFD"/>
    <w:rsid w:val="00D43A60"/>
    <w:rsid w:val="00D51DF4"/>
    <w:rsid w:val="00D5456A"/>
    <w:rsid w:val="00D54C2A"/>
    <w:rsid w:val="00D60810"/>
    <w:rsid w:val="00D76779"/>
    <w:rsid w:val="00D814DF"/>
    <w:rsid w:val="00D82E59"/>
    <w:rsid w:val="00D93609"/>
    <w:rsid w:val="00DA27E1"/>
    <w:rsid w:val="00DC18C2"/>
    <w:rsid w:val="00DC53C6"/>
    <w:rsid w:val="00DD0416"/>
    <w:rsid w:val="00DE72B9"/>
    <w:rsid w:val="00DF5711"/>
    <w:rsid w:val="00E014CA"/>
    <w:rsid w:val="00E047DA"/>
    <w:rsid w:val="00E06510"/>
    <w:rsid w:val="00E07855"/>
    <w:rsid w:val="00E23218"/>
    <w:rsid w:val="00E35DF9"/>
    <w:rsid w:val="00E45FDD"/>
    <w:rsid w:val="00E5027E"/>
    <w:rsid w:val="00E51E96"/>
    <w:rsid w:val="00E53F39"/>
    <w:rsid w:val="00E611AB"/>
    <w:rsid w:val="00E73507"/>
    <w:rsid w:val="00E7422A"/>
    <w:rsid w:val="00E8163B"/>
    <w:rsid w:val="00E820E6"/>
    <w:rsid w:val="00E82EAD"/>
    <w:rsid w:val="00E90B5F"/>
    <w:rsid w:val="00E93724"/>
    <w:rsid w:val="00E953BE"/>
    <w:rsid w:val="00EA5FB4"/>
    <w:rsid w:val="00EB40DA"/>
    <w:rsid w:val="00EB5DF9"/>
    <w:rsid w:val="00EC125D"/>
    <w:rsid w:val="00EF16D8"/>
    <w:rsid w:val="00F06513"/>
    <w:rsid w:val="00F157E3"/>
    <w:rsid w:val="00F237B2"/>
    <w:rsid w:val="00F5284E"/>
    <w:rsid w:val="00F60AD0"/>
    <w:rsid w:val="00F66CF5"/>
    <w:rsid w:val="00F7137E"/>
    <w:rsid w:val="00F7559B"/>
    <w:rsid w:val="00F81327"/>
    <w:rsid w:val="00F90273"/>
    <w:rsid w:val="00F90CCA"/>
    <w:rsid w:val="00F92EBF"/>
    <w:rsid w:val="00FA0E7C"/>
    <w:rsid w:val="00FB1191"/>
    <w:rsid w:val="00FC1830"/>
    <w:rsid w:val="00FC5798"/>
    <w:rsid w:val="00FD0F3B"/>
    <w:rsid w:val="00FD6CFC"/>
    <w:rsid w:val="00FE3DB2"/>
    <w:rsid w:val="00FF004D"/>
    <w:rsid w:val="00FF5912"/>
    <w:rsid w:val="05EBBD38"/>
    <w:rsid w:val="0E444B0A"/>
    <w:rsid w:val="12788991"/>
    <w:rsid w:val="1CFAABBD"/>
    <w:rsid w:val="30A16F2E"/>
    <w:rsid w:val="373F749C"/>
    <w:rsid w:val="3E624781"/>
    <w:rsid w:val="3EA01B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6BED44"/>
  <w15:chartTrackingRefBased/>
  <w15:docId w15:val="{181F9891-6985-4C3B-A954-F0EF1A5E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2120"/>
    <w:pPr>
      <w:jc w:val="left"/>
    </w:pPr>
    <w:rPr>
      <w:color w:val="243782" w:themeColor="text2"/>
    </w:rPr>
  </w:style>
  <w:style w:type="character" w:customStyle="1" w:styleId="HeaderChar">
    <w:name w:val="Header Char"/>
    <w:basedOn w:val="DefaultParagraphFont"/>
    <w:link w:val="Header"/>
    <w:uiPriority w:val="99"/>
    <w:rsid w:val="0086416D"/>
    <w:rPr>
      <w:color w:val="243782" w:themeColor="text2"/>
      <w:lang w:val="fr-FR"/>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fr-FR"/>
    </w:rPr>
  </w:style>
  <w:style w:type="character" w:styleId="Hyperlink">
    <w:name w:val="Hyperlink"/>
    <w:basedOn w:val="DefaultParagraphFont"/>
    <w:uiPriority w:val="99"/>
    <w:semiHidden/>
    <w:rsid w:val="00912FC8"/>
    <w:rPr>
      <w:color w:val="243782" w:themeColor="hyperlink"/>
      <w:u w:val="singl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fr-FR"/>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autoRedefine/>
    <w:qFormat/>
    <w:rsid w:val="00550839"/>
    <w:pPr>
      <w:spacing w:before="1800" w:after="480"/>
      <w:contextualSpacing/>
      <w:jc w:val="center"/>
    </w:pPr>
    <w:rPr>
      <w:rFonts w:asciiTheme="majorHAnsi" w:hAnsiTheme="majorHAnsi"/>
      <w:noProof/>
      <w:color w:val="243782" w:themeColor="accent1"/>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rPr>
  </w:style>
  <w:style w:type="paragraph" w:customStyle="1" w:styleId="STextitalic">
    <w:name w:val="S_Text italic"/>
    <w:basedOn w:val="Normal"/>
    <w:qFormat/>
    <w:rsid w:val="00B96799"/>
    <w:rPr>
      <w:i/>
    </w:rPr>
  </w:style>
  <w:style w:type="paragraph" w:styleId="BalloonText">
    <w:name w:val="Balloon Text"/>
    <w:basedOn w:val="Normal"/>
    <w:link w:val="BalloonTextChar"/>
    <w:uiPriority w:val="99"/>
    <w:semiHidden/>
    <w:unhideWhenUsed/>
    <w:rsid w:val="005A08A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8A4"/>
    <w:rPr>
      <w:rFonts w:ascii="Segoe UI" w:hAnsi="Segoe UI" w:cs="Segoe UI"/>
      <w:sz w:val="18"/>
      <w:szCs w:val="18"/>
      <w:lang w:val="fr-FR"/>
    </w:rPr>
  </w:style>
  <w:style w:type="character" w:customStyle="1" w:styleId="normaltextrun">
    <w:name w:val="normaltextrun"/>
    <w:basedOn w:val="DefaultParagraphFont"/>
    <w:rsid w:val="009415F3"/>
  </w:style>
  <w:style w:type="character" w:customStyle="1" w:styleId="UnresolvedMention1">
    <w:name w:val="Unresolved Mention1"/>
    <w:basedOn w:val="DefaultParagraphFont"/>
    <w:uiPriority w:val="99"/>
    <w:semiHidden/>
    <w:unhideWhenUsed/>
    <w:rsid w:val="00B54453"/>
    <w:rPr>
      <w:color w:val="605E5C"/>
      <w:shd w:val="clear" w:color="auto" w:fill="E1DFDD"/>
    </w:rPr>
  </w:style>
  <w:style w:type="character" w:styleId="FollowedHyperlink">
    <w:name w:val="FollowedHyperlink"/>
    <w:basedOn w:val="DefaultParagraphFont"/>
    <w:uiPriority w:val="99"/>
    <w:semiHidden/>
    <w:rsid w:val="00E7422A"/>
    <w:rPr>
      <w:color w:val="272B35"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sid w:val="009D0A59"/>
    <w:rPr>
      <w:sz w:val="20"/>
      <w:szCs w:val="20"/>
      <w:lang w:val="fr-FR"/>
    </w:rPr>
  </w:style>
  <w:style w:type="paragraph" w:styleId="CommentSubject">
    <w:name w:val="annotation subject"/>
    <w:basedOn w:val="CommentText"/>
    <w:next w:val="CommentText"/>
    <w:link w:val="CommentSubjectChar"/>
    <w:uiPriority w:val="99"/>
    <w:semiHidden/>
    <w:unhideWhenUsed/>
    <w:rsid w:val="009D0A59"/>
    <w:rPr>
      <w:b/>
      <w:bCs/>
    </w:rPr>
  </w:style>
  <w:style w:type="character" w:customStyle="1" w:styleId="CommentSubjectChar">
    <w:name w:val="Comment Subject Char"/>
    <w:basedOn w:val="CommentTextChar"/>
    <w:link w:val="CommentSubject"/>
    <w:uiPriority w:val="99"/>
    <w:semiHidden/>
    <w:rsid w:val="009D0A59"/>
    <w:rPr>
      <w:b/>
      <w:bCs/>
      <w:sz w:val="20"/>
      <w:szCs w:val="20"/>
      <w:lang w:val="fr-FR"/>
    </w:rPr>
  </w:style>
  <w:style w:type="character" w:customStyle="1" w:styleId="UnresolvedMention2">
    <w:name w:val="Unresolved Mention2"/>
    <w:basedOn w:val="DefaultParagraphFont"/>
    <w:uiPriority w:val="99"/>
    <w:semiHidden/>
    <w:unhideWhenUsed/>
    <w:rsid w:val="00590749"/>
    <w:rPr>
      <w:color w:val="605E5C"/>
      <w:shd w:val="clear" w:color="auto" w:fill="E1DFDD"/>
    </w:rPr>
  </w:style>
  <w:style w:type="character" w:styleId="UnresolvedMention">
    <w:name w:val="Unresolved Mention"/>
    <w:basedOn w:val="DefaultParagraphFont"/>
    <w:uiPriority w:val="99"/>
    <w:semiHidden/>
    <w:unhideWhenUsed/>
    <w:rsid w:val="009370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73872">
      <w:bodyDiv w:val="1"/>
      <w:marLeft w:val="0"/>
      <w:marRight w:val="0"/>
      <w:marTop w:val="0"/>
      <w:marBottom w:val="0"/>
      <w:divBdr>
        <w:top w:val="none" w:sz="0" w:space="0" w:color="auto"/>
        <w:left w:val="none" w:sz="0" w:space="0" w:color="auto"/>
        <w:bottom w:val="none" w:sz="0" w:space="0" w:color="auto"/>
        <w:right w:val="none" w:sz="0" w:space="0" w:color="auto"/>
      </w:divBdr>
    </w:div>
    <w:div w:id="288096722">
      <w:bodyDiv w:val="1"/>
      <w:marLeft w:val="0"/>
      <w:marRight w:val="0"/>
      <w:marTop w:val="0"/>
      <w:marBottom w:val="0"/>
      <w:divBdr>
        <w:top w:val="none" w:sz="0" w:space="0" w:color="auto"/>
        <w:left w:val="none" w:sz="0" w:space="0" w:color="auto"/>
        <w:bottom w:val="none" w:sz="0" w:space="0" w:color="auto"/>
        <w:right w:val="none" w:sz="0" w:space="0" w:color="auto"/>
      </w:divBdr>
    </w:div>
    <w:div w:id="1006861158">
      <w:bodyDiv w:val="1"/>
      <w:marLeft w:val="0"/>
      <w:marRight w:val="0"/>
      <w:marTop w:val="0"/>
      <w:marBottom w:val="0"/>
      <w:divBdr>
        <w:top w:val="none" w:sz="0" w:space="0" w:color="auto"/>
        <w:left w:val="none" w:sz="0" w:space="0" w:color="auto"/>
        <w:bottom w:val="none" w:sz="0" w:space="0" w:color="auto"/>
        <w:right w:val="none" w:sz="0" w:space="0" w:color="auto"/>
      </w:divBdr>
    </w:div>
    <w:div w:id="1431051827">
      <w:bodyDiv w:val="1"/>
      <w:marLeft w:val="0"/>
      <w:marRight w:val="0"/>
      <w:marTop w:val="0"/>
      <w:marBottom w:val="0"/>
      <w:divBdr>
        <w:top w:val="none" w:sz="0" w:space="0" w:color="auto"/>
        <w:left w:val="none" w:sz="0" w:space="0" w:color="auto"/>
        <w:bottom w:val="none" w:sz="0" w:space="0" w:color="auto"/>
        <w:right w:val="none" w:sz="0" w:space="0" w:color="auto"/>
      </w:divBdr>
    </w:div>
    <w:div w:id="1635480997">
      <w:bodyDiv w:val="1"/>
      <w:marLeft w:val="0"/>
      <w:marRight w:val="0"/>
      <w:marTop w:val="0"/>
      <w:marBottom w:val="0"/>
      <w:divBdr>
        <w:top w:val="none" w:sz="0" w:space="0" w:color="auto"/>
        <w:left w:val="none" w:sz="0" w:space="0" w:color="auto"/>
        <w:bottom w:val="none" w:sz="0" w:space="0" w:color="auto"/>
        <w:right w:val="none" w:sz="0" w:space="0" w:color="auto"/>
      </w:divBdr>
    </w:div>
    <w:div w:id="214079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twitter.com/Stellantis"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hyperlink" Target="https://www.linkedin.com/company/stellantis/"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tellantis.com/fr"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facebook.com/Stellantis" TargetMode="External"/><Relationship Id="rId23" Type="http://schemas.openxmlformats.org/officeDocument/2006/relationships/glossaryDocument" Target="glossary/document.xml"/><Relationship Id="rId10" Type="http://schemas.openxmlformats.org/officeDocument/2006/relationships/hyperlink" Target="https://www.stellantis.com/fr" TargetMode="External"/><Relationship Id="rId19" Type="http://schemas.openxmlformats.org/officeDocument/2006/relationships/hyperlink" Target="https://www.youtube.com/c/Stellantis_officia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475BC594FE41A4B70644BC0F69B0A8"/>
        <w:category>
          <w:name w:val="General"/>
          <w:gallery w:val="placeholder"/>
        </w:category>
        <w:types>
          <w:type w:val="bbPlcHdr"/>
        </w:types>
        <w:behaviors>
          <w:behavior w:val="content"/>
        </w:behaviors>
        <w:guid w:val="{5DC094E7-05C0-4C4B-A899-9E531C09A062}"/>
      </w:docPartPr>
      <w:docPartBody>
        <w:p w:rsidR="00331851" w:rsidRDefault="006D3118" w:rsidP="006D3118">
          <w:pPr>
            <w:pStyle w:val="C4475BC594FE41A4B70644BC0F69B0A8"/>
          </w:pPr>
          <w:r w:rsidRPr="0086416D">
            <w:rPr>
              <w:rStyle w:val="PlaceholderText"/>
              <w:b/>
              <w:color w:val="44546A" w:themeColor="text2"/>
            </w:rPr>
            <w:t>First name LAST NAME</w:t>
          </w:r>
        </w:p>
      </w:docPartBody>
    </w:docPart>
    <w:docPart>
      <w:docPartPr>
        <w:name w:val="CE3E5EA1A49A47D5A26AEC040D899A51"/>
        <w:category>
          <w:name w:val="General"/>
          <w:gallery w:val="placeholder"/>
        </w:category>
        <w:types>
          <w:type w:val="bbPlcHdr"/>
        </w:types>
        <w:behaviors>
          <w:behavior w:val="content"/>
        </w:behaviors>
        <w:guid w:val="{8771C665-B31B-452F-B2A1-DA3989DC8B23}"/>
      </w:docPartPr>
      <w:docPartBody>
        <w:p w:rsidR="00F014BD" w:rsidRDefault="00E44672" w:rsidP="00E44672">
          <w:pPr>
            <w:pStyle w:val="CE3E5EA1A49A47D5A26AEC040D899A51"/>
          </w:pPr>
          <w:r w:rsidRPr="0086416D">
            <w:rPr>
              <w:rStyle w:val="PlaceholderText"/>
              <w:b/>
              <w:color w:val="44546A" w:themeColor="text2"/>
            </w:rPr>
            <w:t>First name LAST NAME</w:t>
          </w:r>
        </w:p>
      </w:docPartBody>
    </w:docPart>
    <w:docPart>
      <w:docPartPr>
        <w:name w:val="D5C503420D964060A55578895F3DD2CE"/>
        <w:category>
          <w:name w:val="General"/>
          <w:gallery w:val="placeholder"/>
        </w:category>
        <w:types>
          <w:type w:val="bbPlcHdr"/>
        </w:types>
        <w:behaviors>
          <w:behavior w:val="content"/>
        </w:behaviors>
        <w:guid w:val="{C4D5BD5B-F6E2-4B2D-96DA-B315C6147C0C}"/>
      </w:docPartPr>
      <w:docPartBody>
        <w:p w:rsidR="00F014BD" w:rsidRDefault="00E44672" w:rsidP="00E44672">
          <w:pPr>
            <w:pStyle w:val="D5C503420D964060A55578895F3DD2CE"/>
          </w:pPr>
          <w:r w:rsidRPr="0086416D">
            <w:rPr>
              <w:rStyle w:val="PlaceholderText"/>
              <w:b/>
              <w:color w:val="44546A" w:themeColor="text2"/>
            </w:rPr>
            <w:t>First name LAST NAME</w:t>
          </w:r>
        </w:p>
      </w:docPartBody>
    </w:docPart>
    <w:docPart>
      <w:docPartPr>
        <w:name w:val="4AB496E044F443FB9950EC2028529BE8"/>
        <w:category>
          <w:name w:val="General"/>
          <w:gallery w:val="placeholder"/>
        </w:category>
        <w:types>
          <w:type w:val="bbPlcHdr"/>
        </w:types>
        <w:behaviors>
          <w:behavior w:val="content"/>
        </w:behaviors>
        <w:guid w:val="{92BD14DB-576A-46D3-B234-F5651DFFF088}"/>
      </w:docPartPr>
      <w:docPartBody>
        <w:p w:rsidR="00F014BD" w:rsidRDefault="00E44672" w:rsidP="00E44672">
          <w:pPr>
            <w:pStyle w:val="4AB496E044F443FB9950EC2028529BE8"/>
          </w:pPr>
          <w:r w:rsidRPr="0086416D">
            <w:rPr>
              <w:rStyle w:val="PlaceholderText"/>
              <w:b/>
              <w:color w:val="44546A" w:themeColor="text2"/>
            </w:rPr>
            <w:t>First name LAST NAME</w:t>
          </w:r>
        </w:p>
      </w:docPartBody>
    </w:docPart>
    <w:docPart>
      <w:docPartPr>
        <w:name w:val="3F001C52D8B5488EA9CBF66155FB3812"/>
        <w:category>
          <w:name w:val="General"/>
          <w:gallery w:val="placeholder"/>
        </w:category>
        <w:types>
          <w:type w:val="bbPlcHdr"/>
        </w:types>
        <w:behaviors>
          <w:behavior w:val="content"/>
        </w:behaviors>
        <w:guid w:val="{CA5928B9-0D2B-4ECB-B70E-D613A39482C7}"/>
      </w:docPartPr>
      <w:docPartBody>
        <w:p w:rsidR="00F014BD" w:rsidRDefault="00E44672" w:rsidP="00E44672">
          <w:pPr>
            <w:pStyle w:val="3F001C52D8B5488EA9CBF66155FB3812"/>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DC541AFFAF6044019ED75F6281D796E8"/>
        <w:category>
          <w:name w:val="General"/>
          <w:gallery w:val="placeholder"/>
        </w:category>
        <w:types>
          <w:type w:val="bbPlcHdr"/>
        </w:types>
        <w:behaviors>
          <w:behavior w:val="content"/>
        </w:behaviors>
        <w:guid w:val="{038CB705-4F9D-4B82-9171-36CFE962F81D}"/>
      </w:docPartPr>
      <w:docPartBody>
        <w:p w:rsidR="00F014BD" w:rsidRDefault="00E44672" w:rsidP="00E44672">
          <w:pPr>
            <w:pStyle w:val="DC541AFFAF6044019ED75F6281D796E8"/>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9B6BAAB185554217B5298E176B351D31"/>
        <w:category>
          <w:name w:val="General"/>
          <w:gallery w:val="placeholder"/>
        </w:category>
        <w:types>
          <w:type w:val="bbPlcHdr"/>
        </w:types>
        <w:behaviors>
          <w:behavior w:val="content"/>
        </w:behaviors>
        <w:guid w:val="{9E227051-017D-4246-82F2-01B3352A592A}"/>
      </w:docPartPr>
      <w:docPartBody>
        <w:p w:rsidR="00F014BD" w:rsidRDefault="00E44672" w:rsidP="00E44672">
          <w:pPr>
            <w:pStyle w:val="9B6BAAB185554217B5298E176B351D31"/>
          </w:pPr>
          <w:r w:rsidRPr="0086416D">
            <w:rPr>
              <w:rStyle w:val="PlaceholderText"/>
              <w:b/>
              <w:color w:val="44546A" w:themeColor="text2"/>
            </w:rPr>
            <w:t>First name LAST NAME</w:t>
          </w:r>
        </w:p>
      </w:docPartBody>
    </w:docPart>
    <w:docPart>
      <w:docPartPr>
        <w:name w:val="CEB14744533942C592C0FF4951249444"/>
        <w:category>
          <w:name w:val="General"/>
          <w:gallery w:val="placeholder"/>
        </w:category>
        <w:types>
          <w:type w:val="bbPlcHdr"/>
        </w:types>
        <w:behaviors>
          <w:behavior w:val="content"/>
        </w:behaviors>
        <w:guid w:val="{FCC60EF4-CDEC-43A1-9B73-6B860CC67E07}"/>
      </w:docPartPr>
      <w:docPartBody>
        <w:p w:rsidR="00F014BD" w:rsidRDefault="00E44672" w:rsidP="00E44672">
          <w:pPr>
            <w:pStyle w:val="CEB14744533942C592C0FF4951249444"/>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Encode Sans">
    <w:altName w:val="Times New Roman"/>
    <w:panose1 w:val="00000000000000000000"/>
    <w:charset w:val="00"/>
    <w:family w:val="auto"/>
    <w:pitch w:val="variable"/>
    <w:sig w:usb0="A00000FF" w:usb1="4000207B"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Encode Sans Expanded">
    <w:altName w:val="Calibri"/>
    <w:charset w:val="00"/>
    <w:family w:val="auto"/>
    <w:pitch w:val="variable"/>
    <w:sig w:usb0="A00000FF" w:usb1="4000207B" w:usb2="00000000" w:usb3="00000000" w:csb0="00000193" w:csb1="00000000"/>
  </w:font>
  <w:font w:name="Calibri">
    <w:panose1 w:val="020F0502020204030204"/>
    <w:charset w:val="00"/>
    <w:family w:val="swiss"/>
    <w:pitch w:val="variable"/>
    <w:sig w:usb0="E0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646"/>
    <w:rsid w:val="00010A01"/>
    <w:rsid w:val="0006118C"/>
    <w:rsid w:val="0010299D"/>
    <w:rsid w:val="00163C6C"/>
    <w:rsid w:val="00286664"/>
    <w:rsid w:val="00290F66"/>
    <w:rsid w:val="002A05EC"/>
    <w:rsid w:val="00300182"/>
    <w:rsid w:val="003021A4"/>
    <w:rsid w:val="00310CFC"/>
    <w:rsid w:val="00312839"/>
    <w:rsid w:val="00331851"/>
    <w:rsid w:val="00362FEA"/>
    <w:rsid w:val="004117DE"/>
    <w:rsid w:val="00460DD9"/>
    <w:rsid w:val="00483647"/>
    <w:rsid w:val="004A4408"/>
    <w:rsid w:val="004E06C7"/>
    <w:rsid w:val="00527D4E"/>
    <w:rsid w:val="00540152"/>
    <w:rsid w:val="00567810"/>
    <w:rsid w:val="00571C98"/>
    <w:rsid w:val="0057261E"/>
    <w:rsid w:val="0059417C"/>
    <w:rsid w:val="006222F3"/>
    <w:rsid w:val="006A6DAF"/>
    <w:rsid w:val="006D3118"/>
    <w:rsid w:val="006F7BBD"/>
    <w:rsid w:val="0074516A"/>
    <w:rsid w:val="00787479"/>
    <w:rsid w:val="007C48E9"/>
    <w:rsid w:val="007F0020"/>
    <w:rsid w:val="007F7CE5"/>
    <w:rsid w:val="00896646"/>
    <w:rsid w:val="00901F4B"/>
    <w:rsid w:val="009139EA"/>
    <w:rsid w:val="0094644C"/>
    <w:rsid w:val="00951A47"/>
    <w:rsid w:val="00954AAC"/>
    <w:rsid w:val="00957318"/>
    <w:rsid w:val="009C4A50"/>
    <w:rsid w:val="00A00D69"/>
    <w:rsid w:val="00A82838"/>
    <w:rsid w:val="00A918AC"/>
    <w:rsid w:val="00AB31A7"/>
    <w:rsid w:val="00B0752D"/>
    <w:rsid w:val="00B1342C"/>
    <w:rsid w:val="00B30A80"/>
    <w:rsid w:val="00B534A2"/>
    <w:rsid w:val="00BF2069"/>
    <w:rsid w:val="00C12EF2"/>
    <w:rsid w:val="00C6122F"/>
    <w:rsid w:val="00C82C1C"/>
    <w:rsid w:val="00CE7348"/>
    <w:rsid w:val="00CE7CAF"/>
    <w:rsid w:val="00CF4DDB"/>
    <w:rsid w:val="00CF7107"/>
    <w:rsid w:val="00DE36BC"/>
    <w:rsid w:val="00DF5230"/>
    <w:rsid w:val="00E20551"/>
    <w:rsid w:val="00E44672"/>
    <w:rsid w:val="00E7553B"/>
    <w:rsid w:val="00E948E2"/>
    <w:rsid w:val="00EE373B"/>
    <w:rsid w:val="00F014BD"/>
    <w:rsid w:val="00F11A32"/>
    <w:rsid w:val="00F25B15"/>
    <w:rsid w:val="00F30569"/>
    <w:rsid w:val="00FC26C2"/>
    <w:rsid w:val="00FC4A37"/>
    <w:rsid w:val="00FD75A3"/>
    <w:rsid w:val="00FE4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4672"/>
    <w:rPr>
      <w:color w:val="808080"/>
    </w:rPr>
  </w:style>
  <w:style w:type="paragraph" w:customStyle="1" w:styleId="C4475BC594FE41A4B70644BC0F69B0A8">
    <w:name w:val="C4475BC594FE41A4B70644BC0F69B0A8"/>
    <w:rsid w:val="006D3118"/>
  </w:style>
  <w:style w:type="paragraph" w:customStyle="1" w:styleId="CE3E5EA1A49A47D5A26AEC040D899A51">
    <w:name w:val="CE3E5EA1A49A47D5A26AEC040D899A51"/>
    <w:rsid w:val="00E44672"/>
  </w:style>
  <w:style w:type="paragraph" w:customStyle="1" w:styleId="D5C503420D964060A55578895F3DD2CE">
    <w:name w:val="D5C503420D964060A55578895F3DD2CE"/>
    <w:rsid w:val="00E44672"/>
  </w:style>
  <w:style w:type="paragraph" w:customStyle="1" w:styleId="4AB496E044F443FB9950EC2028529BE8">
    <w:name w:val="4AB496E044F443FB9950EC2028529BE8"/>
    <w:rsid w:val="00E44672"/>
  </w:style>
  <w:style w:type="paragraph" w:customStyle="1" w:styleId="3F001C52D8B5488EA9CBF66155FB3812">
    <w:name w:val="3F001C52D8B5488EA9CBF66155FB3812"/>
    <w:rsid w:val="00E44672"/>
  </w:style>
  <w:style w:type="paragraph" w:customStyle="1" w:styleId="DC541AFFAF6044019ED75F6281D796E8">
    <w:name w:val="DC541AFFAF6044019ED75F6281D796E8"/>
    <w:rsid w:val="00E44672"/>
  </w:style>
  <w:style w:type="paragraph" w:customStyle="1" w:styleId="9B6BAAB185554217B5298E176B351D31">
    <w:name w:val="9B6BAAB185554217B5298E176B351D31"/>
    <w:rsid w:val="00E44672"/>
  </w:style>
  <w:style w:type="paragraph" w:customStyle="1" w:styleId="CEB14744533942C592C0FF4951249444">
    <w:name w:val="CEB14744533942C592C0FF4951249444"/>
    <w:rsid w:val="00E446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1AB943AC203684599DF6BB292D4C1A7" ma:contentTypeVersion="13" ma:contentTypeDescription="Crée un document." ma:contentTypeScope="" ma:versionID="43485349495b479267c0eeb4b571c8e6">
  <xsd:schema xmlns:xsd="http://www.w3.org/2001/XMLSchema" xmlns:xs="http://www.w3.org/2001/XMLSchema" xmlns:p="http://schemas.microsoft.com/office/2006/metadata/properties" xmlns:ns3="185588e2-483f-4b85-a446-ee042caf0e4d" xmlns:ns4="e360540c-a9b4-4472-aa99-110dbc70b55d" targetNamespace="http://schemas.microsoft.com/office/2006/metadata/properties" ma:root="true" ma:fieldsID="08ba712f52b7fe7d6025ff81728e3008" ns3:_="" ns4:_="">
    <xsd:import namespace="185588e2-483f-4b85-a446-ee042caf0e4d"/>
    <xsd:import namespace="e360540c-a9b4-4472-aa99-110dbc70b55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588e2-483f-4b85-a446-ee042caf0e4d"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60540c-a9b4-4472-aa99-110dbc70b55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3152A0-7241-489A-B789-1F3CC452EFDE}">
  <ds:schemaRefs>
    <ds:schemaRef ds:uri="http://schemas.microsoft.com/sharepoint/v3/contenttype/forms"/>
  </ds:schemaRefs>
</ds:datastoreItem>
</file>

<file path=customXml/itemProps2.xml><?xml version="1.0" encoding="utf-8"?>
<ds:datastoreItem xmlns:ds="http://schemas.openxmlformats.org/officeDocument/2006/customXml" ds:itemID="{ABC5F86A-FA26-456A-8419-65FA907262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773DD2F-3C3F-4B29-94F7-AA4009E662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588e2-483f-4b85-a446-ee042caf0e4d"/>
    <ds:schemaRef ds:uri="e360540c-a9b4-4472-aa99-110dbc70b5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Stellantis Press Release Word US v6.dotx</Template>
  <TotalTime>0</TotalTime>
  <Pages>5</Pages>
  <Words>1886</Words>
  <Characters>10756</Characters>
  <Application>Microsoft Office Word</Application>
  <DocSecurity>0</DocSecurity>
  <Lines>89</Lines>
  <Paragraphs>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Press Release US</vt:lpstr>
      <vt:lpstr>Press Release US</vt:lpstr>
    </vt:vector>
  </TitlesOfParts>
  <Company>Stellantis</Company>
  <LinksUpToDate>false</LinksUpToDate>
  <CharactersWithSpaces>12617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Connelly Kaileen (FCA)</dc:creator>
  <cp:keywords/>
  <dc:description/>
  <cp:lastModifiedBy>KAILEEN CONNELLY</cp:lastModifiedBy>
  <cp:revision>3</cp:revision>
  <cp:lastPrinted>2021-12-06T22:23:00Z</cp:lastPrinted>
  <dcterms:created xsi:type="dcterms:W3CDTF">2022-09-26T11:43:00Z</dcterms:created>
  <dcterms:modified xsi:type="dcterms:W3CDTF">2022-09-26T12:42:00Z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2022-03-24T17:12:10Z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14d46988-cede-4bdb-8987-82f49097d415</vt:lpwstr>
  </property>
  <property fmtid="{D5CDD505-2E9C-101B-9397-08002B2CF9AE}" pid="8" name="MSIP_Label_2fd53d93-3f4c-4b90-b511-bd6bdbb4fba9_ContentBits">
    <vt:lpwstr>0</vt:lpwstr>
  </property>
  <property fmtid="{D5CDD505-2E9C-101B-9397-08002B2CF9AE}" pid="9" name="ContentTypeId">
    <vt:lpwstr>0x010100D1AB943AC203684599DF6BB292D4C1A7</vt:lpwstr>
  </property>
</Properties>
</file>