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B2AD" w14:textId="77777777" w:rsidR="0058020B" w:rsidRDefault="0058020B">
      <w:pPr>
        <w:pBdr>
          <w:top w:val="nil"/>
          <w:left w:val="nil"/>
          <w:bottom w:val="nil"/>
          <w:right w:val="nil"/>
          <w:between w:val="nil"/>
        </w:pBdr>
        <w:spacing w:after="480"/>
        <w:jc w:val="center"/>
        <w:rPr>
          <w:rFonts w:ascii="Arial" w:eastAsia="Arial" w:hAnsi="Arial" w:cs="Arial"/>
          <w:b/>
          <w:color w:val="000000"/>
          <w:sz w:val="28"/>
          <w:szCs w:val="28"/>
        </w:rPr>
      </w:pPr>
    </w:p>
    <w:p w14:paraId="48DB2639" w14:textId="315B76B3" w:rsidR="00D90200" w:rsidRPr="00E241A7" w:rsidRDefault="00DA44D2">
      <w:pPr>
        <w:pBdr>
          <w:top w:val="nil"/>
          <w:left w:val="nil"/>
          <w:bottom w:val="nil"/>
          <w:right w:val="nil"/>
          <w:between w:val="nil"/>
        </w:pBdr>
        <w:spacing w:after="480"/>
        <w:jc w:val="center"/>
        <w:rPr>
          <w:rFonts w:ascii="Arial" w:eastAsia="Arial" w:hAnsi="Arial" w:cs="Arial"/>
          <w:b/>
          <w:color w:val="000000"/>
          <w:sz w:val="28"/>
          <w:szCs w:val="28"/>
        </w:rPr>
      </w:pPr>
      <w:r>
        <w:rPr>
          <w:rFonts w:ascii="Arial" w:hAnsi="Arial"/>
          <w:b/>
          <w:color w:val="000000"/>
          <w:sz w:val="28"/>
          <w:szCs w:val="28"/>
        </w:rPr>
        <w:t>Stellantis sottoscrive un accordo e investe</w:t>
      </w:r>
      <w:r w:rsidR="00943E07">
        <w:rPr>
          <w:rFonts w:ascii="Arial" w:hAnsi="Arial"/>
          <w:b/>
          <w:color w:val="000000"/>
          <w:sz w:val="28"/>
          <w:szCs w:val="28"/>
        </w:rPr>
        <w:t xml:space="preserve"> </w:t>
      </w:r>
      <w:r>
        <w:rPr>
          <w:rFonts w:ascii="Arial" w:hAnsi="Arial"/>
          <w:b/>
          <w:color w:val="000000"/>
          <w:sz w:val="28"/>
          <w:szCs w:val="28"/>
        </w:rPr>
        <w:t>in Alliance Nickel per la fornitura di solfato di cobalto e nichel per batterie</w:t>
      </w:r>
    </w:p>
    <w:p w14:paraId="205DE1BC" w14:textId="1CE58FE4" w:rsidR="00594BD8" w:rsidRPr="0058020B" w:rsidRDefault="00943E07" w:rsidP="00594BD8">
      <w:pPr>
        <w:pStyle w:val="ListParagraph"/>
        <w:numPr>
          <w:ilvl w:val="0"/>
          <w:numId w:val="1"/>
        </w:numPr>
        <w:rPr>
          <w:rFonts w:ascii="Arial" w:eastAsia="Arial" w:hAnsi="Arial" w:cs="Arial"/>
          <w:sz w:val="22"/>
          <w:szCs w:val="22"/>
        </w:rPr>
      </w:pPr>
      <w:r>
        <w:rPr>
          <w:rFonts w:ascii="Arial" w:hAnsi="Arial"/>
          <w:sz w:val="22"/>
          <w:szCs w:val="22"/>
        </w:rPr>
        <w:t>Stretto</w:t>
      </w:r>
      <w:r w:rsidR="00594BD8">
        <w:rPr>
          <w:rFonts w:ascii="Arial" w:hAnsi="Arial"/>
          <w:sz w:val="22"/>
          <w:szCs w:val="22"/>
        </w:rPr>
        <w:t xml:space="preserve"> un accordo vincolante per la fornitura di solfato di cobalto e nichel per batterie da NiWest </w:t>
      </w:r>
      <w:r w:rsidR="005010DA">
        <w:rPr>
          <w:rFonts w:ascii="Arial" w:hAnsi="Arial"/>
          <w:sz w:val="22"/>
          <w:szCs w:val="22"/>
        </w:rPr>
        <w:t>P</w:t>
      </w:r>
      <w:r w:rsidR="00594BD8">
        <w:rPr>
          <w:rFonts w:ascii="Arial" w:hAnsi="Arial"/>
          <w:sz w:val="22"/>
          <w:szCs w:val="22"/>
        </w:rPr>
        <w:t>roject in Australia occidentale</w:t>
      </w:r>
    </w:p>
    <w:p w14:paraId="5657E88D" w14:textId="2DCDCFA8" w:rsidR="00594BD8" w:rsidRPr="0058020B" w:rsidRDefault="00594BD8" w:rsidP="00594BD8">
      <w:pPr>
        <w:pStyle w:val="ListParagraph"/>
        <w:numPr>
          <w:ilvl w:val="0"/>
          <w:numId w:val="1"/>
        </w:numPr>
        <w:rPr>
          <w:rFonts w:ascii="Arial" w:eastAsia="Arial" w:hAnsi="Arial" w:cs="Arial"/>
          <w:sz w:val="22"/>
          <w:szCs w:val="22"/>
        </w:rPr>
      </w:pPr>
      <w:r>
        <w:rPr>
          <w:rFonts w:ascii="Arial" w:hAnsi="Arial"/>
          <w:sz w:val="22"/>
          <w:szCs w:val="22"/>
        </w:rPr>
        <w:t>Accordo quinquennale per circa il 40% della produzione annuale prevista</w:t>
      </w:r>
    </w:p>
    <w:p w14:paraId="4CED9E7B" w14:textId="275B8D59" w:rsidR="00F2385D" w:rsidRPr="0058020B" w:rsidRDefault="00594BD8" w:rsidP="3A617EA3">
      <w:pPr>
        <w:pStyle w:val="ListParagraph"/>
        <w:numPr>
          <w:ilvl w:val="0"/>
          <w:numId w:val="1"/>
        </w:numPr>
        <w:spacing w:after="0"/>
        <w:jc w:val="left"/>
        <w:rPr>
          <w:rFonts w:ascii="Arial" w:hAnsi="Arial"/>
          <w:sz w:val="22"/>
          <w:szCs w:val="22"/>
        </w:rPr>
      </w:pPr>
      <w:r w:rsidRPr="3A617EA3">
        <w:rPr>
          <w:rFonts w:ascii="Arial" w:hAnsi="Arial"/>
          <w:sz w:val="22"/>
          <w:szCs w:val="22"/>
        </w:rPr>
        <w:t>Stellantis acquista 9,2 milioni di euro (15 milioni di dollari australiani) di nuove azioni di Alliance Nickel, ottenendo una partecipazione dell</w:t>
      </w:r>
      <w:r w:rsidR="2CEBD547" w:rsidRPr="3A617EA3">
        <w:rPr>
          <w:rFonts w:ascii="Arial" w:hAnsi="Arial"/>
          <w:sz w:val="22"/>
          <w:szCs w:val="22"/>
        </w:rPr>
        <w:t>’</w:t>
      </w:r>
      <w:r w:rsidRPr="3A617EA3">
        <w:rPr>
          <w:rFonts w:ascii="Arial" w:hAnsi="Arial"/>
          <w:sz w:val="22"/>
          <w:szCs w:val="22"/>
        </w:rPr>
        <w:t xml:space="preserve">11,5% </w:t>
      </w:r>
    </w:p>
    <w:p w14:paraId="1B8287BF" w14:textId="5F77B400" w:rsidR="00D013CE" w:rsidRPr="0058020B" w:rsidRDefault="00F2385D" w:rsidP="00EF7538">
      <w:pPr>
        <w:pStyle w:val="ListParagraph"/>
        <w:numPr>
          <w:ilvl w:val="0"/>
          <w:numId w:val="1"/>
        </w:numPr>
        <w:spacing w:after="0"/>
        <w:jc w:val="left"/>
        <w:rPr>
          <w:rFonts w:ascii="Arial" w:eastAsia="Arial" w:hAnsi="Arial" w:cs="Arial"/>
          <w:sz w:val="22"/>
          <w:szCs w:val="22"/>
        </w:rPr>
      </w:pPr>
      <w:r>
        <w:rPr>
          <w:rFonts w:ascii="Arial" w:hAnsi="Arial"/>
          <w:sz w:val="22"/>
          <w:szCs w:val="22"/>
        </w:rPr>
        <w:t>L’accordo rafforzerà la catena del valore di Stellantis per la produzione di batterie destinate ai veicoli elettrici e supporta gli obiettivi del piano strategico Dare Forward 2030</w:t>
      </w:r>
    </w:p>
    <w:p w14:paraId="3C06AD10" w14:textId="74EAE58A" w:rsidR="00DA44D2" w:rsidRPr="00E241A7" w:rsidRDefault="00DA44D2" w:rsidP="00594BD8">
      <w:pPr>
        <w:spacing w:after="0"/>
        <w:ind w:left="360"/>
        <w:jc w:val="left"/>
        <w:rPr>
          <w:rFonts w:ascii="Arial" w:eastAsia="Arial" w:hAnsi="Arial" w:cs="Arial"/>
        </w:rPr>
      </w:pPr>
    </w:p>
    <w:p w14:paraId="4265FA1D" w14:textId="41F64A06" w:rsidR="00E55D06" w:rsidRPr="00CF7E69" w:rsidRDefault="00594BD8">
      <w:pPr>
        <w:pBdr>
          <w:top w:val="nil"/>
          <w:left w:val="nil"/>
          <w:bottom w:val="nil"/>
          <w:right w:val="nil"/>
          <w:between w:val="nil"/>
        </w:pBdr>
        <w:jc w:val="left"/>
        <w:rPr>
          <w:rFonts w:ascii="Arial" w:eastAsia="Arial" w:hAnsi="Arial" w:cs="Arial"/>
          <w:color w:val="000000"/>
          <w:sz w:val="22"/>
          <w:szCs w:val="22"/>
        </w:rPr>
      </w:pPr>
      <w:r>
        <w:rPr>
          <w:rFonts w:ascii="Arial" w:hAnsi="Arial"/>
          <w:b/>
          <w:color w:val="000000"/>
          <w:sz w:val="22"/>
          <w:szCs w:val="22"/>
        </w:rPr>
        <w:t>AMSTERDAM</w:t>
      </w:r>
      <w:r w:rsidR="00E151A7">
        <w:rPr>
          <w:rFonts w:ascii="Arial" w:hAnsi="Arial"/>
          <w:b/>
          <w:color w:val="000000"/>
          <w:sz w:val="22"/>
          <w:szCs w:val="22"/>
        </w:rPr>
        <w:t>, 28 aprile 2023</w:t>
      </w:r>
      <w:r>
        <w:rPr>
          <w:rFonts w:ascii="Arial" w:hAnsi="Arial"/>
          <w:color w:val="000000"/>
          <w:sz w:val="22"/>
          <w:szCs w:val="22"/>
        </w:rPr>
        <w:t xml:space="preserve"> – </w:t>
      </w:r>
      <w:hyperlink r:id="rId11" w:history="1">
        <w:r>
          <w:rPr>
            <w:rStyle w:val="Hyperlink"/>
            <w:rFonts w:ascii="Arial" w:hAnsi="Arial"/>
            <w:sz w:val="22"/>
            <w:szCs w:val="22"/>
            <w:u w:val="single"/>
            <w:shd w:val="clear" w:color="auto" w:fill="FFFFFF"/>
          </w:rPr>
          <w:t>Stellantis N.V.</w:t>
        </w:r>
      </w:hyperlink>
      <w:r>
        <w:rPr>
          <w:rFonts w:ascii="Arial" w:hAnsi="Arial"/>
          <w:sz w:val="22"/>
          <w:szCs w:val="22"/>
          <w:shd w:val="clear" w:color="auto" w:fill="FFFFFF"/>
        </w:rPr>
        <w:t xml:space="preserve"> </w:t>
      </w:r>
      <w:r>
        <w:rPr>
          <w:rFonts w:ascii="Arial" w:hAnsi="Arial"/>
          <w:color w:val="000000"/>
          <w:sz w:val="22"/>
          <w:szCs w:val="22"/>
        </w:rPr>
        <w:t>e Alliance Nickel Ltd (ex GME Resources) (ASX: AXN</w:t>
      </w:r>
      <w:r w:rsidR="001910D6">
        <w:rPr>
          <w:rFonts w:ascii="Arial" w:hAnsi="Arial"/>
          <w:color w:val="000000"/>
          <w:sz w:val="22"/>
          <w:szCs w:val="22"/>
        </w:rPr>
        <w:t>, Alliance</w:t>
      </w:r>
      <w:r>
        <w:rPr>
          <w:rFonts w:ascii="Arial" w:hAnsi="Arial"/>
          <w:color w:val="000000"/>
          <w:sz w:val="22"/>
          <w:szCs w:val="22"/>
        </w:rPr>
        <w:t xml:space="preserve">) hanno annunciato oggi la sottoscrizione di un accordo </w:t>
      </w:r>
      <w:r w:rsidRPr="00CF7E69">
        <w:rPr>
          <w:rFonts w:ascii="Arial" w:hAnsi="Arial"/>
          <w:color w:val="000000"/>
          <w:sz w:val="22"/>
          <w:szCs w:val="22"/>
        </w:rPr>
        <w:t xml:space="preserve">vincolante per la fornitura di </w:t>
      </w:r>
      <w:r w:rsidR="00943E07" w:rsidRPr="00CF7E69">
        <w:rPr>
          <w:rFonts w:ascii="Arial" w:hAnsi="Arial"/>
          <w:color w:val="000000"/>
          <w:sz w:val="22"/>
          <w:szCs w:val="22"/>
        </w:rPr>
        <w:t>170</w:t>
      </w:r>
      <w:r w:rsidR="00D2196E">
        <w:rPr>
          <w:rFonts w:ascii="Arial" w:hAnsi="Arial"/>
          <w:color w:val="000000"/>
          <w:sz w:val="22"/>
          <w:szCs w:val="22"/>
        </w:rPr>
        <w:t>.</w:t>
      </w:r>
      <w:r w:rsidR="00943E07" w:rsidRPr="00CF7E69">
        <w:rPr>
          <w:rFonts w:ascii="Arial" w:hAnsi="Arial"/>
          <w:color w:val="000000"/>
          <w:sz w:val="22"/>
          <w:szCs w:val="22"/>
        </w:rPr>
        <w:t xml:space="preserve">000 tonnellate di </w:t>
      </w:r>
      <w:r w:rsidRPr="00CF7E69">
        <w:rPr>
          <w:rFonts w:ascii="Arial" w:hAnsi="Arial"/>
          <w:color w:val="000000"/>
          <w:sz w:val="22"/>
          <w:szCs w:val="22"/>
        </w:rPr>
        <w:t xml:space="preserve">solfato di </w:t>
      </w:r>
      <w:r w:rsidR="00943E07" w:rsidRPr="00CF7E69">
        <w:rPr>
          <w:rFonts w:ascii="Arial" w:hAnsi="Arial"/>
          <w:color w:val="000000"/>
          <w:sz w:val="22"/>
          <w:szCs w:val="22"/>
        </w:rPr>
        <w:t>nic</w:t>
      </w:r>
      <w:r w:rsidR="00D11851">
        <w:rPr>
          <w:rFonts w:ascii="Arial" w:hAnsi="Arial"/>
          <w:color w:val="000000"/>
          <w:sz w:val="22"/>
          <w:szCs w:val="22"/>
        </w:rPr>
        <w:t>h</w:t>
      </w:r>
      <w:r w:rsidR="00943E07" w:rsidRPr="00CF7E69">
        <w:rPr>
          <w:rFonts w:ascii="Arial" w:hAnsi="Arial"/>
          <w:color w:val="000000"/>
          <w:sz w:val="22"/>
          <w:szCs w:val="22"/>
        </w:rPr>
        <w:t xml:space="preserve">el e di 12.000 tonnellate di solfato di </w:t>
      </w:r>
      <w:r w:rsidRPr="00CF7E69">
        <w:rPr>
          <w:rFonts w:ascii="Arial" w:hAnsi="Arial"/>
          <w:color w:val="000000"/>
          <w:sz w:val="22"/>
          <w:szCs w:val="22"/>
        </w:rPr>
        <w:t xml:space="preserve">cobalto </w:t>
      </w:r>
      <w:r w:rsidR="00943E07" w:rsidRPr="00CF7E69">
        <w:rPr>
          <w:rFonts w:ascii="Arial" w:hAnsi="Arial"/>
          <w:color w:val="000000"/>
          <w:sz w:val="22"/>
          <w:szCs w:val="22"/>
        </w:rPr>
        <w:t>per un periodo iniziale di cinque anni</w:t>
      </w:r>
      <w:r w:rsidRPr="00CF7E69">
        <w:rPr>
          <w:rFonts w:ascii="Arial" w:hAnsi="Arial"/>
          <w:color w:val="000000"/>
          <w:sz w:val="22"/>
          <w:szCs w:val="22"/>
        </w:rPr>
        <w:t>. L’intesa r</w:t>
      </w:r>
      <w:r w:rsidR="00943E07" w:rsidRPr="00CF7E69">
        <w:rPr>
          <w:rFonts w:ascii="Arial" w:hAnsi="Arial"/>
          <w:color w:val="000000"/>
          <w:sz w:val="22"/>
          <w:szCs w:val="22"/>
        </w:rPr>
        <w:t>appresenta</w:t>
      </w:r>
      <w:r w:rsidRPr="00CF7E69">
        <w:rPr>
          <w:rFonts w:ascii="Arial" w:hAnsi="Arial"/>
          <w:color w:val="000000"/>
          <w:sz w:val="22"/>
          <w:szCs w:val="22"/>
        </w:rPr>
        <w:t xml:space="preserve"> circa il 40% della produzione annuale prevista</w:t>
      </w:r>
      <w:r w:rsidR="00943E07" w:rsidRPr="00CF7E69">
        <w:rPr>
          <w:rFonts w:ascii="Arial" w:hAnsi="Arial"/>
          <w:color w:val="000000"/>
          <w:sz w:val="22"/>
          <w:szCs w:val="22"/>
        </w:rPr>
        <w:t xml:space="preserve"> del NiWest Nickel</w:t>
      </w:r>
      <w:r w:rsidR="00203805" w:rsidRPr="00CF7E69">
        <w:rPr>
          <w:rFonts w:ascii="Arial" w:hAnsi="Arial"/>
          <w:color w:val="000000"/>
          <w:sz w:val="22"/>
          <w:szCs w:val="22"/>
        </w:rPr>
        <w:t>-Cobalt Project in Australia occidentale.</w:t>
      </w:r>
      <w:r w:rsidR="000B777A" w:rsidRPr="00CF7E69">
        <w:rPr>
          <w:rFonts w:ascii="Arial" w:hAnsi="Arial"/>
          <w:color w:val="000000"/>
          <w:sz w:val="22"/>
          <w:szCs w:val="22"/>
        </w:rPr>
        <w:t xml:space="preserve"> Il prezzo del solfato di nichel e di cobalto è legato all’indice dei prezzi.</w:t>
      </w:r>
    </w:p>
    <w:p w14:paraId="322FF1BD" w14:textId="2082B102" w:rsidR="00E87F6E" w:rsidRPr="00CF7E69" w:rsidRDefault="00E55D06">
      <w:pPr>
        <w:pBdr>
          <w:top w:val="nil"/>
          <w:left w:val="nil"/>
          <w:bottom w:val="nil"/>
          <w:right w:val="nil"/>
          <w:between w:val="nil"/>
        </w:pBdr>
        <w:jc w:val="left"/>
        <w:rPr>
          <w:rFonts w:ascii="Arial" w:eastAsia="Arial" w:hAnsi="Arial" w:cs="Arial"/>
          <w:color w:val="000000"/>
          <w:sz w:val="22"/>
          <w:szCs w:val="22"/>
        </w:rPr>
      </w:pPr>
      <w:r w:rsidRPr="00CF7E69">
        <w:rPr>
          <w:rFonts w:ascii="Arial" w:hAnsi="Arial"/>
          <w:color w:val="000000"/>
          <w:sz w:val="22"/>
          <w:szCs w:val="22"/>
        </w:rPr>
        <w:t>Inoltre, Stellantis ha accettato di acquistare 9,2 milioni di euro (15 milioni di dollari australiani) di nuove azioni di Alliance Nickel, ottenendo così una partecipazione finale dell</w:t>
      </w:r>
      <w:r w:rsidR="00D2196E">
        <w:rPr>
          <w:rFonts w:ascii="Arial" w:hAnsi="Arial"/>
          <w:color w:val="000000"/>
          <w:sz w:val="22"/>
          <w:szCs w:val="22"/>
        </w:rPr>
        <w:t>’</w:t>
      </w:r>
      <w:r w:rsidRPr="00CF7E69">
        <w:rPr>
          <w:rFonts w:ascii="Arial" w:hAnsi="Arial"/>
          <w:color w:val="000000"/>
          <w:sz w:val="22"/>
          <w:szCs w:val="22"/>
        </w:rPr>
        <w:t>11,5% e il diritto di nominare un membro del consiglio di amministrazione Alliance.</w:t>
      </w:r>
    </w:p>
    <w:p w14:paraId="1729D0CF" w14:textId="22F2D995" w:rsidR="00E87F6E" w:rsidRPr="00CF7E69" w:rsidRDefault="00D2196E">
      <w:pPr>
        <w:pBdr>
          <w:top w:val="nil"/>
          <w:left w:val="nil"/>
          <w:bottom w:val="nil"/>
          <w:right w:val="nil"/>
          <w:between w:val="nil"/>
        </w:pBdr>
        <w:jc w:val="left"/>
        <w:rPr>
          <w:rFonts w:ascii="Arial" w:eastAsia="Arial" w:hAnsi="Arial" w:cs="Arial"/>
          <w:color w:val="000000"/>
          <w:sz w:val="22"/>
          <w:szCs w:val="22"/>
        </w:rPr>
      </w:pPr>
      <w:r>
        <w:rPr>
          <w:rFonts w:ascii="Arial" w:hAnsi="Arial"/>
          <w:color w:val="000000"/>
          <w:sz w:val="22"/>
          <w:szCs w:val="22"/>
        </w:rPr>
        <w:t>“</w:t>
      </w:r>
      <w:r w:rsidR="00E87F6E" w:rsidRPr="00CF7E69">
        <w:rPr>
          <w:rFonts w:ascii="Arial" w:hAnsi="Arial"/>
          <w:color w:val="000000"/>
          <w:sz w:val="22"/>
          <w:szCs w:val="22"/>
        </w:rPr>
        <w:t>Gli impegni stabiliti da Dare Forward 2030 e il nostro ruolo di leadership nella decarbonizzazione si basano su</w:t>
      </w:r>
      <w:r w:rsidR="000B777A" w:rsidRPr="00CF7E69">
        <w:rPr>
          <w:rFonts w:ascii="Arial" w:hAnsi="Arial"/>
          <w:color w:val="000000"/>
          <w:sz w:val="22"/>
          <w:szCs w:val="22"/>
        </w:rPr>
        <w:t>lla garanzia della</w:t>
      </w:r>
      <w:r w:rsidR="00E87F6E" w:rsidRPr="00CF7E69">
        <w:rPr>
          <w:rFonts w:ascii="Arial" w:hAnsi="Arial"/>
          <w:color w:val="000000"/>
          <w:sz w:val="22"/>
          <w:szCs w:val="22"/>
        </w:rPr>
        <w:t xml:space="preserve"> fornitura di materiali chiave</w:t>
      </w:r>
      <w:r w:rsidR="000B777A" w:rsidRPr="00CF7E69">
        <w:rPr>
          <w:rFonts w:ascii="Arial" w:hAnsi="Arial"/>
          <w:color w:val="000000"/>
          <w:sz w:val="22"/>
          <w:szCs w:val="22"/>
        </w:rPr>
        <w:t xml:space="preserve"> per </w:t>
      </w:r>
      <w:r w:rsidR="005010DA" w:rsidRPr="00CF7E69">
        <w:rPr>
          <w:rFonts w:ascii="Arial" w:hAnsi="Arial"/>
          <w:color w:val="000000"/>
          <w:sz w:val="22"/>
          <w:szCs w:val="22"/>
        </w:rPr>
        <w:t>i</w:t>
      </w:r>
      <w:r w:rsidR="000B777A" w:rsidRPr="00CF7E69">
        <w:rPr>
          <w:rFonts w:ascii="Arial" w:hAnsi="Arial"/>
          <w:color w:val="000000"/>
          <w:sz w:val="22"/>
          <w:szCs w:val="22"/>
        </w:rPr>
        <w:t xml:space="preserve"> nostr</w:t>
      </w:r>
      <w:r w:rsidR="005010DA" w:rsidRPr="00CF7E69">
        <w:rPr>
          <w:rFonts w:ascii="Arial" w:hAnsi="Arial"/>
          <w:color w:val="000000"/>
          <w:sz w:val="22"/>
          <w:szCs w:val="22"/>
        </w:rPr>
        <w:t>i</w:t>
      </w:r>
      <w:r w:rsidR="000B777A" w:rsidRPr="00CF7E69">
        <w:rPr>
          <w:rFonts w:ascii="Arial" w:hAnsi="Arial"/>
          <w:color w:val="000000"/>
          <w:sz w:val="22"/>
          <w:szCs w:val="22"/>
        </w:rPr>
        <w:t xml:space="preserve"> ve</w:t>
      </w:r>
      <w:r w:rsidR="005010DA" w:rsidRPr="00CF7E69">
        <w:rPr>
          <w:rFonts w:ascii="Arial" w:hAnsi="Arial"/>
          <w:color w:val="000000"/>
          <w:sz w:val="22"/>
          <w:szCs w:val="22"/>
        </w:rPr>
        <w:t>icoli</w:t>
      </w:r>
      <w:r w:rsidR="000B777A" w:rsidRPr="00CF7E69">
        <w:rPr>
          <w:rFonts w:ascii="Arial" w:hAnsi="Arial"/>
          <w:color w:val="000000"/>
          <w:sz w:val="22"/>
          <w:szCs w:val="22"/>
        </w:rPr>
        <w:t xml:space="preserve"> elettric</w:t>
      </w:r>
      <w:r w:rsidR="005010DA" w:rsidRPr="00CF7E69">
        <w:rPr>
          <w:rFonts w:ascii="Arial" w:hAnsi="Arial"/>
          <w:color w:val="000000"/>
          <w:sz w:val="22"/>
          <w:szCs w:val="22"/>
        </w:rPr>
        <w:t>i</w:t>
      </w:r>
      <w:r>
        <w:rPr>
          <w:rFonts w:ascii="Arial" w:hAnsi="Arial"/>
          <w:color w:val="000000"/>
          <w:sz w:val="22"/>
          <w:szCs w:val="22"/>
        </w:rPr>
        <w:t>”</w:t>
      </w:r>
      <w:r w:rsidR="00E87F6E" w:rsidRPr="00CF7E69">
        <w:rPr>
          <w:rFonts w:ascii="Arial" w:hAnsi="Arial"/>
          <w:color w:val="000000"/>
          <w:sz w:val="22"/>
          <w:szCs w:val="22"/>
        </w:rPr>
        <w:t xml:space="preserve">, ha dichiarato </w:t>
      </w:r>
      <w:r w:rsidR="000B777A" w:rsidRPr="00CF7E69">
        <w:rPr>
          <w:rFonts w:ascii="Arial" w:hAnsi="Arial"/>
          <w:color w:val="000000"/>
          <w:sz w:val="22"/>
          <w:szCs w:val="22"/>
        </w:rPr>
        <w:t>Carlos Tavares</w:t>
      </w:r>
      <w:r w:rsidR="00E87F6E" w:rsidRPr="00CF7E69">
        <w:rPr>
          <w:rFonts w:ascii="Arial" w:hAnsi="Arial"/>
          <w:color w:val="000000"/>
          <w:sz w:val="22"/>
          <w:szCs w:val="22"/>
        </w:rPr>
        <w:t xml:space="preserve">, </w:t>
      </w:r>
      <w:r w:rsidR="000B777A" w:rsidRPr="00CF7E69">
        <w:rPr>
          <w:rFonts w:ascii="Arial" w:hAnsi="Arial"/>
          <w:color w:val="000000"/>
          <w:sz w:val="22"/>
          <w:szCs w:val="22"/>
        </w:rPr>
        <w:t>CEO di</w:t>
      </w:r>
      <w:r w:rsidR="00E87F6E" w:rsidRPr="00CF7E69">
        <w:rPr>
          <w:rFonts w:ascii="Arial" w:hAnsi="Arial"/>
          <w:color w:val="000000"/>
          <w:sz w:val="22"/>
          <w:szCs w:val="22"/>
        </w:rPr>
        <w:t xml:space="preserve"> Stellantis. </w:t>
      </w:r>
      <w:r>
        <w:rPr>
          <w:rFonts w:ascii="Arial" w:hAnsi="Arial"/>
          <w:color w:val="000000"/>
          <w:sz w:val="22"/>
          <w:szCs w:val="22"/>
        </w:rPr>
        <w:t>“</w:t>
      </w:r>
      <w:r w:rsidR="00E87F6E" w:rsidRPr="00CF7E69">
        <w:rPr>
          <w:rFonts w:ascii="Arial" w:hAnsi="Arial"/>
          <w:color w:val="000000"/>
          <w:sz w:val="22"/>
          <w:szCs w:val="22"/>
        </w:rPr>
        <w:t>La partnership con Alliance Nickel è un elemento essenziale del nostro piano volto a fornire una mobilità pulita, sicura e accessibile in tutto il mondo</w:t>
      </w:r>
      <w:r>
        <w:rPr>
          <w:rFonts w:ascii="Arial" w:hAnsi="Arial"/>
          <w:color w:val="000000"/>
          <w:sz w:val="22"/>
          <w:szCs w:val="22"/>
        </w:rPr>
        <w:t>”</w:t>
      </w:r>
      <w:r w:rsidR="00E87F6E" w:rsidRPr="00CF7E69">
        <w:rPr>
          <w:rFonts w:ascii="Arial" w:hAnsi="Arial"/>
          <w:color w:val="000000"/>
          <w:sz w:val="22"/>
          <w:szCs w:val="22"/>
        </w:rPr>
        <w:t>.</w:t>
      </w:r>
    </w:p>
    <w:p w14:paraId="7E138042" w14:textId="4D0809A0" w:rsidR="001A25FF" w:rsidRPr="00E241A7" w:rsidRDefault="00D2196E" w:rsidP="001A25FF">
      <w:pPr>
        <w:pBdr>
          <w:top w:val="nil"/>
          <w:left w:val="nil"/>
          <w:bottom w:val="nil"/>
          <w:right w:val="nil"/>
          <w:between w:val="nil"/>
        </w:pBdr>
        <w:jc w:val="left"/>
        <w:rPr>
          <w:rFonts w:ascii="Arial" w:eastAsia="Arial" w:hAnsi="Arial" w:cs="Arial"/>
          <w:color w:val="000000"/>
          <w:sz w:val="22"/>
          <w:szCs w:val="22"/>
        </w:rPr>
      </w:pPr>
      <w:r>
        <w:rPr>
          <w:rFonts w:ascii="Arial" w:hAnsi="Arial"/>
          <w:color w:val="000000"/>
          <w:sz w:val="22"/>
          <w:szCs w:val="22"/>
        </w:rPr>
        <w:t>“</w:t>
      </w:r>
      <w:r w:rsidR="001A25FF" w:rsidRPr="00CF7E69">
        <w:rPr>
          <w:rFonts w:ascii="Arial" w:hAnsi="Arial"/>
          <w:color w:val="000000"/>
          <w:sz w:val="22"/>
          <w:szCs w:val="22"/>
        </w:rPr>
        <w:t xml:space="preserve">Gli accordi vincolanti con Stellantis, uno dei principali e più innovativi produttori di veicoli al mondo, rappresentano una chiave di volta per il futuro di Alliance. Rafforzano la nostra strategia di sviluppo per il NiWest Nickel-Cobalt Project, aprono nuove e importanti opzioni di finanziamento e consolidano l’intesa con un cliente e un investitore di primo livello”, ha affermato Paul Kopejtka, Managing Director e CEO </w:t>
      </w:r>
      <w:r w:rsidR="000B777A" w:rsidRPr="00CF7E69">
        <w:rPr>
          <w:rFonts w:ascii="Arial" w:hAnsi="Arial"/>
          <w:color w:val="000000"/>
          <w:sz w:val="22"/>
          <w:szCs w:val="22"/>
        </w:rPr>
        <w:t>di</w:t>
      </w:r>
      <w:r w:rsidR="000B777A">
        <w:rPr>
          <w:rFonts w:ascii="Arial" w:hAnsi="Arial"/>
          <w:color w:val="000000"/>
          <w:sz w:val="22"/>
          <w:szCs w:val="22"/>
        </w:rPr>
        <w:t xml:space="preserve"> </w:t>
      </w:r>
      <w:r w:rsidR="001A25FF">
        <w:rPr>
          <w:rFonts w:ascii="Arial" w:hAnsi="Arial"/>
          <w:color w:val="000000"/>
          <w:sz w:val="22"/>
          <w:szCs w:val="22"/>
        </w:rPr>
        <w:t>Alliance. “Auspichiamo una proficua collaborazione con Stellantis e continueremo ad attuare la nostra strategia al fine di diventare il fornitore australiano di solfato di cobalto e nichel di riferimento per i mercati globali. Questo è davvero un risultato ‘We Win Together’ per entrambe le parti</w:t>
      </w:r>
      <w:r>
        <w:rPr>
          <w:rFonts w:ascii="Arial" w:hAnsi="Arial"/>
          <w:color w:val="000000"/>
          <w:sz w:val="22"/>
          <w:szCs w:val="22"/>
        </w:rPr>
        <w:t>”</w:t>
      </w:r>
      <w:r w:rsidR="001A25FF">
        <w:rPr>
          <w:rFonts w:ascii="Arial" w:hAnsi="Arial"/>
          <w:color w:val="000000"/>
          <w:sz w:val="22"/>
          <w:szCs w:val="22"/>
        </w:rPr>
        <w:t>.</w:t>
      </w:r>
    </w:p>
    <w:p w14:paraId="4BB69DFF" w14:textId="48661B70" w:rsidR="00495D4A" w:rsidRPr="00E241A7" w:rsidRDefault="00495D4A" w:rsidP="00495D4A">
      <w:pPr>
        <w:pBdr>
          <w:top w:val="nil"/>
          <w:left w:val="nil"/>
          <w:bottom w:val="nil"/>
          <w:right w:val="nil"/>
          <w:between w:val="nil"/>
        </w:pBdr>
        <w:jc w:val="left"/>
        <w:rPr>
          <w:rFonts w:ascii="Arial" w:eastAsia="Arial" w:hAnsi="Arial" w:cs="Arial"/>
          <w:color w:val="000000"/>
          <w:sz w:val="22"/>
          <w:szCs w:val="22"/>
        </w:rPr>
      </w:pPr>
      <w:r>
        <w:rPr>
          <w:rFonts w:ascii="Arial" w:hAnsi="Arial"/>
          <w:color w:val="000000"/>
          <w:sz w:val="22"/>
          <w:szCs w:val="22"/>
        </w:rPr>
        <w:t>Gli accordi vincolanti e</w:t>
      </w:r>
      <w:r w:rsidR="006A2819">
        <w:rPr>
          <w:rFonts w:ascii="Arial" w:hAnsi="Arial"/>
          <w:color w:val="000000"/>
          <w:sz w:val="22"/>
          <w:szCs w:val="22"/>
        </w:rPr>
        <w:t xml:space="preserve"> l’</w:t>
      </w:r>
      <w:r>
        <w:rPr>
          <w:rFonts w:ascii="Arial" w:hAnsi="Arial"/>
          <w:color w:val="000000"/>
          <w:sz w:val="22"/>
          <w:szCs w:val="22"/>
        </w:rPr>
        <w:t xml:space="preserve">acquisto di azioni consolidano la partnership tra Stellantis e Alliance Nickel </w:t>
      </w:r>
      <w:hyperlink r:id="rId12" w:history="1">
        <w:r>
          <w:rPr>
            <w:rStyle w:val="Hyperlink"/>
            <w:rFonts w:ascii="Arial" w:hAnsi="Arial"/>
            <w:sz w:val="22"/>
            <w:szCs w:val="22"/>
            <w:u w:val="single"/>
          </w:rPr>
          <w:t>iniziata nell'ottobre 2022</w:t>
        </w:r>
      </w:hyperlink>
      <w:r>
        <w:rPr>
          <w:rFonts w:ascii="Arial" w:hAnsi="Arial"/>
          <w:color w:val="000000"/>
          <w:sz w:val="22"/>
          <w:szCs w:val="22"/>
        </w:rPr>
        <w:t xml:space="preserve"> con un memorandum d</w:t>
      </w:r>
      <w:r w:rsidR="00D2196E">
        <w:rPr>
          <w:rFonts w:ascii="Arial" w:hAnsi="Arial"/>
          <w:color w:val="000000"/>
          <w:sz w:val="22"/>
          <w:szCs w:val="22"/>
        </w:rPr>
        <w:t>’</w:t>
      </w:r>
      <w:r>
        <w:rPr>
          <w:rFonts w:ascii="Arial" w:hAnsi="Arial"/>
          <w:color w:val="000000"/>
          <w:sz w:val="22"/>
          <w:szCs w:val="22"/>
        </w:rPr>
        <w:t>intesa non vincolante per la fornitura di materiali per batterie di veicoli elettrici.</w:t>
      </w:r>
    </w:p>
    <w:p w14:paraId="062F6508" w14:textId="38C92833" w:rsidR="00495D4A" w:rsidRPr="00E241A7" w:rsidRDefault="0001239C" w:rsidP="00495D4A">
      <w:pPr>
        <w:pBdr>
          <w:top w:val="nil"/>
          <w:left w:val="nil"/>
          <w:bottom w:val="nil"/>
          <w:right w:val="nil"/>
          <w:between w:val="nil"/>
        </w:pBdr>
        <w:jc w:val="left"/>
        <w:rPr>
          <w:rFonts w:ascii="Arial" w:eastAsia="Arial" w:hAnsi="Arial" w:cs="Arial"/>
          <w:color w:val="000000"/>
          <w:sz w:val="22"/>
          <w:szCs w:val="22"/>
        </w:rPr>
      </w:pPr>
      <w:r>
        <w:rPr>
          <w:rFonts w:ascii="Arial" w:hAnsi="Arial"/>
          <w:color w:val="000000"/>
          <w:sz w:val="22"/>
          <w:szCs w:val="22"/>
        </w:rPr>
        <w:lastRenderedPageBreak/>
        <w:t>I fondi derivanti dall</w:t>
      </w:r>
      <w:r w:rsidR="00D2196E">
        <w:rPr>
          <w:rFonts w:ascii="Arial" w:hAnsi="Arial"/>
          <w:color w:val="000000"/>
          <w:sz w:val="22"/>
          <w:szCs w:val="22"/>
        </w:rPr>
        <w:t>’</w:t>
      </w:r>
      <w:r>
        <w:rPr>
          <w:rFonts w:ascii="Arial" w:hAnsi="Arial"/>
          <w:color w:val="000000"/>
          <w:sz w:val="22"/>
          <w:szCs w:val="22"/>
        </w:rPr>
        <w:t>acquisto di azioni saranno utilizzati per il completamento dello Studio di Fattibilità Definitivo del NiWest Project. A questo si aggiungeranno le attività di progettazione ingegneristica, previste per l</w:t>
      </w:r>
      <w:r w:rsidR="00D2196E">
        <w:rPr>
          <w:rFonts w:ascii="Arial" w:hAnsi="Arial"/>
          <w:color w:val="000000"/>
          <w:sz w:val="22"/>
          <w:szCs w:val="22"/>
        </w:rPr>
        <w:t>’</w:t>
      </w:r>
      <w:r>
        <w:rPr>
          <w:rFonts w:ascii="Arial" w:hAnsi="Arial"/>
          <w:color w:val="000000"/>
          <w:sz w:val="22"/>
          <w:szCs w:val="22"/>
        </w:rPr>
        <w:t>ultimo trimestre del 2023.</w:t>
      </w:r>
    </w:p>
    <w:p w14:paraId="7A5DD90C" w14:textId="6CD5D486" w:rsidR="005010DA" w:rsidRPr="00CF7E69" w:rsidRDefault="00044E26" w:rsidP="00FD3C15">
      <w:pPr>
        <w:pBdr>
          <w:top w:val="nil"/>
          <w:left w:val="nil"/>
          <w:bottom w:val="nil"/>
          <w:right w:val="nil"/>
          <w:between w:val="nil"/>
        </w:pBdr>
        <w:jc w:val="left"/>
        <w:rPr>
          <w:rFonts w:ascii="Arial" w:hAnsi="Arial"/>
          <w:color w:val="000000"/>
          <w:sz w:val="22"/>
          <w:szCs w:val="22"/>
        </w:rPr>
      </w:pPr>
      <w:r>
        <w:rPr>
          <w:rFonts w:ascii="Arial" w:hAnsi="Arial"/>
          <w:color w:val="000000"/>
          <w:sz w:val="22"/>
          <w:szCs w:val="22"/>
        </w:rPr>
        <w:t xml:space="preserve">Nell’ambito del piano strategico </w:t>
      </w:r>
      <w:r>
        <w:fldChar w:fldCharType="begin"/>
      </w:r>
      <w:r w:rsidR="00D2196E">
        <w:instrText>HYPERLINK "https://www.stellantis.com/it/il-gruppo/dare-forward-2030"</w:instrText>
      </w:r>
      <w:r>
        <w:fldChar w:fldCharType="separate"/>
      </w:r>
      <w:r>
        <w:rPr>
          <w:rStyle w:val="Hyperlink"/>
          <w:rFonts w:ascii="Arial" w:hAnsi="Arial"/>
          <w:sz w:val="22"/>
          <w:szCs w:val="22"/>
          <w:u w:val="single"/>
        </w:rPr>
        <w:t>Dare Forward 2030</w:t>
      </w:r>
      <w:r>
        <w:rPr>
          <w:rStyle w:val="Hyperlink"/>
          <w:rFonts w:ascii="Arial" w:hAnsi="Arial"/>
          <w:sz w:val="22"/>
          <w:szCs w:val="22"/>
          <w:u w:val="single"/>
        </w:rPr>
        <w:fldChar w:fldCharType="end"/>
      </w:r>
      <w:r>
        <w:t xml:space="preserve">, </w:t>
      </w:r>
      <w:r w:rsidRPr="000B777A">
        <w:rPr>
          <w:rFonts w:ascii="Arial" w:hAnsi="Arial"/>
          <w:color w:val="000000"/>
          <w:sz w:val="22"/>
          <w:szCs w:val="22"/>
        </w:rPr>
        <w:t xml:space="preserve">Stellantis ha annunciato </w:t>
      </w:r>
      <w:r w:rsidRPr="00CF7E69">
        <w:rPr>
          <w:rFonts w:ascii="Arial" w:hAnsi="Arial"/>
          <w:color w:val="000000"/>
          <w:sz w:val="22"/>
          <w:szCs w:val="22"/>
        </w:rPr>
        <w:t xml:space="preserve">l’obiettivo di </w:t>
      </w:r>
      <w:r w:rsidR="005010DA" w:rsidRPr="00CF7E69">
        <w:rPr>
          <w:rFonts w:ascii="Arial" w:hAnsi="Arial"/>
          <w:color w:val="000000"/>
          <w:sz w:val="22"/>
          <w:szCs w:val="22"/>
        </w:rPr>
        <w:t>raggiungere</w:t>
      </w:r>
      <w:r w:rsidRPr="00CF7E69">
        <w:rPr>
          <w:rFonts w:ascii="Arial" w:hAnsi="Arial"/>
          <w:color w:val="000000"/>
          <w:sz w:val="22"/>
          <w:szCs w:val="22"/>
        </w:rPr>
        <w:t xml:space="preserve"> entro il 2030 il 100% del mix di vendite con veicoli elettrici a batteria (BEV) in Europa e il 50% con autovetture e </w:t>
      </w:r>
      <w:r w:rsidR="007A7C2E" w:rsidRPr="00CF7E69">
        <w:rPr>
          <w:rFonts w:ascii="Arial" w:hAnsi="Arial"/>
          <w:color w:val="000000"/>
          <w:sz w:val="22"/>
          <w:szCs w:val="22"/>
        </w:rPr>
        <w:t xml:space="preserve">veicoli commerciali </w:t>
      </w:r>
      <w:r w:rsidRPr="00CF7E69">
        <w:rPr>
          <w:rFonts w:ascii="Arial" w:hAnsi="Arial"/>
          <w:color w:val="000000"/>
          <w:sz w:val="22"/>
          <w:szCs w:val="22"/>
        </w:rPr>
        <w:t>leggeri BEV negli Stati Uniti. Stellantis conta di dimezzare le emissioni di CO2 entro il 2030 (con riferimento alle metriche del 2021) e di raggiungere l</w:t>
      </w:r>
      <w:r w:rsidR="00D2196E">
        <w:rPr>
          <w:rFonts w:ascii="Arial" w:hAnsi="Arial"/>
          <w:color w:val="000000"/>
          <w:sz w:val="22"/>
          <w:szCs w:val="22"/>
        </w:rPr>
        <w:t>’</w:t>
      </w:r>
      <w:r w:rsidRPr="00CF7E69">
        <w:rPr>
          <w:rFonts w:ascii="Arial" w:hAnsi="Arial"/>
          <w:color w:val="000000"/>
          <w:sz w:val="22"/>
          <w:szCs w:val="22"/>
        </w:rPr>
        <w:t xml:space="preserve">azzeramento delle emissioni di anidride carbonica entro il 2038, con una percentuale di compensazione a una cifra per le emissioni rimanenti. </w:t>
      </w:r>
    </w:p>
    <w:p w14:paraId="3B55D44D" w14:textId="5C13ED8A" w:rsidR="00FD3C15" w:rsidRPr="00CF7E69" w:rsidRDefault="00044E26" w:rsidP="00FD3C15">
      <w:pPr>
        <w:pBdr>
          <w:top w:val="nil"/>
          <w:left w:val="nil"/>
          <w:bottom w:val="nil"/>
          <w:right w:val="nil"/>
          <w:between w:val="nil"/>
        </w:pBdr>
        <w:jc w:val="left"/>
        <w:rPr>
          <w:rFonts w:ascii="Arial" w:hAnsi="Arial"/>
          <w:color w:val="000000"/>
          <w:sz w:val="22"/>
          <w:szCs w:val="22"/>
        </w:rPr>
      </w:pPr>
      <w:r w:rsidRPr="00CF7E69">
        <w:rPr>
          <w:rFonts w:ascii="Arial" w:hAnsi="Arial"/>
          <w:color w:val="000000"/>
          <w:sz w:val="22"/>
          <w:szCs w:val="22"/>
        </w:rPr>
        <w:t xml:space="preserve">Il completamento degli accordi vincolanti e </w:t>
      </w:r>
      <w:r w:rsidR="006A2819">
        <w:rPr>
          <w:rFonts w:ascii="Arial" w:hAnsi="Arial"/>
          <w:color w:val="000000"/>
          <w:sz w:val="22"/>
          <w:szCs w:val="22"/>
        </w:rPr>
        <w:t xml:space="preserve">la </w:t>
      </w:r>
      <w:r w:rsidRPr="00CF7E69">
        <w:rPr>
          <w:rFonts w:ascii="Arial" w:hAnsi="Arial"/>
          <w:color w:val="000000"/>
          <w:sz w:val="22"/>
          <w:szCs w:val="22"/>
        </w:rPr>
        <w:t xml:space="preserve">sottoscrizione delle azioni </w:t>
      </w:r>
      <w:r w:rsidR="00D11851">
        <w:rPr>
          <w:rFonts w:ascii="Arial" w:hAnsi="Arial"/>
          <w:color w:val="000000"/>
          <w:sz w:val="22"/>
          <w:szCs w:val="22"/>
        </w:rPr>
        <w:t>sono soggetti</w:t>
      </w:r>
      <w:r w:rsidRPr="00CF7E69">
        <w:rPr>
          <w:rFonts w:ascii="Arial" w:hAnsi="Arial"/>
          <w:color w:val="000000"/>
          <w:sz w:val="22"/>
          <w:szCs w:val="22"/>
        </w:rPr>
        <w:t xml:space="preserve"> alle consuete condizioni di chiusura, comprese le approvazioni normative.</w:t>
      </w:r>
    </w:p>
    <w:p w14:paraId="062597E8" w14:textId="5BFA0A02" w:rsidR="00044E26" w:rsidRPr="00E241A7" w:rsidRDefault="005010DA" w:rsidP="00044E26">
      <w:pPr>
        <w:pBdr>
          <w:top w:val="nil"/>
          <w:left w:val="nil"/>
          <w:bottom w:val="nil"/>
          <w:right w:val="nil"/>
          <w:between w:val="nil"/>
        </w:pBdr>
        <w:jc w:val="left"/>
        <w:rPr>
          <w:rFonts w:ascii="Arial" w:eastAsia="Arial" w:hAnsi="Arial" w:cs="Arial"/>
          <w:color w:val="000000"/>
          <w:sz w:val="22"/>
          <w:szCs w:val="22"/>
        </w:rPr>
      </w:pPr>
      <w:r w:rsidRPr="00CF7E69">
        <w:rPr>
          <w:rFonts w:ascii="Arial" w:hAnsi="Arial"/>
          <w:color w:val="000000"/>
          <w:sz w:val="22"/>
          <w:szCs w:val="22"/>
        </w:rPr>
        <w:t>Stellantis</w:t>
      </w:r>
      <w:r w:rsidR="00FD3C15">
        <w:rPr>
          <w:rFonts w:ascii="Arial" w:hAnsi="Arial"/>
          <w:color w:val="000000"/>
          <w:sz w:val="22"/>
          <w:szCs w:val="22"/>
        </w:rPr>
        <w:t xml:space="preserve"> sta creando una rete di partnership chiave per garantire una fornitura stabile di materiali fondamentali per il suo futuro elettrificato. Oltre ad Alliance Nickel, Stellantis annovera tra i suoi partner </w:t>
      </w:r>
      <w:hyperlink r:id="rId13" w:history="1">
        <w:r w:rsidR="00FD3C15">
          <w:rPr>
            <w:rStyle w:val="Hyperlink"/>
            <w:rFonts w:ascii="Arial" w:hAnsi="Arial"/>
            <w:sz w:val="22"/>
            <w:szCs w:val="22"/>
            <w:u w:val="single"/>
          </w:rPr>
          <w:t>McEwen Copper</w:t>
        </w:r>
      </w:hyperlink>
      <w:r w:rsidR="00FD3C15">
        <w:rPr>
          <w:rFonts w:ascii="Arial" w:hAnsi="Arial"/>
          <w:color w:val="000000"/>
          <w:sz w:val="22"/>
          <w:szCs w:val="22"/>
        </w:rPr>
        <w:t xml:space="preserve">, </w:t>
      </w:r>
      <w:hyperlink r:id="rId14" w:history="1">
        <w:r w:rsidR="00FD3C15">
          <w:rPr>
            <w:rStyle w:val="Hyperlink"/>
            <w:rFonts w:ascii="Arial" w:hAnsi="Arial"/>
            <w:sz w:val="22"/>
            <w:szCs w:val="22"/>
            <w:u w:val="single"/>
          </w:rPr>
          <w:t>Terrafame</w:t>
        </w:r>
      </w:hyperlink>
      <w:r w:rsidR="00FD3C15">
        <w:rPr>
          <w:rFonts w:ascii="Arial" w:hAnsi="Arial"/>
          <w:color w:val="000000"/>
          <w:sz w:val="22"/>
          <w:szCs w:val="22"/>
        </w:rPr>
        <w:t xml:space="preserve">, </w:t>
      </w:r>
      <w:hyperlink r:id="rId15" w:history="1">
        <w:r w:rsidR="00FD3C15">
          <w:rPr>
            <w:rStyle w:val="Hyperlink"/>
            <w:rFonts w:ascii="Arial" w:hAnsi="Arial"/>
            <w:sz w:val="22"/>
            <w:szCs w:val="22"/>
            <w:u w:val="single"/>
          </w:rPr>
          <w:t>Vulcan Energy</w:t>
        </w:r>
      </w:hyperlink>
      <w:r w:rsidR="00FD3C15">
        <w:rPr>
          <w:rFonts w:ascii="Arial" w:hAnsi="Arial"/>
          <w:color w:val="000000"/>
          <w:sz w:val="22"/>
          <w:szCs w:val="22"/>
        </w:rPr>
        <w:t xml:space="preserve">, </w:t>
      </w:r>
      <w:hyperlink r:id="rId16" w:history="1">
        <w:r w:rsidR="00FD3C15">
          <w:rPr>
            <w:rStyle w:val="Hyperlink"/>
            <w:rFonts w:ascii="Arial" w:hAnsi="Arial"/>
            <w:sz w:val="22"/>
            <w:szCs w:val="22"/>
            <w:u w:val="single"/>
          </w:rPr>
          <w:t>Element 25</w:t>
        </w:r>
      </w:hyperlink>
      <w:r w:rsidR="00FD3C15">
        <w:rPr>
          <w:rFonts w:ascii="Arial" w:hAnsi="Arial"/>
          <w:color w:val="000000"/>
          <w:sz w:val="22"/>
          <w:szCs w:val="22"/>
        </w:rPr>
        <w:t xml:space="preserve"> e </w:t>
      </w:r>
      <w:hyperlink r:id="rId17" w:history="1">
        <w:r w:rsidR="00FD3C15">
          <w:rPr>
            <w:rStyle w:val="Hyperlink"/>
            <w:rFonts w:ascii="Arial" w:hAnsi="Arial"/>
            <w:sz w:val="22"/>
            <w:szCs w:val="22"/>
            <w:u w:val="single"/>
          </w:rPr>
          <w:t>Controlled Thermal Resources</w:t>
        </w:r>
      </w:hyperlink>
      <w:r w:rsidR="00FD3C15">
        <w:rPr>
          <w:rFonts w:ascii="Arial" w:hAnsi="Arial"/>
          <w:color w:val="000000"/>
          <w:sz w:val="22"/>
          <w:szCs w:val="22"/>
        </w:rPr>
        <w:t xml:space="preserve">. </w:t>
      </w:r>
    </w:p>
    <w:p w14:paraId="2E5CA74B" w14:textId="7BECE320" w:rsidR="007F0624" w:rsidRPr="00E241A7" w:rsidRDefault="007F0624" w:rsidP="007F0624">
      <w:pPr>
        <w:jc w:val="center"/>
        <w:rPr>
          <w:rFonts w:ascii="Arial" w:eastAsia="Encode Sans" w:hAnsi="Arial" w:cs="Arial"/>
          <w:sz w:val="22"/>
          <w:szCs w:val="22"/>
        </w:rPr>
      </w:pPr>
      <w:r>
        <w:rPr>
          <w:rFonts w:ascii="Arial" w:hAnsi="Arial"/>
          <w:sz w:val="22"/>
          <w:szCs w:val="22"/>
        </w:rPr>
        <w:t># # #</w:t>
      </w:r>
    </w:p>
    <w:p w14:paraId="15F7AD6E" w14:textId="77777777" w:rsidR="007A1CD0" w:rsidRPr="00E241A7" w:rsidRDefault="007A1CD0" w:rsidP="00E653B0">
      <w:pPr>
        <w:spacing w:after="0"/>
        <w:rPr>
          <w:rFonts w:ascii="Arial" w:eastAsia="Times New Roman" w:hAnsi="Arial" w:cs="Arial"/>
          <w:b/>
          <w:bCs/>
          <w:sz w:val="22"/>
          <w:szCs w:val="22"/>
        </w:rPr>
      </w:pPr>
      <w:bookmarkStart w:id="0" w:name="_Hlk106354158"/>
    </w:p>
    <w:p w14:paraId="46D4EF33" w14:textId="7C2E441B" w:rsidR="00211BDA" w:rsidRPr="0058020B" w:rsidRDefault="00211BDA" w:rsidP="00E653B0">
      <w:pPr>
        <w:spacing w:after="0"/>
        <w:rPr>
          <w:rFonts w:ascii="Arial" w:eastAsia="Times New Roman" w:hAnsi="Arial" w:cs="Arial"/>
          <w:b/>
          <w:bCs/>
          <w:sz w:val="20"/>
          <w:szCs w:val="20"/>
        </w:rPr>
      </w:pPr>
      <w:r>
        <w:rPr>
          <w:rFonts w:ascii="Arial" w:hAnsi="Arial"/>
          <w:b/>
          <w:bCs/>
          <w:sz w:val="20"/>
          <w:szCs w:val="20"/>
        </w:rPr>
        <w:t>Stellantis</w:t>
      </w:r>
    </w:p>
    <w:bookmarkEnd w:id="0"/>
    <w:p w14:paraId="4B1252EB" w14:textId="2C8B6E75" w:rsidR="009D782E" w:rsidRPr="0058020B" w:rsidRDefault="00C87382">
      <w:pPr>
        <w:pBdr>
          <w:top w:val="nil"/>
          <w:left w:val="nil"/>
          <w:bottom w:val="nil"/>
          <w:right w:val="nil"/>
          <w:between w:val="nil"/>
        </w:pBdr>
        <w:spacing w:after="0"/>
        <w:jc w:val="left"/>
        <w:rPr>
          <w:rFonts w:ascii="Arial" w:eastAsia="Arial" w:hAnsi="Arial" w:cs="Arial"/>
          <w:iCs/>
          <w:color w:val="000000"/>
          <w:sz w:val="20"/>
          <w:szCs w:val="20"/>
        </w:rPr>
      </w:pPr>
      <w:r>
        <w:rPr>
          <w:rFonts w:ascii="Arial" w:hAnsi="Arial"/>
          <w:i/>
          <w:iCs/>
          <w:sz w:val="20"/>
          <w:szCs w:val="20"/>
        </w:rPr>
        <w:t>Stellantis N.V. (NYSE: STLA / Euronext Milan: STLAM / Euronext Pari</w:t>
      </w:r>
      <w:r w:rsidR="00324CA6">
        <w:rPr>
          <w:rFonts w:ascii="Arial" w:hAnsi="Arial"/>
          <w:i/>
          <w:iCs/>
          <w:sz w:val="20"/>
          <w:szCs w:val="20"/>
        </w:rPr>
        <w:t>s</w:t>
      </w:r>
      <w:r>
        <w:rPr>
          <w:rFonts w:ascii="Arial" w:hAnsi="Arial"/>
          <w:i/>
          <w:iCs/>
          <w:sz w:val="20"/>
          <w:szCs w:val="20"/>
        </w:rPr>
        <w:t>: STLAP) è leader a livello mondiale nella produzione di veicoli e fornitore di mobilità. I suoi marchi iconici e ricchi di storia – Abarth, Alfa Romeo, Chrysler, Citroën, Dodge, DS Automobiles, Fiat, Jeep®, Lancia, Maserati, Opel, Peugeot, Ram, Vauxhall, Free2move e Leasys – danno forma concreta alla passione dei loro fondatori e dei nostri clienti offrendo prodotti e servizi innovativi. Grazie alla diversità che ci alimenta, guidiamo il modo in cui il mondo si muove, aspirando a diventare la migliore azienda tecnologica di mobilità sostenibile, non la più grande, creando al contempo valore aggiunto per tutti gli stakeholder nonché per le community in cui opera. Per maggiori informazioni, visitare www.stellantis.com.</w:t>
      </w:r>
    </w:p>
    <w:p w14:paraId="5ACDCE29" w14:textId="77777777" w:rsidR="00C87382" w:rsidRPr="0058020B" w:rsidRDefault="00C87382" w:rsidP="005C533B">
      <w:pPr>
        <w:spacing w:after="0"/>
        <w:jc w:val="left"/>
        <w:rPr>
          <w:rFonts w:ascii="Arial" w:eastAsia="Times New Roman" w:hAnsi="Arial" w:cs="Arial"/>
          <w:b/>
          <w:bCs/>
          <w:sz w:val="20"/>
          <w:szCs w:val="20"/>
          <w:lang w:val="en-AU"/>
        </w:rPr>
      </w:pPr>
    </w:p>
    <w:p w14:paraId="2BB1DB2F" w14:textId="3E58414C" w:rsidR="005C533B" w:rsidRPr="0058020B" w:rsidRDefault="005C533B" w:rsidP="005C533B">
      <w:pPr>
        <w:spacing w:after="0"/>
        <w:jc w:val="left"/>
        <w:rPr>
          <w:rFonts w:ascii="Arial" w:eastAsia="Times New Roman" w:hAnsi="Arial" w:cs="Arial"/>
          <w:b/>
          <w:bCs/>
          <w:sz w:val="20"/>
          <w:szCs w:val="20"/>
        </w:rPr>
      </w:pPr>
      <w:r>
        <w:rPr>
          <w:rFonts w:ascii="Arial" w:hAnsi="Arial"/>
          <w:b/>
          <w:bCs/>
          <w:sz w:val="20"/>
          <w:szCs w:val="20"/>
        </w:rPr>
        <w:t>Alliance Nickel Limited</w:t>
      </w:r>
    </w:p>
    <w:p w14:paraId="61327795" w14:textId="446FE8FC" w:rsidR="005C533B" w:rsidRPr="0058020B" w:rsidRDefault="005C533B" w:rsidP="005C533B">
      <w:pPr>
        <w:spacing w:after="0"/>
        <w:jc w:val="left"/>
        <w:rPr>
          <w:rFonts w:ascii="Arial" w:eastAsia="Times New Roman" w:hAnsi="Arial" w:cs="Arial"/>
          <w:sz w:val="20"/>
          <w:szCs w:val="20"/>
        </w:rPr>
      </w:pPr>
      <w:r>
        <w:rPr>
          <w:rFonts w:ascii="Arial" w:hAnsi="Arial"/>
          <w:sz w:val="20"/>
          <w:szCs w:val="20"/>
        </w:rPr>
        <w:t>Alliance Nickel Limited è una società di sviluppo di nichel e minerali critici quotata all</w:t>
      </w:r>
      <w:r w:rsidR="00D2196E">
        <w:rPr>
          <w:rFonts w:ascii="Arial" w:hAnsi="Arial"/>
          <w:sz w:val="20"/>
          <w:szCs w:val="20"/>
        </w:rPr>
        <w:t>’</w:t>
      </w:r>
      <w:r>
        <w:rPr>
          <w:rFonts w:ascii="Arial" w:hAnsi="Arial"/>
          <w:sz w:val="20"/>
          <w:szCs w:val="20"/>
        </w:rPr>
        <w:t>ASX. Il suo fiore all’occhiello è rappresentato da NiWest Nickel Cobalt Project, di proprietà al 100%, che contiene una delle risorse di nichel laterite non sviluppate di più alto grado in Australia. Il Project è situato in una posizione strategica, adiacente alle operazioni Murrin Murrin di Glencore, e ha accesso alle infrastrutture minerarie primarie esistenti nell’area, come una rete consolidata di strade, una ferrovia e un gasdotto. La Società ha completato uno Studio di pre-fattibilità che ha confermato l’applicabilità tecnica ed economica di un</w:t>
      </w:r>
      <w:r w:rsidR="00D2196E">
        <w:rPr>
          <w:rFonts w:ascii="Arial" w:hAnsi="Arial"/>
          <w:sz w:val="20"/>
          <w:szCs w:val="20"/>
        </w:rPr>
        <w:t>’</w:t>
      </w:r>
      <w:r>
        <w:rPr>
          <w:rFonts w:ascii="Arial" w:hAnsi="Arial"/>
          <w:sz w:val="20"/>
          <w:szCs w:val="20"/>
        </w:rPr>
        <w:t xml:space="preserve">operazione di lisciviazione in cumulo e di estrazione diretta con solvente. L’obiettivo è quello di produrre solfato di nichel e cobalto di Classe 1 a basso costo e di alta qualità per i produttori di batterie e le case automobilistiche del settore dei veicoli elettrici (EV). </w:t>
      </w:r>
    </w:p>
    <w:p w14:paraId="68228357" w14:textId="77777777" w:rsidR="005C533B" w:rsidRPr="001B3A94" w:rsidRDefault="005C533B" w:rsidP="005C533B">
      <w:pPr>
        <w:spacing w:after="0"/>
        <w:jc w:val="left"/>
        <w:rPr>
          <w:rFonts w:ascii="Arial" w:eastAsia="Times New Roman" w:hAnsi="Arial" w:cs="Arial"/>
          <w:sz w:val="22"/>
          <w:szCs w:val="22"/>
        </w:rPr>
      </w:pPr>
    </w:p>
    <w:p w14:paraId="295F216C" w14:textId="122683DE" w:rsidR="00DF61C4" w:rsidRPr="0043219D" w:rsidRDefault="005C533B" w:rsidP="005C533B">
      <w:pPr>
        <w:spacing w:after="0"/>
        <w:jc w:val="left"/>
        <w:rPr>
          <w:rFonts w:ascii="Arial" w:eastAsia="Times New Roman" w:hAnsi="Arial" w:cs="Arial"/>
          <w:sz w:val="20"/>
          <w:szCs w:val="20"/>
        </w:rPr>
      </w:pPr>
      <w:r w:rsidRPr="0043219D">
        <w:rPr>
          <w:rFonts w:ascii="Arial" w:hAnsi="Arial" w:cs="Arial"/>
          <w:sz w:val="20"/>
          <w:szCs w:val="20"/>
        </w:rPr>
        <w:t xml:space="preserve">Ulteriori informazioni sono disponibili sul sito web Alliance </w:t>
      </w:r>
      <w:hyperlink r:id="rId18" w:history="1">
        <w:r w:rsidRPr="0043219D">
          <w:rPr>
            <w:rStyle w:val="Hyperlink"/>
            <w:rFonts w:ascii="Arial" w:hAnsi="Arial" w:cs="Arial"/>
            <w:sz w:val="20"/>
            <w:szCs w:val="20"/>
          </w:rPr>
          <w:t>www.alliancenickel.au</w:t>
        </w:r>
      </w:hyperlink>
    </w:p>
    <w:p w14:paraId="6E314FD1" w14:textId="77777777" w:rsidR="005C533B" w:rsidRPr="00E241A7" w:rsidRDefault="005C533B" w:rsidP="00211BDA">
      <w:pPr>
        <w:spacing w:after="0"/>
        <w:rPr>
          <w:rFonts w:ascii="Arial" w:eastAsia="Arial" w:hAnsi="Arial" w:cs="Arial"/>
          <w:b/>
          <w:sz w:val="22"/>
          <w:szCs w:val="22"/>
        </w:rPr>
      </w:pPr>
    </w:p>
    <w:p w14:paraId="09667F5E" w14:textId="4A31A91B" w:rsidR="00211BDA" w:rsidRPr="00E241A7" w:rsidRDefault="00211BDA" w:rsidP="00211BDA">
      <w:pPr>
        <w:spacing w:after="0"/>
        <w:rPr>
          <w:rFonts w:ascii="Arial" w:eastAsia="Arial" w:hAnsi="Arial" w:cs="Arial"/>
          <w:b/>
          <w:sz w:val="22"/>
          <w:szCs w:val="22"/>
        </w:rPr>
      </w:pPr>
      <w:r>
        <w:rPr>
          <w:rFonts w:ascii="Arial" w:hAnsi="Arial"/>
          <w:b/>
          <w:sz w:val="22"/>
          <w:szCs w:val="22"/>
        </w:rPr>
        <w:t>Contatti:</w:t>
      </w:r>
    </w:p>
    <w:p w14:paraId="3C30E1AF" w14:textId="77777777" w:rsidR="00211BDA" w:rsidRPr="00E241A7" w:rsidRDefault="00211BDA" w:rsidP="00211BDA">
      <w:pPr>
        <w:spacing w:after="0"/>
        <w:rPr>
          <w:rFonts w:ascii="Arial" w:eastAsiaTheme="minorEastAsia" w:hAnsi="Arial" w:cs="Arial"/>
          <w:sz w:val="22"/>
          <w:szCs w:val="22"/>
          <w:lang w:val="fr-FR"/>
        </w:rPr>
      </w:pPr>
    </w:p>
    <w:p w14:paraId="7ED2C733" w14:textId="77777777" w:rsidR="00211BDA" w:rsidRPr="00E241A7" w:rsidRDefault="00211BDA" w:rsidP="00211BDA">
      <w:pPr>
        <w:spacing w:after="0"/>
        <w:rPr>
          <w:rFonts w:ascii="Arial" w:hAnsi="Arial" w:cs="Arial"/>
          <w:b/>
          <w:bCs/>
          <w:sz w:val="22"/>
          <w:szCs w:val="22"/>
        </w:rPr>
      </w:pPr>
      <w:bookmarkStart w:id="1" w:name="_Hlk115941120"/>
      <w:r>
        <w:rPr>
          <w:rFonts w:ascii="Arial" w:hAnsi="Arial"/>
          <w:b/>
          <w:bCs/>
          <w:sz w:val="22"/>
          <w:szCs w:val="22"/>
        </w:rPr>
        <w:t>Stellantis</w:t>
      </w:r>
    </w:p>
    <w:p w14:paraId="7730F5DF" w14:textId="77777777" w:rsidR="00211BDA" w:rsidRPr="00E241A7" w:rsidRDefault="00211BDA" w:rsidP="00211BDA">
      <w:pPr>
        <w:spacing w:after="0"/>
        <w:rPr>
          <w:rFonts w:ascii="Arial" w:hAnsi="Arial" w:cs="Arial"/>
          <w:sz w:val="22"/>
          <w:szCs w:val="22"/>
          <w:lang w:val="fr-FR"/>
        </w:rPr>
      </w:pPr>
    </w:p>
    <w:p w14:paraId="2C556014" w14:textId="77777777" w:rsidR="00211BDA" w:rsidRPr="0058020B" w:rsidRDefault="00211BDA" w:rsidP="00211BDA">
      <w:pPr>
        <w:tabs>
          <w:tab w:val="left" w:pos="2592"/>
        </w:tabs>
        <w:spacing w:after="0"/>
        <w:rPr>
          <w:rFonts w:ascii="Arial" w:eastAsia="Arial" w:hAnsi="Arial" w:cs="Arial"/>
          <w:b/>
          <w:bCs/>
          <w:sz w:val="18"/>
          <w:szCs w:val="18"/>
        </w:rPr>
      </w:pPr>
      <w:r>
        <w:rPr>
          <w:rFonts w:ascii="Arial" w:hAnsi="Arial"/>
          <w:b/>
          <w:bCs/>
          <w:sz w:val="18"/>
          <w:szCs w:val="18"/>
        </w:rPr>
        <w:t xml:space="preserve">Fernão Silveira </w:t>
      </w:r>
    </w:p>
    <w:p w14:paraId="6253A0AD" w14:textId="77777777" w:rsidR="00211BDA" w:rsidRPr="0058020B" w:rsidRDefault="00211BDA" w:rsidP="00211BDA">
      <w:pPr>
        <w:tabs>
          <w:tab w:val="left" w:pos="2592"/>
        </w:tabs>
        <w:spacing w:after="0"/>
        <w:rPr>
          <w:rFonts w:ascii="Arial" w:eastAsia="Arial" w:hAnsi="Arial" w:cs="Arial"/>
          <w:sz w:val="18"/>
          <w:szCs w:val="18"/>
        </w:rPr>
      </w:pPr>
      <w:r>
        <w:rPr>
          <w:rFonts w:ascii="Arial" w:hAnsi="Arial"/>
          <w:sz w:val="18"/>
          <w:szCs w:val="18"/>
        </w:rPr>
        <w:t>Global Communications / Stellantis</w:t>
      </w:r>
    </w:p>
    <w:p w14:paraId="367451AF" w14:textId="77777777" w:rsidR="008E1ACE" w:rsidRPr="001B3A94" w:rsidRDefault="008E1ACE" w:rsidP="00211BDA">
      <w:pPr>
        <w:tabs>
          <w:tab w:val="left" w:pos="2592"/>
        </w:tabs>
        <w:spacing w:after="0"/>
        <w:rPr>
          <w:rFonts w:ascii="Arial" w:eastAsia="Arial" w:hAnsi="Arial" w:cs="Arial"/>
          <w:sz w:val="18"/>
          <w:szCs w:val="18"/>
          <w:lang w:val="en-US"/>
        </w:rPr>
      </w:pPr>
      <w:r w:rsidRPr="001B3A94">
        <w:rPr>
          <w:rFonts w:ascii="Arial" w:hAnsi="Arial"/>
          <w:sz w:val="18"/>
          <w:szCs w:val="18"/>
          <w:lang w:val="en-US"/>
        </w:rPr>
        <w:t>+31 6 43 25 43 41</w:t>
      </w:r>
    </w:p>
    <w:p w14:paraId="3D47FCA4" w14:textId="2471A283" w:rsidR="00211BDA" w:rsidRPr="001B3A94" w:rsidRDefault="00211BDA" w:rsidP="00211BDA">
      <w:pPr>
        <w:tabs>
          <w:tab w:val="left" w:pos="2592"/>
        </w:tabs>
        <w:spacing w:after="0"/>
        <w:rPr>
          <w:rFonts w:ascii="Arial" w:eastAsia="Arial" w:hAnsi="Arial" w:cs="Arial"/>
          <w:sz w:val="18"/>
          <w:szCs w:val="18"/>
          <w:lang w:val="en-US"/>
        </w:rPr>
      </w:pPr>
      <w:r w:rsidRPr="001B3A94">
        <w:rPr>
          <w:rFonts w:ascii="Arial" w:hAnsi="Arial"/>
          <w:sz w:val="18"/>
          <w:szCs w:val="18"/>
          <w:lang w:val="en-US"/>
        </w:rPr>
        <w:t xml:space="preserve">fernao.silveira@stellantis.com </w:t>
      </w:r>
    </w:p>
    <w:bookmarkEnd w:id="1"/>
    <w:p w14:paraId="6FA374A1" w14:textId="77777777" w:rsidR="00D013CE" w:rsidRPr="001B3A94" w:rsidRDefault="00D013CE" w:rsidP="00D013CE">
      <w:pPr>
        <w:tabs>
          <w:tab w:val="left" w:pos="2592"/>
        </w:tabs>
        <w:spacing w:after="0"/>
        <w:rPr>
          <w:rFonts w:ascii="Arial" w:eastAsia="Arial" w:hAnsi="Arial" w:cs="Arial"/>
          <w:b/>
          <w:bCs/>
          <w:sz w:val="22"/>
          <w:szCs w:val="22"/>
          <w:lang w:val="en-US"/>
        </w:rPr>
      </w:pPr>
    </w:p>
    <w:p w14:paraId="62FF7A91" w14:textId="77777777" w:rsidR="00B07E73" w:rsidRPr="001B3A94" w:rsidRDefault="00B07E73" w:rsidP="00211BDA">
      <w:pPr>
        <w:tabs>
          <w:tab w:val="left" w:pos="2592"/>
        </w:tabs>
        <w:spacing w:after="0"/>
        <w:rPr>
          <w:rFonts w:ascii="Arial" w:eastAsia="Arial" w:hAnsi="Arial" w:cs="Arial"/>
          <w:b/>
          <w:bCs/>
          <w:sz w:val="22"/>
          <w:szCs w:val="22"/>
          <w:lang w:val="en-US"/>
        </w:rPr>
      </w:pPr>
    </w:p>
    <w:p w14:paraId="34853F97" w14:textId="0188D732" w:rsidR="00C202F5" w:rsidRPr="001B3A94" w:rsidRDefault="005C533B" w:rsidP="00211BDA">
      <w:pPr>
        <w:tabs>
          <w:tab w:val="left" w:pos="2592"/>
        </w:tabs>
        <w:spacing w:after="0"/>
        <w:rPr>
          <w:rFonts w:ascii="Arial" w:eastAsia="Arial" w:hAnsi="Arial" w:cs="Arial"/>
          <w:b/>
          <w:bCs/>
          <w:sz w:val="22"/>
          <w:szCs w:val="22"/>
          <w:lang w:val="en-US"/>
        </w:rPr>
      </w:pPr>
      <w:r w:rsidRPr="001B3A94">
        <w:rPr>
          <w:rFonts w:ascii="Arial" w:hAnsi="Arial"/>
          <w:b/>
          <w:bCs/>
          <w:sz w:val="22"/>
          <w:szCs w:val="22"/>
          <w:lang w:val="en-US"/>
        </w:rPr>
        <w:t>Alliance Nickel Limited</w:t>
      </w:r>
    </w:p>
    <w:p w14:paraId="791A6BA4" w14:textId="77777777" w:rsidR="00D013CE" w:rsidRPr="001B3A94" w:rsidRDefault="00D013CE" w:rsidP="00D013CE">
      <w:pPr>
        <w:tabs>
          <w:tab w:val="left" w:pos="2592"/>
        </w:tabs>
        <w:spacing w:after="0"/>
        <w:rPr>
          <w:rFonts w:ascii="Arial" w:eastAsia="Arial" w:hAnsi="Arial" w:cs="Arial"/>
          <w:b/>
          <w:bCs/>
          <w:sz w:val="22"/>
          <w:szCs w:val="22"/>
          <w:lang w:val="en-US"/>
        </w:rPr>
      </w:pPr>
    </w:p>
    <w:p w14:paraId="4024FF1B" w14:textId="7E28AA4E" w:rsidR="00D013CE" w:rsidRPr="001B3A94" w:rsidRDefault="00D013CE" w:rsidP="00D013CE">
      <w:pPr>
        <w:tabs>
          <w:tab w:val="left" w:pos="2592"/>
        </w:tabs>
        <w:spacing w:after="0"/>
        <w:rPr>
          <w:rFonts w:ascii="Arial" w:eastAsia="Arial" w:hAnsi="Arial" w:cs="Arial"/>
          <w:b/>
          <w:bCs/>
          <w:sz w:val="18"/>
          <w:szCs w:val="18"/>
          <w:lang w:val="en-US"/>
        </w:rPr>
      </w:pPr>
      <w:r w:rsidRPr="001B3A94">
        <w:rPr>
          <w:rFonts w:ascii="Arial" w:hAnsi="Arial"/>
          <w:b/>
          <w:bCs/>
          <w:sz w:val="18"/>
          <w:szCs w:val="18"/>
          <w:lang w:val="en-US"/>
        </w:rPr>
        <w:t xml:space="preserve">Paul </w:t>
      </w:r>
      <w:proofErr w:type="spellStart"/>
      <w:r w:rsidRPr="001B3A94">
        <w:rPr>
          <w:rFonts w:ascii="Arial" w:hAnsi="Arial"/>
          <w:b/>
          <w:bCs/>
          <w:sz w:val="18"/>
          <w:szCs w:val="18"/>
          <w:lang w:val="en-US"/>
        </w:rPr>
        <w:t>Kopejtka</w:t>
      </w:r>
      <w:proofErr w:type="spellEnd"/>
      <w:r w:rsidRPr="001B3A94">
        <w:rPr>
          <w:rFonts w:ascii="Arial" w:hAnsi="Arial"/>
          <w:b/>
          <w:bCs/>
          <w:sz w:val="18"/>
          <w:szCs w:val="18"/>
          <w:lang w:val="en-US"/>
        </w:rPr>
        <w:t xml:space="preserve">  </w:t>
      </w:r>
    </w:p>
    <w:p w14:paraId="665B8FD7" w14:textId="7AF767F9" w:rsidR="00D013CE" w:rsidRPr="001B3A94" w:rsidRDefault="00D013CE" w:rsidP="00D013CE">
      <w:pPr>
        <w:tabs>
          <w:tab w:val="left" w:pos="2592"/>
        </w:tabs>
        <w:spacing w:after="0"/>
        <w:rPr>
          <w:rFonts w:ascii="Arial" w:eastAsia="Arial" w:hAnsi="Arial" w:cs="Arial"/>
          <w:sz w:val="18"/>
          <w:szCs w:val="18"/>
          <w:lang w:val="en-US"/>
        </w:rPr>
      </w:pPr>
      <w:r w:rsidRPr="001B3A94">
        <w:rPr>
          <w:rFonts w:ascii="Arial" w:hAnsi="Arial"/>
          <w:sz w:val="18"/>
          <w:szCs w:val="18"/>
          <w:lang w:val="en-US"/>
        </w:rPr>
        <w:t>Managing Director e CEO</w:t>
      </w:r>
    </w:p>
    <w:p w14:paraId="61AA0D8F" w14:textId="77777777" w:rsidR="00D013CE" w:rsidRPr="0058020B" w:rsidRDefault="00D013CE" w:rsidP="00D013CE">
      <w:pPr>
        <w:tabs>
          <w:tab w:val="left" w:pos="2592"/>
        </w:tabs>
        <w:spacing w:after="0"/>
        <w:rPr>
          <w:rFonts w:ascii="Arial" w:eastAsia="Arial" w:hAnsi="Arial" w:cs="Arial"/>
          <w:sz w:val="18"/>
          <w:szCs w:val="18"/>
        </w:rPr>
      </w:pPr>
      <w:r>
        <w:rPr>
          <w:rFonts w:ascii="Arial" w:hAnsi="Arial"/>
          <w:sz w:val="18"/>
          <w:szCs w:val="18"/>
        </w:rPr>
        <w:t xml:space="preserve">Perth, Australia Occidentale  </w:t>
      </w:r>
    </w:p>
    <w:p w14:paraId="410D7402" w14:textId="662A5B3E" w:rsidR="00D013CE" w:rsidRPr="0058020B" w:rsidRDefault="00D013CE" w:rsidP="00D013CE">
      <w:pPr>
        <w:tabs>
          <w:tab w:val="left" w:pos="2592"/>
        </w:tabs>
        <w:spacing w:after="0"/>
        <w:rPr>
          <w:rFonts w:ascii="Arial" w:eastAsia="Arial" w:hAnsi="Arial" w:cs="Arial"/>
          <w:sz w:val="18"/>
          <w:szCs w:val="18"/>
        </w:rPr>
      </w:pPr>
      <w:r>
        <w:rPr>
          <w:rFonts w:ascii="Arial" w:hAnsi="Arial"/>
          <w:sz w:val="18"/>
          <w:szCs w:val="18"/>
        </w:rPr>
        <w:t xml:space="preserve">+61 8 </w:t>
      </w:r>
      <w:r w:rsidR="00675D81">
        <w:rPr>
          <w:rFonts w:ascii="Arial" w:eastAsia="Arial" w:hAnsi="Arial" w:cs="Arial"/>
          <w:sz w:val="18"/>
          <w:szCs w:val="18"/>
        </w:rPr>
        <w:t>6182 2718</w:t>
      </w:r>
      <w:r w:rsidR="00675D81" w:rsidRPr="0058020B">
        <w:rPr>
          <w:rFonts w:ascii="Arial" w:eastAsia="Arial" w:hAnsi="Arial" w:cs="Arial"/>
          <w:sz w:val="18"/>
          <w:szCs w:val="18"/>
        </w:rPr>
        <w:t xml:space="preserve">   </w:t>
      </w:r>
    </w:p>
    <w:p w14:paraId="5C1B94B6" w14:textId="6CAB732E" w:rsidR="00D013CE" w:rsidRPr="0058020B" w:rsidRDefault="00D013CE" w:rsidP="00D013CE">
      <w:pPr>
        <w:tabs>
          <w:tab w:val="left" w:pos="2592"/>
        </w:tabs>
        <w:spacing w:after="0"/>
        <w:rPr>
          <w:rFonts w:ascii="Arial" w:eastAsia="Arial" w:hAnsi="Arial" w:cs="Arial"/>
          <w:sz w:val="18"/>
          <w:szCs w:val="18"/>
        </w:rPr>
      </w:pPr>
      <w:r>
        <w:rPr>
          <w:rFonts w:ascii="Arial" w:hAnsi="Arial"/>
          <w:sz w:val="18"/>
          <w:szCs w:val="18"/>
        </w:rPr>
        <w:t>info@</w:t>
      </w:r>
      <w:r w:rsidR="00675D81">
        <w:rPr>
          <w:rFonts w:ascii="Arial" w:eastAsia="Arial" w:hAnsi="Arial" w:cs="Arial"/>
          <w:sz w:val="18"/>
          <w:szCs w:val="18"/>
        </w:rPr>
        <w:t>alliancenickel</w:t>
      </w:r>
      <w:r>
        <w:rPr>
          <w:rFonts w:ascii="Arial" w:hAnsi="Arial"/>
          <w:sz w:val="18"/>
          <w:szCs w:val="18"/>
        </w:rPr>
        <w:t>.au</w:t>
      </w:r>
    </w:p>
    <w:p w14:paraId="407C22E6" w14:textId="7E218C39" w:rsidR="00D013CE" w:rsidRPr="0058020B" w:rsidRDefault="00D013CE" w:rsidP="00211BDA">
      <w:pPr>
        <w:tabs>
          <w:tab w:val="left" w:pos="2592"/>
        </w:tabs>
        <w:spacing w:after="0"/>
        <w:rPr>
          <w:rFonts w:ascii="Arial" w:eastAsia="Arial" w:hAnsi="Arial" w:cs="Arial"/>
          <w:b/>
          <w:bCs/>
          <w:sz w:val="18"/>
          <w:szCs w:val="18"/>
        </w:rPr>
      </w:pPr>
    </w:p>
    <w:p w14:paraId="5E28EE9E" w14:textId="77777777" w:rsidR="00D013CE" w:rsidRPr="0058020B" w:rsidRDefault="00D013CE" w:rsidP="00D013CE">
      <w:pPr>
        <w:tabs>
          <w:tab w:val="left" w:pos="2592"/>
        </w:tabs>
        <w:spacing w:after="0"/>
        <w:rPr>
          <w:rFonts w:ascii="Arial" w:eastAsia="Arial" w:hAnsi="Arial" w:cs="Arial"/>
          <w:b/>
          <w:bCs/>
          <w:sz w:val="18"/>
          <w:szCs w:val="18"/>
        </w:rPr>
      </w:pPr>
      <w:r>
        <w:rPr>
          <w:rFonts w:ascii="Arial" w:hAnsi="Arial"/>
          <w:b/>
          <w:bCs/>
          <w:sz w:val="18"/>
          <w:szCs w:val="18"/>
        </w:rPr>
        <w:t xml:space="preserve">Michael Vaughan </w:t>
      </w:r>
    </w:p>
    <w:p w14:paraId="6356FBE3" w14:textId="77777777" w:rsidR="00D013CE" w:rsidRPr="0058020B" w:rsidRDefault="00D013CE" w:rsidP="00D013CE">
      <w:pPr>
        <w:tabs>
          <w:tab w:val="left" w:pos="2592"/>
        </w:tabs>
        <w:spacing w:after="0"/>
        <w:rPr>
          <w:rFonts w:ascii="Arial" w:eastAsia="Arial" w:hAnsi="Arial" w:cs="Arial"/>
          <w:sz w:val="18"/>
          <w:szCs w:val="18"/>
        </w:rPr>
      </w:pPr>
      <w:r>
        <w:rPr>
          <w:rFonts w:ascii="Arial" w:hAnsi="Arial"/>
          <w:sz w:val="18"/>
          <w:szCs w:val="18"/>
        </w:rPr>
        <w:t xml:space="preserve">Fivemark Partners </w:t>
      </w:r>
    </w:p>
    <w:p w14:paraId="1B0A212A" w14:textId="77777777" w:rsidR="00D013CE" w:rsidRPr="0058020B" w:rsidRDefault="00D013CE" w:rsidP="00D013CE">
      <w:pPr>
        <w:tabs>
          <w:tab w:val="left" w:pos="2592"/>
        </w:tabs>
        <w:spacing w:after="0"/>
        <w:rPr>
          <w:rFonts w:ascii="Arial" w:eastAsia="Arial" w:hAnsi="Arial" w:cs="Arial"/>
          <w:sz w:val="18"/>
          <w:szCs w:val="18"/>
        </w:rPr>
      </w:pPr>
      <w:r>
        <w:rPr>
          <w:rFonts w:ascii="Arial" w:hAnsi="Arial"/>
          <w:sz w:val="18"/>
          <w:szCs w:val="18"/>
        </w:rPr>
        <w:t xml:space="preserve">Perth, Australia Occidentale </w:t>
      </w:r>
    </w:p>
    <w:p w14:paraId="6EDBA433" w14:textId="77777777" w:rsidR="00D013CE" w:rsidRPr="0058020B" w:rsidRDefault="00D013CE" w:rsidP="00D013CE">
      <w:pPr>
        <w:tabs>
          <w:tab w:val="left" w:pos="2592"/>
        </w:tabs>
        <w:spacing w:after="0"/>
        <w:rPr>
          <w:rFonts w:ascii="Arial" w:eastAsia="Arial" w:hAnsi="Arial" w:cs="Arial"/>
          <w:sz w:val="18"/>
          <w:szCs w:val="18"/>
        </w:rPr>
      </w:pPr>
      <w:r>
        <w:rPr>
          <w:rFonts w:ascii="Arial" w:hAnsi="Arial"/>
          <w:sz w:val="18"/>
          <w:szCs w:val="18"/>
        </w:rPr>
        <w:t xml:space="preserve">+61 422 602 720 </w:t>
      </w:r>
    </w:p>
    <w:p w14:paraId="680D63AF" w14:textId="3C283DE7" w:rsidR="00D013CE" w:rsidRPr="0058020B" w:rsidRDefault="00D013CE" w:rsidP="00D013CE">
      <w:pPr>
        <w:tabs>
          <w:tab w:val="left" w:pos="2592"/>
        </w:tabs>
        <w:spacing w:after="0"/>
        <w:rPr>
          <w:rFonts w:ascii="Arial" w:eastAsia="Arial" w:hAnsi="Arial" w:cs="Arial"/>
          <w:sz w:val="18"/>
          <w:szCs w:val="18"/>
        </w:rPr>
      </w:pPr>
      <w:r>
        <w:rPr>
          <w:rFonts w:ascii="Arial" w:hAnsi="Arial"/>
          <w:sz w:val="18"/>
          <w:szCs w:val="18"/>
        </w:rPr>
        <w:t>michael.vaughan@fivemark.com.au</w:t>
      </w:r>
    </w:p>
    <w:p w14:paraId="6C24A05C" w14:textId="77777777" w:rsidR="00C202F5" w:rsidRPr="00E241A7" w:rsidRDefault="00C202F5" w:rsidP="00914E09">
      <w:pPr>
        <w:rPr>
          <w:rFonts w:ascii="Arial" w:hAnsi="Arial" w:cs="Arial"/>
          <w:b/>
          <w:bCs/>
          <w:sz w:val="18"/>
          <w:szCs w:val="18"/>
        </w:rPr>
      </w:pPr>
    </w:p>
    <w:p w14:paraId="1A6817DA" w14:textId="77777777" w:rsidR="0043219D" w:rsidRDefault="0043219D">
      <w:pPr>
        <w:rPr>
          <w:rFonts w:ascii="Arial" w:hAnsi="Arial"/>
          <w:b/>
          <w:bCs/>
          <w:i/>
          <w:sz w:val="18"/>
          <w:szCs w:val="18"/>
        </w:rPr>
      </w:pPr>
      <w:r>
        <w:rPr>
          <w:rFonts w:ascii="Arial" w:hAnsi="Arial"/>
          <w:b/>
          <w:bCs/>
          <w:i/>
          <w:sz w:val="18"/>
          <w:szCs w:val="18"/>
        </w:rPr>
        <w:br w:type="page"/>
      </w:r>
    </w:p>
    <w:p w14:paraId="7EFE1017" w14:textId="04A71F4A" w:rsidR="004F3039" w:rsidRPr="00E241A7" w:rsidRDefault="004F3039" w:rsidP="004F3039">
      <w:pPr>
        <w:spacing w:before="240"/>
        <w:rPr>
          <w:rFonts w:ascii="Arial" w:eastAsia="Encode Sans" w:hAnsi="Arial" w:cs="Arial"/>
          <w:b/>
          <w:bCs/>
          <w:i/>
          <w:sz w:val="18"/>
          <w:szCs w:val="18"/>
        </w:rPr>
      </w:pPr>
      <w:r>
        <w:rPr>
          <w:rFonts w:ascii="Arial" w:hAnsi="Arial"/>
          <w:b/>
          <w:bCs/>
          <w:i/>
          <w:sz w:val="18"/>
          <w:szCs w:val="18"/>
        </w:rPr>
        <w:lastRenderedPageBreak/>
        <w:t>DICHIARAZIONI PREVISIONALI STELLANTIS</w:t>
      </w:r>
    </w:p>
    <w:p w14:paraId="1EB6F988" w14:textId="77777777" w:rsidR="0058020B" w:rsidRPr="0058020B" w:rsidRDefault="0058020B" w:rsidP="0058020B">
      <w:pPr>
        <w:spacing w:before="240"/>
        <w:rPr>
          <w:rFonts w:ascii="Arial" w:eastAsia="Encode Sans" w:hAnsi="Arial" w:cs="Arial"/>
          <w:i/>
          <w:sz w:val="18"/>
          <w:szCs w:val="18"/>
        </w:rPr>
      </w:pPr>
      <w:r>
        <w:rPr>
          <w:rFonts w:ascii="Arial" w:hAnsi="Arial"/>
          <w:i/>
          <w:sz w:val="18"/>
          <w:szCs w:val="18"/>
        </w:rPr>
        <w:t>La presente comunicazione contiene dichiarazioni previsionali. In particolare, sono dichiarazioni previsionali le dichiarazioni riguardanti eventi futuri e risultati previsti delle operazioni, strategie aziendali, previsione dei benefici ottenuti dalla transazione proposta, risultati finanziari e operativi futuri, data di chiusura prevista per la transazione proposta e gli altri aspetti previsti relativamente alle nostre operazioni o ai nostri risultati operativi. Tali dichiarazioni possono includere i termini come “possono”, “saranno”, "prevedono", "potrebbero", "dovrebbero", "intendono", "stimano", "anticipano", "credono", "rimangono", "sulla buona strada", "progettano", "obiettivo", "previsione", "proiezione", "prospettiva", "prospettive", "piano" o termini simili. Le dichiarazioni previsionali non costituiscono garanzia di prestazioni future. Piuttosto, si basano sullo stato attuale delle conoscenze di Stellantis, su aspettative future e proiezioni di eventi futuri e sono, per loro natura, soggette a rischi e incertezze intrinseche. Si riferiscono a eventi e dipendono da circostanze che possono o non possono verificarsi o esistere in futuro. Pertanto, che non dovrebbero essere oggetto di eccessivo affidamento.</w:t>
      </w:r>
    </w:p>
    <w:p w14:paraId="6C8F939F" w14:textId="77777777" w:rsidR="0058020B" w:rsidRPr="0058020B" w:rsidRDefault="0058020B" w:rsidP="0058020B">
      <w:pPr>
        <w:spacing w:before="240"/>
        <w:rPr>
          <w:rFonts w:ascii="Arial" w:eastAsia="Encode Sans" w:hAnsi="Arial" w:cs="Arial"/>
          <w:i/>
          <w:sz w:val="18"/>
          <w:szCs w:val="18"/>
        </w:rPr>
      </w:pPr>
      <w:r>
        <w:rPr>
          <w:rFonts w:ascii="Arial" w:hAnsi="Arial"/>
          <w:i/>
          <w:sz w:val="18"/>
          <w:szCs w:val="18"/>
        </w:rPr>
        <w:t xml:space="preserve"> I risultati effettivi potrebbero differire materialmente da quelli espressi nelle dichiarazioni previsionali quale risultato di una molteplicità di fattori, inclusi: impatto della pandemia da COVID-19, capacità di Stellantis di lanciare nuovi prodotti con successo e di mantenere i volumi di consegna dei veicoli; cambiamenti nei mercati finanziari globali nel contesto economico generale e modifiche nella domanda di prodotti automobilistici, soggetta a ciclicità; cambiamenti delle condizioni economiche e politiche locali, cambiamenti delle politiche commerciali e imposizione di dazi a livello globale e regionale o dazi mirati all’industria automobilistica, attuazione di riforme fiscali o altre variazioni nelle normative e regolamentazioni fiscali; la capacità di Stellantis di espandere a livello globale alcuni dei suoi marchi; la sua capacità di offrire prodotti innovativi e attraenti; la sua capacità di sviluppare, produrre e vendere veicoli con caratteristiche avanzate tra cui elettrificazione potenziata, connettività e guida autonoma; diversi tipi di reclami, azioni legali, indagini governative e altre controversie legali, inclusi responsabilità del prodotto e reclami di garanzia del prodotto e reclami, indagini e azioni legali in materia ambientale; costi operativi in relazione alla conformità con le normative di tutela dell’ambiente, della salute e della sicurezza; elevato livello di concorrenza nel settore automobilistico, che potrebbe aumentare a causa di consolidamenti; potenziale carenza nel finanziamento dei piani pensionistici di Stellantis; capacità di fornire o organizzare l’accesso a finanziamenti adeguati per i concessionari e i clienti finali e i rischi associati alla costituzione e alle operazioni di società di servizi finanziari; capacità di accedere a finanziamenti per realizzare i piani industriali di Stellantis e migliorare le attività, la situazione finanziaria e i risultati operativi; significativo malfunzionamento, interruzione o violazione della sicurezza che possa compromettere i sistemi di information technology o i sistemi di controllo elettronico contenuti nei veicoli di Stellantis; capacità di Stellantis di realizzare i benefici previsti dagli accordi di joint venture; interruzioni dovute a instabilità politica, sociale ed economica; rischi associati alle relazioni con dipendenti, concessionari e fornitori; aumenti dei costi, interruzioni di forniture o carenza di materie prime, parti, componenti e sistemi utilizzati nei veicoli di Stellantis; sviluppi in relazioni sindacali, industriali e nella normativa del lavoro; fluttuazioni dei tassi di cambio, variazioni dai tassi di interesse, rischio di credito e altri rischi di mercato; tensioni politiche e sociali; terremoti o altri disastri; rischi e altri elementi descritti nella Relazione annuale dell’Azienda sul Modulo 20-F per l’anno conclusosi il 31 dicembre 2022 e nelle Relazioni correnti sul Modulo 6-K e relative modifiche depositate presso la SEC; e altri rischi e incertezze.</w:t>
      </w:r>
    </w:p>
    <w:p w14:paraId="02BA3761" w14:textId="77777777" w:rsidR="0058020B" w:rsidRDefault="0058020B" w:rsidP="0058020B">
      <w:pPr>
        <w:spacing w:before="240"/>
        <w:rPr>
          <w:rFonts w:ascii="Arial" w:eastAsia="Encode Sans" w:hAnsi="Arial" w:cs="Arial"/>
          <w:i/>
          <w:sz w:val="18"/>
          <w:szCs w:val="18"/>
        </w:rPr>
      </w:pPr>
      <w:r>
        <w:rPr>
          <w:rFonts w:ascii="Arial" w:hAnsi="Arial"/>
          <w:i/>
          <w:sz w:val="18"/>
          <w:szCs w:val="18"/>
        </w:rPr>
        <w:t xml:space="preserve"> Tutte le dichiarazioni previsionali riportate nella presente comunicazione si riferiscono solo alla data di questo documento e Stellantis declina qualsiasi obbligo di aggiornarle o rivederle pubblicamente. Ulteriori informazioni su Stellantis e le sue attività, inclusi i fattori che potrebbero materialmente influenzare i risultati finanziari di Stellantis, sono contenute nelle relazioni e nei documenti di Stellantis depositati presso la U.S. Securities and Exchange Commission e AFM.</w:t>
      </w:r>
    </w:p>
    <w:p w14:paraId="1C8A0783" w14:textId="54B36F1B" w:rsidR="00C77EDC" w:rsidRPr="00E241A7" w:rsidRDefault="00A10206" w:rsidP="0058020B">
      <w:pPr>
        <w:spacing w:before="240"/>
        <w:rPr>
          <w:rFonts w:ascii="Arial" w:eastAsia="Encode Sans" w:hAnsi="Arial" w:cs="Arial"/>
          <w:b/>
          <w:bCs/>
          <w:i/>
          <w:sz w:val="18"/>
          <w:szCs w:val="18"/>
        </w:rPr>
      </w:pPr>
      <w:r>
        <w:rPr>
          <w:rFonts w:ascii="Arial" w:hAnsi="Arial"/>
          <w:b/>
          <w:bCs/>
          <w:i/>
          <w:sz w:val="18"/>
          <w:szCs w:val="18"/>
        </w:rPr>
        <w:t xml:space="preserve">Dichiarazioni previsionali Alliance </w:t>
      </w:r>
    </w:p>
    <w:p w14:paraId="4FDEE555" w14:textId="7589DECC" w:rsidR="00C77EDC" w:rsidRPr="00E241A7" w:rsidRDefault="00C77EDC" w:rsidP="0043219D">
      <w:pPr>
        <w:spacing w:before="120"/>
        <w:rPr>
          <w:rFonts w:ascii="Arial" w:eastAsia="Encode Sans" w:hAnsi="Arial" w:cs="Arial"/>
          <w:i/>
          <w:sz w:val="18"/>
          <w:szCs w:val="18"/>
        </w:rPr>
      </w:pPr>
      <w:r>
        <w:rPr>
          <w:rFonts w:ascii="Arial" w:hAnsi="Arial"/>
          <w:i/>
          <w:sz w:val="18"/>
          <w:szCs w:val="18"/>
        </w:rPr>
        <w:t>Questo annuncio contiene dichiarazioni relative alle nostre attività e performance finanziarie future e a eventi o evoluzioni che coinvolgono Alliance Nickel Limited (Alliance) e che possono costituire dichiarazioni previsionali. Queste dichiarazioni possono essere identificate da parole come "potenziale", "sfruttabile", "proposto a cielo aperto", "valutazione", "prospettiva", "futuro", "ulteriore", "operazione", "sviluppo", "piano", "permessi", "approvazioni", "contratto di lavorazione" o parole aventi significato simile. Tali dichiarazioni si basano sulle attuali prospettive e su alcune ipotesi del management e dei consulenti di Alliance e, pertanto, sono soggette a determinati rischi e incertezze. Una serie di fattori, molti dei quali al di fuori del controllo di Alliance, influenzano le nostre operazioni e prestazioni, la nostra strategia aziendale e i nostri risultati. Questi fattori potrebbero far sì che i risultati effettivi, le prestazioni o i risultati di Alliance siano materialmente diversi da qualsiasi risultato, prestazione o conseguimento futuro che possa essere espresso o implicito in tali dichiarazioni previsionali.</w:t>
      </w:r>
    </w:p>
    <w:sectPr w:rsidR="00C77EDC" w:rsidRPr="00E241A7" w:rsidSect="00C202F5">
      <w:footerReference w:type="default" r:id="rId19"/>
      <w:headerReference w:type="first" r:id="rId20"/>
      <w:pgSz w:w="12242" w:h="15842"/>
      <w:pgMar w:top="1134" w:right="1928" w:bottom="1134" w:left="1928" w:header="1021" w:footer="4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4A99" w14:textId="77777777" w:rsidR="00E44C54" w:rsidRDefault="00E44C54">
      <w:pPr>
        <w:spacing w:after="0"/>
      </w:pPr>
      <w:r>
        <w:separator/>
      </w:r>
    </w:p>
  </w:endnote>
  <w:endnote w:type="continuationSeparator" w:id="0">
    <w:p w14:paraId="67093E6C" w14:textId="77777777" w:rsidR="00E44C54" w:rsidRDefault="00E44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Expanded Expanded">
    <w:altName w:val="Calibri"/>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5B11" w14:textId="77777777" w:rsidR="00E44C54" w:rsidRDefault="00E44C54">
      <w:pPr>
        <w:spacing w:after="0"/>
      </w:pPr>
      <w:r>
        <w:separator/>
      </w:r>
    </w:p>
  </w:footnote>
  <w:footnote w:type="continuationSeparator" w:id="0">
    <w:p w14:paraId="63F26432" w14:textId="77777777" w:rsidR="00E44C54" w:rsidRDefault="00E44C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7608" w14:textId="73B17864" w:rsidR="00E241A7" w:rsidRDefault="00E241A7">
    <w:pPr>
      <w:pStyle w:val="Header"/>
    </w:pPr>
    <w:r>
      <w:rPr>
        <w:noProof/>
      </w:rPr>
      <w:drawing>
        <wp:inline distT="0" distB="0" distL="0" distR="0" wp14:anchorId="7A6493A1" wp14:editId="2FB2203C">
          <wp:extent cx="5325110" cy="72898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325110" cy="728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954704591">
    <w:abstractNumId w:val="0"/>
  </w:num>
  <w:num w:numId="2" w16cid:durableId="176359381">
    <w:abstractNumId w:val="1"/>
  </w:num>
  <w:num w:numId="3" w16cid:durableId="307322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1239C"/>
    <w:rsid w:val="000127F3"/>
    <w:rsid w:val="00020A0F"/>
    <w:rsid w:val="000403C6"/>
    <w:rsid w:val="00044E26"/>
    <w:rsid w:val="0006441F"/>
    <w:rsid w:val="000661DE"/>
    <w:rsid w:val="0008041C"/>
    <w:rsid w:val="000833E0"/>
    <w:rsid w:val="00096BB8"/>
    <w:rsid w:val="000B0968"/>
    <w:rsid w:val="000B2E42"/>
    <w:rsid w:val="000B777A"/>
    <w:rsid w:val="000C5A52"/>
    <w:rsid w:val="000D07E0"/>
    <w:rsid w:val="000D0AC3"/>
    <w:rsid w:val="000F7479"/>
    <w:rsid w:val="00100E33"/>
    <w:rsid w:val="0011344A"/>
    <w:rsid w:val="00115CA3"/>
    <w:rsid w:val="00123307"/>
    <w:rsid w:val="00134F8D"/>
    <w:rsid w:val="001408C0"/>
    <w:rsid w:val="0016045E"/>
    <w:rsid w:val="00162B39"/>
    <w:rsid w:val="00172B2C"/>
    <w:rsid w:val="001910D6"/>
    <w:rsid w:val="0019432C"/>
    <w:rsid w:val="00195133"/>
    <w:rsid w:val="001A14C2"/>
    <w:rsid w:val="001A25FF"/>
    <w:rsid w:val="001A3B61"/>
    <w:rsid w:val="001B3A94"/>
    <w:rsid w:val="001B7F90"/>
    <w:rsid w:val="001C1D40"/>
    <w:rsid w:val="001D10B3"/>
    <w:rsid w:val="001D2376"/>
    <w:rsid w:val="001E145E"/>
    <w:rsid w:val="00202659"/>
    <w:rsid w:val="0020268D"/>
    <w:rsid w:val="00203805"/>
    <w:rsid w:val="00206526"/>
    <w:rsid w:val="002074AC"/>
    <w:rsid w:val="00211BDA"/>
    <w:rsid w:val="00214934"/>
    <w:rsid w:val="002232A1"/>
    <w:rsid w:val="00243FC4"/>
    <w:rsid w:val="00245789"/>
    <w:rsid w:val="00247709"/>
    <w:rsid w:val="0025678C"/>
    <w:rsid w:val="00263AD6"/>
    <w:rsid w:val="00287CED"/>
    <w:rsid w:val="002961CF"/>
    <w:rsid w:val="002B72BF"/>
    <w:rsid w:val="002C77BE"/>
    <w:rsid w:val="002D1821"/>
    <w:rsid w:val="002D43AD"/>
    <w:rsid w:val="002D67E6"/>
    <w:rsid w:val="002D6E8E"/>
    <w:rsid w:val="002E3C8F"/>
    <w:rsid w:val="002E69CE"/>
    <w:rsid w:val="003011A4"/>
    <w:rsid w:val="003062BC"/>
    <w:rsid w:val="00306BC9"/>
    <w:rsid w:val="003118AB"/>
    <w:rsid w:val="00324CA6"/>
    <w:rsid w:val="0034475B"/>
    <w:rsid w:val="003712EF"/>
    <w:rsid w:val="00374F28"/>
    <w:rsid w:val="0037579C"/>
    <w:rsid w:val="003C0EBE"/>
    <w:rsid w:val="003C5A36"/>
    <w:rsid w:val="003D21DF"/>
    <w:rsid w:val="003D756D"/>
    <w:rsid w:val="00401F74"/>
    <w:rsid w:val="00413E9B"/>
    <w:rsid w:val="00432165"/>
    <w:rsid w:val="0043219D"/>
    <w:rsid w:val="00481F4D"/>
    <w:rsid w:val="00492DDE"/>
    <w:rsid w:val="00495D4A"/>
    <w:rsid w:val="004977D2"/>
    <w:rsid w:val="004B14A5"/>
    <w:rsid w:val="004C37B7"/>
    <w:rsid w:val="004C48ED"/>
    <w:rsid w:val="004D60BA"/>
    <w:rsid w:val="004E29EF"/>
    <w:rsid w:val="004E387D"/>
    <w:rsid w:val="004E3DDE"/>
    <w:rsid w:val="004F0A2C"/>
    <w:rsid w:val="004F2150"/>
    <w:rsid w:val="004F3039"/>
    <w:rsid w:val="004F3BE9"/>
    <w:rsid w:val="004F7329"/>
    <w:rsid w:val="005010DA"/>
    <w:rsid w:val="005062F7"/>
    <w:rsid w:val="005073F1"/>
    <w:rsid w:val="005079D0"/>
    <w:rsid w:val="00512922"/>
    <w:rsid w:val="00516057"/>
    <w:rsid w:val="00525726"/>
    <w:rsid w:val="00547AF9"/>
    <w:rsid w:val="0055767E"/>
    <w:rsid w:val="00563469"/>
    <w:rsid w:val="0056373F"/>
    <w:rsid w:val="00572D4A"/>
    <w:rsid w:val="0058020B"/>
    <w:rsid w:val="0058367F"/>
    <w:rsid w:val="00594BD8"/>
    <w:rsid w:val="0059767C"/>
    <w:rsid w:val="005B0E86"/>
    <w:rsid w:val="005C533B"/>
    <w:rsid w:val="005E4EB5"/>
    <w:rsid w:val="005E66F2"/>
    <w:rsid w:val="00603F18"/>
    <w:rsid w:val="0061766E"/>
    <w:rsid w:val="0062281F"/>
    <w:rsid w:val="00625C11"/>
    <w:rsid w:val="006262D2"/>
    <w:rsid w:val="00627EDB"/>
    <w:rsid w:val="00631BCB"/>
    <w:rsid w:val="006616BE"/>
    <w:rsid w:val="006679B2"/>
    <w:rsid w:val="006701F4"/>
    <w:rsid w:val="00675D81"/>
    <w:rsid w:val="00677729"/>
    <w:rsid w:val="00680D18"/>
    <w:rsid w:val="006863D0"/>
    <w:rsid w:val="006A2819"/>
    <w:rsid w:val="006A34F1"/>
    <w:rsid w:val="006A4ABD"/>
    <w:rsid w:val="006B0CEC"/>
    <w:rsid w:val="006B2EB2"/>
    <w:rsid w:val="0071156E"/>
    <w:rsid w:val="0071381F"/>
    <w:rsid w:val="007376E7"/>
    <w:rsid w:val="0076578D"/>
    <w:rsid w:val="00786615"/>
    <w:rsid w:val="00794DDC"/>
    <w:rsid w:val="007A17A2"/>
    <w:rsid w:val="007A1CD0"/>
    <w:rsid w:val="007A7C2E"/>
    <w:rsid w:val="007B698C"/>
    <w:rsid w:val="007C5570"/>
    <w:rsid w:val="007F0624"/>
    <w:rsid w:val="007F30E2"/>
    <w:rsid w:val="008018C5"/>
    <w:rsid w:val="008170F0"/>
    <w:rsid w:val="00837A76"/>
    <w:rsid w:val="008535C7"/>
    <w:rsid w:val="00854923"/>
    <w:rsid w:val="00861B7A"/>
    <w:rsid w:val="00881AB2"/>
    <w:rsid w:val="0089621D"/>
    <w:rsid w:val="008A0E8A"/>
    <w:rsid w:val="008B0A0F"/>
    <w:rsid w:val="008B2BF5"/>
    <w:rsid w:val="008C60D4"/>
    <w:rsid w:val="008D26D0"/>
    <w:rsid w:val="008E1ACE"/>
    <w:rsid w:val="008F269A"/>
    <w:rsid w:val="00907495"/>
    <w:rsid w:val="00914E09"/>
    <w:rsid w:val="00914ED6"/>
    <w:rsid w:val="00925DB9"/>
    <w:rsid w:val="00943E07"/>
    <w:rsid w:val="00945F1A"/>
    <w:rsid w:val="00964EE7"/>
    <w:rsid w:val="00966301"/>
    <w:rsid w:val="00967C88"/>
    <w:rsid w:val="00980D9E"/>
    <w:rsid w:val="00990BE3"/>
    <w:rsid w:val="00991B50"/>
    <w:rsid w:val="00996297"/>
    <w:rsid w:val="0099793C"/>
    <w:rsid w:val="009A2719"/>
    <w:rsid w:val="009A5024"/>
    <w:rsid w:val="009B2260"/>
    <w:rsid w:val="009B3485"/>
    <w:rsid w:val="009C39C6"/>
    <w:rsid w:val="009D083B"/>
    <w:rsid w:val="009D5DC6"/>
    <w:rsid w:val="009D782E"/>
    <w:rsid w:val="009D7CB7"/>
    <w:rsid w:val="009E2113"/>
    <w:rsid w:val="009E385B"/>
    <w:rsid w:val="00A10206"/>
    <w:rsid w:val="00A10846"/>
    <w:rsid w:val="00A12D45"/>
    <w:rsid w:val="00A143B2"/>
    <w:rsid w:val="00A1710C"/>
    <w:rsid w:val="00A237F3"/>
    <w:rsid w:val="00A42F8E"/>
    <w:rsid w:val="00A579FB"/>
    <w:rsid w:val="00A61578"/>
    <w:rsid w:val="00A70AB9"/>
    <w:rsid w:val="00A724FF"/>
    <w:rsid w:val="00A816C8"/>
    <w:rsid w:val="00A906F0"/>
    <w:rsid w:val="00A93804"/>
    <w:rsid w:val="00A9686E"/>
    <w:rsid w:val="00A976CF"/>
    <w:rsid w:val="00AB0FFA"/>
    <w:rsid w:val="00AD7B93"/>
    <w:rsid w:val="00AE34AF"/>
    <w:rsid w:val="00AF5DF3"/>
    <w:rsid w:val="00B07E73"/>
    <w:rsid w:val="00B272C1"/>
    <w:rsid w:val="00B27345"/>
    <w:rsid w:val="00B31E73"/>
    <w:rsid w:val="00B41B60"/>
    <w:rsid w:val="00B46A84"/>
    <w:rsid w:val="00B523FB"/>
    <w:rsid w:val="00B54574"/>
    <w:rsid w:val="00B57822"/>
    <w:rsid w:val="00B61CF3"/>
    <w:rsid w:val="00B73C7C"/>
    <w:rsid w:val="00B901C8"/>
    <w:rsid w:val="00BC4685"/>
    <w:rsid w:val="00BD47E0"/>
    <w:rsid w:val="00BD74C3"/>
    <w:rsid w:val="00BE126A"/>
    <w:rsid w:val="00BE75A5"/>
    <w:rsid w:val="00C00E9B"/>
    <w:rsid w:val="00C202F5"/>
    <w:rsid w:val="00C24901"/>
    <w:rsid w:val="00C334EF"/>
    <w:rsid w:val="00C34D75"/>
    <w:rsid w:val="00C35BE9"/>
    <w:rsid w:val="00C42C0B"/>
    <w:rsid w:val="00C520FA"/>
    <w:rsid w:val="00C566C4"/>
    <w:rsid w:val="00C61685"/>
    <w:rsid w:val="00C77EDC"/>
    <w:rsid w:val="00C818B8"/>
    <w:rsid w:val="00C87382"/>
    <w:rsid w:val="00C92F3B"/>
    <w:rsid w:val="00CA254B"/>
    <w:rsid w:val="00CA3AFC"/>
    <w:rsid w:val="00CA420F"/>
    <w:rsid w:val="00CB19A5"/>
    <w:rsid w:val="00CB3E70"/>
    <w:rsid w:val="00CC15FE"/>
    <w:rsid w:val="00CC5C47"/>
    <w:rsid w:val="00CD319D"/>
    <w:rsid w:val="00CD461A"/>
    <w:rsid w:val="00CF7E69"/>
    <w:rsid w:val="00D013CE"/>
    <w:rsid w:val="00D019D7"/>
    <w:rsid w:val="00D0352B"/>
    <w:rsid w:val="00D11851"/>
    <w:rsid w:val="00D2196E"/>
    <w:rsid w:val="00D22E38"/>
    <w:rsid w:val="00D3455C"/>
    <w:rsid w:val="00D40E54"/>
    <w:rsid w:val="00D41FFA"/>
    <w:rsid w:val="00D47A5A"/>
    <w:rsid w:val="00D878B6"/>
    <w:rsid w:val="00D90200"/>
    <w:rsid w:val="00DA44D2"/>
    <w:rsid w:val="00DB3712"/>
    <w:rsid w:val="00DB7F49"/>
    <w:rsid w:val="00DC4B9C"/>
    <w:rsid w:val="00DD5F91"/>
    <w:rsid w:val="00DF0988"/>
    <w:rsid w:val="00DF61C4"/>
    <w:rsid w:val="00E11EDF"/>
    <w:rsid w:val="00E13473"/>
    <w:rsid w:val="00E151A7"/>
    <w:rsid w:val="00E15211"/>
    <w:rsid w:val="00E16A57"/>
    <w:rsid w:val="00E241A7"/>
    <w:rsid w:val="00E36F4A"/>
    <w:rsid w:val="00E402E3"/>
    <w:rsid w:val="00E44C54"/>
    <w:rsid w:val="00E46862"/>
    <w:rsid w:val="00E55D06"/>
    <w:rsid w:val="00E65229"/>
    <w:rsid w:val="00E653B0"/>
    <w:rsid w:val="00E669FB"/>
    <w:rsid w:val="00E75643"/>
    <w:rsid w:val="00E759EE"/>
    <w:rsid w:val="00E76235"/>
    <w:rsid w:val="00E877EC"/>
    <w:rsid w:val="00E87F6E"/>
    <w:rsid w:val="00E97FB7"/>
    <w:rsid w:val="00EB585F"/>
    <w:rsid w:val="00EC46E6"/>
    <w:rsid w:val="00EC4F3A"/>
    <w:rsid w:val="00EE3906"/>
    <w:rsid w:val="00EF0351"/>
    <w:rsid w:val="00F073F5"/>
    <w:rsid w:val="00F1190D"/>
    <w:rsid w:val="00F1317B"/>
    <w:rsid w:val="00F15C59"/>
    <w:rsid w:val="00F2385D"/>
    <w:rsid w:val="00F430AA"/>
    <w:rsid w:val="00F455C0"/>
    <w:rsid w:val="00F5359D"/>
    <w:rsid w:val="00F557CF"/>
    <w:rsid w:val="00F55FA4"/>
    <w:rsid w:val="00F6243A"/>
    <w:rsid w:val="00F62C02"/>
    <w:rsid w:val="00F72EB4"/>
    <w:rsid w:val="00F75BDD"/>
    <w:rsid w:val="00F76B60"/>
    <w:rsid w:val="00F76C4A"/>
    <w:rsid w:val="00F77D35"/>
    <w:rsid w:val="00F8008C"/>
    <w:rsid w:val="00F801FE"/>
    <w:rsid w:val="00F93D65"/>
    <w:rsid w:val="00F9493A"/>
    <w:rsid w:val="00FA3E38"/>
    <w:rsid w:val="00FB40A5"/>
    <w:rsid w:val="00FB58AF"/>
    <w:rsid w:val="00FD3C15"/>
    <w:rsid w:val="00FD7529"/>
    <w:rsid w:val="00FE2429"/>
    <w:rsid w:val="00FF2E76"/>
    <w:rsid w:val="2CEBD547"/>
    <w:rsid w:val="3A61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Expanded" w:eastAsia="Encode Sans Expanded Expanded" w:hAnsi="Encode Sans Expanded Expanded" w:cs="Encode Sans Expanded Expanded"/>
        <w:sz w:val="24"/>
        <w:szCs w:val="24"/>
        <w:lang w:val="it-IT"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it-IT"/>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it-IT"/>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it-IT"/>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C566C4"/>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 w:id="1751391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it/news/comunicati-stampa/2023/febbraio/stellantis-annuncia-un-investimento-strategico-in-argentina-confermando-l-impegno-ad-azzerare-le-emissioni-di-carbonio-entro-il-2038" TargetMode="External"/><Relationship Id="rId18" Type="http://schemas.openxmlformats.org/officeDocument/2006/relationships/hyperlink" Target="http://www.alliancenickel.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tellantis.com/it/news/comunicati-stampa/2022/ottobre/stellantis-firma-un-memorandum-d-intesa-non-vincolante-con-gme-per-il-futuro-acquisto-di-solfato-di-cobalto-e-nichel-per-le-batterie" TargetMode="External"/><Relationship Id="rId17" Type="http://schemas.openxmlformats.org/officeDocument/2006/relationships/hyperlink" Target="https://www.stellantis.com/it/news/comunicati-stampa/2022/giugno/stellantis-stringe-un-accordo-con-controlled-thermal-resources-per-la-fornitura-di-litio-a-basse-emissioni-finalizzata-alla-produzione-di-veicoli-elettrici-in-nord-america" TargetMode="External"/><Relationship Id="rId2" Type="http://schemas.openxmlformats.org/officeDocument/2006/relationships/customXml" Target="../customXml/item2.xml"/><Relationship Id="rId16" Type="http://schemas.openxmlformats.org/officeDocument/2006/relationships/hyperlink" Target="https://www.stellantis.com/it/news/comunicati-stampa/2023/gennaio/stellantis-firma-un-accordo-vincolante-con-element-25-sulla-fornitura-di-solfato-di-manganese-per-le-batterie-destinate-ai-veicoli-elettric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it" TargetMode="External"/><Relationship Id="rId5" Type="http://schemas.openxmlformats.org/officeDocument/2006/relationships/numbering" Target="numbering.xml"/><Relationship Id="rId15" Type="http://schemas.openxmlformats.org/officeDocument/2006/relationships/hyperlink" Target="https://www.stellantis.com/it/news/comunicati-stampa/2022/giugno/stellantis-espande-la-collaborazione-con-vulcan-energy-diventando-azionista-dell-azienda-fornitrice-di-litio-decarbonizzat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llantis.com/it/news/comunicati-stampa/2023/gennaio/accordo-tra-stellantis-e-terrafame-per-la-fornitura-di-solfato-di-nichel-a-basso-contenuto-di-carbonio-per-le-batterie-dei-veicoli-elettric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CD06DB4FF6549973422D366D948C5" ma:contentTypeVersion="2" ma:contentTypeDescription="Create a new document." ma:contentTypeScope="" ma:versionID="3a5fe0a2235e6a035c1f9df453d97e53">
  <xsd:schema xmlns:xsd="http://www.w3.org/2001/XMLSchema" xmlns:xs="http://www.w3.org/2001/XMLSchema" xmlns:p="http://schemas.microsoft.com/office/2006/metadata/properties" xmlns:ns3="b4433625-0c24-41a9-bdfa-68617b5dd8eb" targetNamespace="http://schemas.microsoft.com/office/2006/metadata/properties" ma:root="true" ma:fieldsID="9aacc4901b0ac5600e8b0be9c03819b0" ns3:_="">
    <xsd:import namespace="b4433625-0c24-41a9-bdfa-68617b5dd8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33625-0c24-41a9-bdfa-68617b5dd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2182F-326B-470F-83F9-C67FAB16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33625-0c24-41a9-bdfa-68617b5dd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4.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2055</Words>
  <Characters>11714</Characters>
  <Application>Microsoft Office Word</Application>
  <DocSecurity>0</DocSecurity>
  <Lines>97</Lines>
  <Paragraphs>27</Paragraphs>
  <ScaleCrop>false</ScaleCrop>
  <Company>FCA US</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KAILEEN</cp:lastModifiedBy>
  <cp:revision>2</cp:revision>
  <cp:lastPrinted>2023-04-14T03:32:00Z</cp:lastPrinted>
  <dcterms:created xsi:type="dcterms:W3CDTF">2023-04-28T05:21:00Z</dcterms:created>
  <dcterms:modified xsi:type="dcterms:W3CDTF">2023-04-28T05:21:00Z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0x01010010DCD06DB4FF6549973422D366D948C5</vt:lpwstr>
  </property>
  <property fmtid="{D5CDD505-2E9C-101B-9397-08002B2CF9AE}" pid="5" name="MSIP_Label_2fd53d93-3f4c-4b90-b511-bd6bdbb4fba9_Enabled">
    <vt:lpwstr>true</vt:lpwstr>
  </property>
  <property fmtid="{D5CDD505-2E9C-101B-9397-08002B2CF9AE}" pid="6" name="MSIP_Label_2fd53d93-3f4c-4b90-b511-bd6bdbb4fba9_SetDate">
    <vt:lpwstr>2022-10-05T08:10:22Z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390a0b9b-a251-4cc8-a057-f8361f4e1afd</vt:lpwstr>
  </property>
  <property fmtid="{D5CDD505-2E9C-101B-9397-08002B2CF9AE}" pid="11" name="MSIP_Label_2fd53d93-3f4c-4b90-b511-bd6bdbb4fba9_ContentBits">
    <vt:lpwstr>0</vt:lpwstr>
  </property>
  <property fmtid="{D5CDD505-2E9C-101B-9397-08002B2CF9AE}" pid="12" name="_NewReviewCycle">
    <vt:lpwstr/>
  </property>
  <property fmtid="{D5CDD505-2E9C-101B-9397-08002B2CF9AE}" pid="13" name="GrammarlyDocumentId">
    <vt:lpwstr>d7cff3caea233ec580b738a2523f845cce4e3a3842a284f86d04936a492e3310</vt:lpwstr>
  </property>
</Properties>
</file>