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CEED" w14:textId="77777777" w:rsidR="00D90200" w:rsidRDefault="00D90200">
      <w:pPr>
        <w:pBdr>
          <w:top w:val="nil"/>
          <w:left w:val="nil"/>
          <w:bottom w:val="nil"/>
          <w:right w:val="nil"/>
          <w:between w:val="nil"/>
        </w:pBdr>
        <w:spacing w:after="0"/>
        <w:jc w:val="center"/>
        <w:rPr>
          <w:color w:val="243782"/>
        </w:rPr>
      </w:pPr>
    </w:p>
    <w:p w14:paraId="48DB2639" w14:textId="64B75115" w:rsidR="00D90200" w:rsidRPr="000B2E42" w:rsidRDefault="00CF6DAD">
      <w:pPr>
        <w:pBdr>
          <w:top w:val="nil"/>
          <w:left w:val="nil"/>
          <w:bottom w:val="nil"/>
          <w:right w:val="nil"/>
          <w:between w:val="nil"/>
        </w:pBdr>
        <w:spacing w:after="480"/>
        <w:jc w:val="center"/>
        <w:rPr>
          <w:rFonts w:ascii="Arial" w:eastAsia="Arial" w:hAnsi="Arial" w:cs="Arial"/>
          <w:b/>
          <w:color w:val="000000"/>
          <w:sz w:val="28"/>
          <w:szCs w:val="28"/>
        </w:rPr>
      </w:pPr>
      <w:r>
        <w:rPr>
          <w:rFonts w:ascii="Arial" w:hAnsi="Arial"/>
          <w:b/>
          <w:color w:val="000000"/>
          <w:sz w:val="28"/>
          <w:szCs w:val="28"/>
        </w:rPr>
        <w:br/>
      </w:r>
      <w:r w:rsidR="00DB7F49">
        <w:rPr>
          <w:rFonts w:ascii="Arial" w:hAnsi="Arial"/>
          <w:b/>
          <w:color w:val="000000"/>
          <w:sz w:val="28"/>
          <w:szCs w:val="28"/>
        </w:rPr>
        <w:t xml:space="preserve">Stellantis firma un accordo vincolante con Element 25 sulla fornitura di solfato di manganese per le batterie destinate ai veicoli elettrici </w:t>
      </w:r>
    </w:p>
    <w:p w14:paraId="4DBC16D9" w14:textId="5116F21C" w:rsidR="00B83D83" w:rsidRDefault="00B83D83">
      <w:pPr>
        <w:numPr>
          <w:ilvl w:val="0"/>
          <w:numId w:val="1"/>
        </w:numPr>
        <w:spacing w:after="0"/>
        <w:rPr>
          <w:rFonts w:ascii="Arial" w:eastAsia="Arial" w:hAnsi="Arial" w:cs="Arial"/>
        </w:rPr>
      </w:pPr>
      <w:r>
        <w:rPr>
          <w:rFonts w:ascii="Arial" w:hAnsi="Arial"/>
        </w:rPr>
        <w:t xml:space="preserve">Stellantis rafforza la value chain per la produzione di batterie destinate ai veicoli elettrici supportando </w:t>
      </w:r>
      <w:r w:rsidR="00D9361B">
        <w:rPr>
          <w:rFonts w:ascii="Arial" w:hAnsi="Arial"/>
        </w:rPr>
        <w:t>gli obiettivi</w:t>
      </w:r>
      <w:r>
        <w:rPr>
          <w:rFonts w:ascii="Arial" w:hAnsi="Arial"/>
        </w:rPr>
        <w:t xml:space="preserve"> del piano strategico Dare Forward 2030</w:t>
      </w:r>
    </w:p>
    <w:p w14:paraId="7B02D251" w14:textId="774AE0AC" w:rsidR="00D90200" w:rsidRPr="007F0624" w:rsidRDefault="00531E63">
      <w:pPr>
        <w:numPr>
          <w:ilvl w:val="0"/>
          <w:numId w:val="1"/>
        </w:numPr>
        <w:spacing w:after="0"/>
        <w:rPr>
          <w:rFonts w:ascii="Arial" w:eastAsia="Arial" w:hAnsi="Arial" w:cs="Arial"/>
        </w:rPr>
      </w:pPr>
      <w:r>
        <w:rPr>
          <w:rFonts w:ascii="Arial" w:hAnsi="Arial"/>
        </w:rPr>
        <w:t xml:space="preserve">L’accordo vincolante con Element 25 ha validità cinque anni con possibilità di estensione della durata e di aumento dei volumi </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2C95BB74" w14:textId="2AAEAA83" w:rsidR="00D756D1" w:rsidRDefault="00DB7F49" w:rsidP="005223ED">
      <w:pPr>
        <w:pBdr>
          <w:top w:val="nil"/>
          <w:left w:val="nil"/>
          <w:bottom w:val="nil"/>
          <w:right w:val="nil"/>
          <w:between w:val="nil"/>
        </w:pBdr>
        <w:rPr>
          <w:rFonts w:ascii="Arial" w:eastAsia="Arial" w:hAnsi="Arial" w:cs="Arial"/>
          <w:color w:val="000000"/>
          <w:sz w:val="22"/>
          <w:szCs w:val="22"/>
        </w:rPr>
      </w:pPr>
      <w:r w:rsidRPr="00F41002">
        <w:rPr>
          <w:rFonts w:ascii="Arial" w:hAnsi="Arial"/>
          <w:b/>
          <w:bCs/>
          <w:color w:val="000000"/>
          <w:sz w:val="22"/>
          <w:szCs w:val="22"/>
        </w:rPr>
        <w:t xml:space="preserve">AMSTERDAM, </w:t>
      </w:r>
      <w:r w:rsidR="00F41002" w:rsidRPr="00F41002">
        <w:rPr>
          <w:rFonts w:ascii="Arial" w:hAnsi="Arial"/>
          <w:b/>
          <w:bCs/>
          <w:color w:val="000000"/>
          <w:sz w:val="22"/>
          <w:szCs w:val="22"/>
        </w:rPr>
        <w:t>9</w:t>
      </w:r>
      <w:r w:rsidRPr="00F41002">
        <w:rPr>
          <w:rFonts w:ascii="Arial" w:hAnsi="Arial"/>
          <w:b/>
          <w:bCs/>
          <w:color w:val="000000"/>
          <w:sz w:val="22"/>
          <w:szCs w:val="22"/>
        </w:rPr>
        <w:t xml:space="preserve"> </w:t>
      </w:r>
      <w:r w:rsidR="00F41002" w:rsidRPr="00F41002">
        <w:rPr>
          <w:rFonts w:ascii="Arial" w:hAnsi="Arial"/>
          <w:b/>
          <w:bCs/>
          <w:color w:val="000000"/>
          <w:sz w:val="22"/>
          <w:szCs w:val="22"/>
        </w:rPr>
        <w:t>gennai</w:t>
      </w:r>
      <w:r w:rsidR="00F41002">
        <w:rPr>
          <w:rFonts w:ascii="Arial" w:hAnsi="Arial"/>
          <w:b/>
          <w:bCs/>
          <w:color w:val="000000"/>
          <w:sz w:val="22"/>
          <w:szCs w:val="22"/>
        </w:rPr>
        <w:t>o</w:t>
      </w:r>
      <w:r w:rsidRPr="00F41002">
        <w:rPr>
          <w:rFonts w:ascii="Arial" w:hAnsi="Arial"/>
          <w:b/>
          <w:bCs/>
          <w:color w:val="000000"/>
          <w:sz w:val="22"/>
          <w:szCs w:val="22"/>
        </w:rPr>
        <w:t xml:space="preserve"> 202</w:t>
      </w:r>
      <w:r w:rsidR="00F41002">
        <w:rPr>
          <w:rFonts w:ascii="Arial" w:hAnsi="Arial"/>
          <w:b/>
          <w:bCs/>
          <w:color w:val="000000"/>
          <w:sz w:val="22"/>
          <w:szCs w:val="22"/>
        </w:rPr>
        <w:t>3</w:t>
      </w:r>
      <w:r w:rsidRPr="00F41002">
        <w:rPr>
          <w:rFonts w:ascii="Arial" w:hAnsi="Arial"/>
          <w:color w:val="000000"/>
          <w:sz w:val="22"/>
          <w:szCs w:val="22"/>
        </w:rPr>
        <w:t xml:space="preserve"> – </w:t>
      </w:r>
      <w:hyperlink r:id="rId11" w:history="1">
        <w:r w:rsidRPr="00F41002">
          <w:rPr>
            <w:rStyle w:val="Hyperlink"/>
            <w:rFonts w:ascii="Arial" w:hAnsi="Arial"/>
            <w:sz w:val="22"/>
            <w:szCs w:val="22"/>
            <w:u w:val="single"/>
            <w:shd w:val="clear" w:color="auto" w:fill="FFFFFF"/>
          </w:rPr>
          <w:t>Stellantis N.V</w:t>
        </w:r>
        <w:r w:rsidRPr="00F41002">
          <w:rPr>
            <w:rStyle w:val="Hyperlink"/>
            <w:rFonts w:ascii="Arial" w:hAnsi="Arial"/>
            <w:sz w:val="22"/>
            <w:szCs w:val="22"/>
            <w:shd w:val="clear" w:color="auto" w:fill="FFFFFF"/>
          </w:rPr>
          <w:t>.</w:t>
        </w:r>
      </w:hyperlink>
      <w:r w:rsidRPr="00F41002">
        <w:rPr>
          <w:rFonts w:ascii="Arial" w:hAnsi="Arial"/>
          <w:sz w:val="22"/>
          <w:szCs w:val="22"/>
          <w:shd w:val="clear" w:color="auto" w:fill="FFFFFF"/>
        </w:rPr>
        <w:t xml:space="preserve"> </w:t>
      </w:r>
      <w:r>
        <w:rPr>
          <w:rFonts w:ascii="Arial" w:hAnsi="Arial"/>
          <w:color w:val="000000"/>
          <w:sz w:val="22"/>
          <w:szCs w:val="22"/>
        </w:rPr>
        <w:t>ed Element 25 Limited hanno annunciato oggi la firma di un accordo vincolante per la fornitura, da parte di Element 25, di solfato di manganese monoidrato ad alto grado di purezza per la produzione di pacchi batteria destinati ai veicoli elettrici di Stellantis. L’accordo quinquennale prevede la consegna di un volume totale di 45</w:t>
      </w:r>
      <w:r w:rsidR="002E1022">
        <w:rPr>
          <w:rFonts w:ascii="Arial" w:hAnsi="Arial"/>
          <w:color w:val="000000"/>
          <w:sz w:val="22"/>
          <w:szCs w:val="22"/>
        </w:rPr>
        <w:t>.000 tonnellate</w:t>
      </w:r>
      <w:r>
        <w:rPr>
          <w:rFonts w:ascii="Arial" w:hAnsi="Arial"/>
          <w:color w:val="000000"/>
          <w:sz w:val="22"/>
          <w:szCs w:val="22"/>
        </w:rPr>
        <w:t xml:space="preserve"> a partire dal 2026, con la possibilità di estenderne la durata e aumentare i volumi.</w:t>
      </w:r>
    </w:p>
    <w:p w14:paraId="30AE53AB" w14:textId="26FB6913" w:rsidR="006B2362" w:rsidDel="0020770F" w:rsidRDefault="00367CD5" w:rsidP="005223ED">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Element 25 ricaverà il materiale dal suo progetto Butcherbird in Australia</w:t>
      </w:r>
      <w:r w:rsidR="00D9361B">
        <w:rPr>
          <w:rFonts w:ascii="Arial" w:hAnsi="Arial"/>
          <w:color w:val="000000"/>
          <w:sz w:val="22"/>
          <w:szCs w:val="22"/>
        </w:rPr>
        <w:t xml:space="preserve"> occidentale</w:t>
      </w:r>
      <w:r>
        <w:rPr>
          <w:rFonts w:ascii="Arial" w:hAnsi="Arial"/>
          <w:color w:val="000000"/>
          <w:sz w:val="22"/>
          <w:szCs w:val="22"/>
        </w:rPr>
        <w:t xml:space="preserve">, e pianifica inoltre di costruire un impianto di lavorazione negli Stati Uniti. Stellantis procederà </w:t>
      </w:r>
      <w:r w:rsidR="00BE2744">
        <w:rPr>
          <w:rFonts w:ascii="Arial" w:hAnsi="Arial"/>
          <w:color w:val="000000"/>
          <w:sz w:val="22"/>
          <w:szCs w:val="22"/>
        </w:rPr>
        <w:t>con un investimento in</w:t>
      </w:r>
      <w:r>
        <w:rPr>
          <w:rFonts w:ascii="Arial" w:hAnsi="Arial"/>
          <w:color w:val="000000"/>
          <w:sz w:val="22"/>
          <w:szCs w:val="22"/>
        </w:rPr>
        <w:t xml:space="preserve"> Element 25.</w:t>
      </w:r>
    </w:p>
    <w:p w14:paraId="55FC1CCF" w14:textId="663CBF38" w:rsidR="00B315EF" w:rsidRDefault="00B315EF" w:rsidP="005223ED">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“Il nostro impegno per un futuro a zero emissioni</w:t>
      </w:r>
      <w:r w:rsidR="00D9361B">
        <w:rPr>
          <w:rFonts w:ascii="Arial" w:hAnsi="Arial"/>
          <w:color w:val="000000"/>
          <w:sz w:val="22"/>
          <w:szCs w:val="22"/>
        </w:rPr>
        <w:t xml:space="preserve"> nette</w:t>
      </w:r>
      <w:r>
        <w:rPr>
          <w:rFonts w:ascii="Arial" w:hAnsi="Arial"/>
          <w:color w:val="000000"/>
          <w:sz w:val="22"/>
          <w:szCs w:val="22"/>
        </w:rPr>
        <w:t xml:space="preserve"> di carbonio comprende la creazione di una catena di fornitura </w:t>
      </w:r>
      <w:r w:rsidR="00617E60">
        <w:rPr>
          <w:rFonts w:ascii="Arial" w:hAnsi="Arial"/>
          <w:color w:val="000000"/>
          <w:sz w:val="22"/>
          <w:szCs w:val="22"/>
        </w:rPr>
        <w:t>intelligente</w:t>
      </w:r>
      <w:r>
        <w:rPr>
          <w:rFonts w:ascii="Arial" w:hAnsi="Arial"/>
          <w:color w:val="000000"/>
          <w:sz w:val="22"/>
          <w:szCs w:val="22"/>
        </w:rPr>
        <w:t xml:space="preserve">, che ci consenta di soddisfare la richiesta di veicoli elettrici dei nostri clienti” ha dichiarato Carlos Tavares, CEO di Stellantis. “La produzione di veicoli elettrici che garantiscano </w:t>
      </w:r>
      <w:r w:rsidR="00617E60" w:rsidRPr="005223ED">
        <w:rPr>
          <w:rFonts w:ascii="Arial" w:hAnsi="Arial"/>
          <w:color w:val="000000"/>
          <w:sz w:val="22"/>
          <w:szCs w:val="22"/>
        </w:rPr>
        <w:t>ai clienti un’esperienza</w:t>
      </w:r>
      <w:r>
        <w:rPr>
          <w:rFonts w:ascii="Arial" w:hAnsi="Arial"/>
          <w:color w:val="000000"/>
          <w:sz w:val="22"/>
          <w:szCs w:val="22"/>
        </w:rPr>
        <w:t xml:space="preserve"> innovativa in termini di propulsione, connettività e funzionalità è un elemento fondamentale del nostro piano Dare Forward 2030 per una mobilità sicura, pulita e accessibile.”</w:t>
      </w:r>
    </w:p>
    <w:p w14:paraId="3694C209" w14:textId="62601F25" w:rsidR="00D176BF" w:rsidRDefault="006B2362" w:rsidP="005223ED">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 xml:space="preserve">L’accordo con Element 25 rafforza la strategia di elettrificazione di Stellantis, che comprende l’approvvigionamento di quantità consistenti di materie prime per la produzione di veicoli elettrici a batteria (BEV). Il manganese è un elemento </w:t>
      </w:r>
      <w:r w:rsidRPr="00BE2744">
        <w:rPr>
          <w:rFonts w:ascii="Arial" w:hAnsi="Arial"/>
          <w:color w:val="000000"/>
          <w:sz w:val="22"/>
          <w:szCs w:val="22"/>
        </w:rPr>
        <w:t>stabilizzatore</w:t>
      </w:r>
      <w:r>
        <w:rPr>
          <w:rFonts w:ascii="Arial" w:hAnsi="Arial"/>
          <w:color w:val="000000"/>
          <w:sz w:val="22"/>
          <w:szCs w:val="22"/>
        </w:rPr>
        <w:t xml:space="preserve"> essenziale del catodo delle batterie dei veicoli elettrici.</w:t>
      </w:r>
    </w:p>
    <w:p w14:paraId="78378FB9" w14:textId="3D3DA580" w:rsidR="00992268" w:rsidRPr="00992268" w:rsidRDefault="00992268" w:rsidP="005223ED">
      <w:pPr>
        <w:pBdr>
          <w:top w:val="nil"/>
          <w:left w:val="nil"/>
          <w:bottom w:val="nil"/>
          <w:right w:val="nil"/>
          <w:between w:val="nil"/>
        </w:pBdr>
        <w:rPr>
          <w:rFonts w:ascii="Arial" w:eastAsia="Arial" w:hAnsi="Arial" w:cs="Arial"/>
          <w:sz w:val="22"/>
          <w:szCs w:val="22"/>
        </w:rPr>
      </w:pPr>
      <w:r>
        <w:rPr>
          <w:rStyle w:val="normaltextrun"/>
          <w:rFonts w:ascii="Arial" w:hAnsi="Arial"/>
          <w:color w:val="000000"/>
          <w:sz w:val="22"/>
          <w:szCs w:val="22"/>
          <w:shd w:val="clear" w:color="auto" w:fill="FFFFFF"/>
        </w:rPr>
        <w:t xml:space="preserve">Nell’ambito del piano strategico </w:t>
      </w:r>
      <w:hyperlink r:id="rId12" w:tgtFrame="_blank" w:history="1">
        <w:r>
          <w:rPr>
            <w:rStyle w:val="normaltextrun"/>
            <w:rFonts w:ascii="Arial" w:hAnsi="Arial"/>
            <w:color w:val="243782"/>
            <w:sz w:val="22"/>
            <w:szCs w:val="22"/>
            <w:u w:val="single"/>
            <w:shd w:val="clear" w:color="auto" w:fill="FFFFFF"/>
          </w:rPr>
          <w:t>Dare Forward 2030</w:t>
        </w:r>
      </w:hyperlink>
      <w:r>
        <w:rPr>
          <w:rStyle w:val="normaltextrun"/>
          <w:rFonts w:ascii="Arial" w:hAnsi="Arial"/>
          <w:color w:val="000000"/>
          <w:sz w:val="22"/>
          <w:szCs w:val="22"/>
          <w:shd w:val="clear" w:color="auto" w:fill="FFFFFF"/>
        </w:rPr>
        <w:t xml:space="preserve">, Stellantis ha annunciato l’obiettivo di coprire entro il 2030 il 100% del mix di vendite con autovetture BEV in Europa e il 50% con autovetture e </w:t>
      </w:r>
      <w:r w:rsidR="00617E60">
        <w:rPr>
          <w:rStyle w:val="normaltextrun"/>
          <w:rFonts w:ascii="Arial" w:hAnsi="Arial"/>
          <w:color w:val="000000"/>
          <w:sz w:val="22"/>
          <w:szCs w:val="22"/>
          <w:shd w:val="clear" w:color="auto" w:fill="FFFFFF"/>
        </w:rPr>
        <w:t xml:space="preserve">veicoli commerciali </w:t>
      </w:r>
      <w:r>
        <w:rPr>
          <w:rStyle w:val="normaltextrun"/>
          <w:rFonts w:ascii="Arial" w:hAnsi="Arial"/>
          <w:color w:val="000000"/>
          <w:sz w:val="22"/>
          <w:szCs w:val="22"/>
          <w:shd w:val="clear" w:color="auto" w:fill="FFFFFF"/>
        </w:rPr>
        <w:t xml:space="preserve">leggeri BEV negli Stati Uniti. Stellantis sarà il punto di riferimento del settore nel contrasto al cambiamento climatico, con l’obiettivo di raggiungere il traguardo zero emissioni </w:t>
      </w:r>
      <w:r w:rsidR="00617E60">
        <w:rPr>
          <w:rStyle w:val="normaltextrun"/>
          <w:rFonts w:ascii="Arial" w:hAnsi="Arial"/>
          <w:color w:val="000000"/>
          <w:sz w:val="22"/>
          <w:szCs w:val="22"/>
          <w:shd w:val="clear" w:color="auto" w:fill="FFFFFF"/>
        </w:rPr>
        <w:t xml:space="preserve">nette </w:t>
      </w:r>
      <w:r>
        <w:rPr>
          <w:rStyle w:val="normaltextrun"/>
          <w:rFonts w:ascii="Arial" w:hAnsi="Arial"/>
          <w:color w:val="000000"/>
          <w:sz w:val="22"/>
          <w:szCs w:val="22"/>
          <w:shd w:val="clear" w:color="auto" w:fill="FFFFFF"/>
        </w:rPr>
        <w:t>entro il 2038, con una riduzione del 50% entro il 2030.</w:t>
      </w:r>
      <w:r>
        <w:rPr>
          <w:rStyle w:val="eop"/>
          <w:rFonts w:ascii="Arial" w:hAnsi="Arial"/>
          <w:color w:val="000000"/>
          <w:sz w:val="22"/>
          <w:szCs w:val="22"/>
          <w:shd w:val="clear" w:color="auto" w:fill="FFFFFF"/>
        </w:rPr>
        <w:t> </w:t>
      </w:r>
      <w:r>
        <w:rPr>
          <w:rFonts w:ascii="Arial" w:hAnsi="Arial"/>
          <w:sz w:val="22"/>
          <w:szCs w:val="22"/>
        </w:rPr>
        <w:t xml:space="preserve"> </w:t>
      </w:r>
    </w:p>
    <w:p w14:paraId="118F2850" w14:textId="10552F05" w:rsidR="00D90200" w:rsidRPr="006B2362" w:rsidRDefault="00DB7F49" w:rsidP="005223ED">
      <w:pPr>
        <w:pBdr>
          <w:top w:val="nil"/>
          <w:left w:val="nil"/>
          <w:bottom w:val="nil"/>
          <w:right w:val="nil"/>
          <w:between w:val="nil"/>
        </w:pBdr>
        <w:rPr>
          <w:rFonts w:ascii="Arial" w:eastAsia="Arial" w:hAnsi="Arial" w:cs="Arial"/>
          <w:color w:val="000000"/>
          <w:sz w:val="22"/>
          <w:szCs w:val="22"/>
        </w:rPr>
      </w:pPr>
      <w:r>
        <w:rPr>
          <w:rFonts w:ascii="Arial" w:hAnsi="Arial"/>
          <w:sz w:val="22"/>
          <w:szCs w:val="22"/>
        </w:rPr>
        <w:t>Stellantis ha annunciato l</w:t>
      </w:r>
      <w:r w:rsidR="007A3904">
        <w:rPr>
          <w:rFonts w:ascii="Arial" w:hAnsi="Arial"/>
          <w:sz w:val="22"/>
          <w:szCs w:val="22"/>
        </w:rPr>
        <w:t>’</w:t>
      </w:r>
      <w:r>
        <w:rPr>
          <w:rFonts w:ascii="Arial" w:hAnsi="Arial"/>
          <w:sz w:val="22"/>
          <w:szCs w:val="22"/>
        </w:rPr>
        <w:t>intenzione di investire più di 30 miliardi di euro nell’elettrificazione e nello sviluppo di software fino al 2025. L</w:t>
      </w:r>
      <w:r w:rsidR="007A3904">
        <w:rPr>
          <w:rFonts w:ascii="Arial" w:hAnsi="Arial"/>
          <w:sz w:val="22"/>
          <w:szCs w:val="22"/>
        </w:rPr>
        <w:t>’</w:t>
      </w:r>
      <w:r>
        <w:rPr>
          <w:rFonts w:ascii="Arial" w:hAnsi="Arial"/>
          <w:sz w:val="22"/>
          <w:szCs w:val="22"/>
        </w:rPr>
        <w:t>obiettivo è quello di continuare a essere più efficiente del 30% rispetto al settore per quanto riguarda la spesa totale in Capex e R&amp;S rispetto ai ricavi.</w:t>
      </w:r>
    </w:p>
    <w:p w14:paraId="3E51F0E7" w14:textId="67C8AB6F" w:rsidR="00D90200" w:rsidRPr="007F0624" w:rsidRDefault="00DB7F49" w:rsidP="005223ED">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lastRenderedPageBreak/>
        <w:t xml:space="preserve">“Il sostegno di Stellantis al progetto di Element 25 per la produzione di </w:t>
      </w:r>
      <w:r w:rsidR="004C511D">
        <w:rPr>
          <w:rFonts w:ascii="Arial" w:hAnsi="Arial"/>
          <w:color w:val="000000"/>
          <w:sz w:val="22"/>
          <w:szCs w:val="22"/>
        </w:rPr>
        <w:t xml:space="preserve">solfato di </w:t>
      </w:r>
      <w:r>
        <w:rPr>
          <w:rFonts w:ascii="Arial" w:hAnsi="Arial"/>
          <w:color w:val="000000"/>
          <w:sz w:val="22"/>
          <w:szCs w:val="22"/>
        </w:rPr>
        <w:t xml:space="preserve">manganese ad alto grado di purezza per batterie rappresenta uno straordinario attestato di stima da parte di una delle principali case automobilistiche del mondo e conferma la validità del nostro piano di diventare un fornitore globale di lungo periodo di materiali per </w:t>
      </w:r>
      <w:r w:rsidR="004C511D">
        <w:rPr>
          <w:rFonts w:ascii="Arial" w:hAnsi="Arial"/>
          <w:color w:val="000000"/>
          <w:sz w:val="22"/>
          <w:szCs w:val="22"/>
        </w:rPr>
        <w:t xml:space="preserve">le </w:t>
      </w:r>
      <w:r>
        <w:rPr>
          <w:rFonts w:ascii="Arial" w:hAnsi="Arial"/>
          <w:color w:val="000000"/>
          <w:sz w:val="22"/>
          <w:szCs w:val="22"/>
        </w:rPr>
        <w:t>batterie al fine di soddisfare la crescente domanda a livello mondiale” ha affermato Justin Brown, Managing Director di Element 25. “Siamo perfettamente allineati con gli obiettivi di decarbonizzazione ed elettrificazione di Stellantis, che sono tra i più ambiziosi nel settore, e con questo accordo ci siamo impegnati a promuovere l’azzeramento delle emissioni nette di carbonio.”</w:t>
      </w:r>
    </w:p>
    <w:p w14:paraId="38C58879" w14:textId="0F7D6055" w:rsidR="009D782E" w:rsidRPr="007F0624" w:rsidRDefault="003751FD" w:rsidP="005223ED">
      <w:pPr>
        <w:pBdr>
          <w:top w:val="nil"/>
          <w:left w:val="nil"/>
          <w:bottom w:val="nil"/>
          <w:right w:val="nil"/>
          <w:between w:val="nil"/>
        </w:pBdr>
        <w:rPr>
          <w:rFonts w:ascii="Arial" w:eastAsia="Arial" w:hAnsi="Arial" w:cs="Arial"/>
          <w:color w:val="000000"/>
          <w:sz w:val="22"/>
          <w:szCs w:val="22"/>
        </w:rPr>
      </w:pPr>
      <w:r>
        <w:rPr>
          <w:rFonts w:ascii="Arial" w:hAnsi="Arial"/>
          <w:color w:val="000000"/>
          <w:sz w:val="22"/>
          <w:szCs w:val="22"/>
        </w:rPr>
        <w:t>L’adempimento delle parti al</w:t>
      </w:r>
      <w:r w:rsidR="00BE2744">
        <w:rPr>
          <w:rFonts w:ascii="Arial" w:hAnsi="Arial"/>
          <w:color w:val="000000"/>
          <w:sz w:val="22"/>
          <w:szCs w:val="22"/>
        </w:rPr>
        <w:t>l’accordo vincolante</w:t>
      </w:r>
      <w:r>
        <w:rPr>
          <w:rFonts w:ascii="Arial" w:hAnsi="Arial"/>
          <w:color w:val="000000"/>
          <w:sz w:val="22"/>
          <w:szCs w:val="22"/>
        </w:rPr>
        <w:t xml:space="preserve"> è </w:t>
      </w:r>
      <w:r w:rsidR="004C511D">
        <w:rPr>
          <w:rFonts w:ascii="Arial" w:hAnsi="Arial"/>
          <w:color w:val="000000"/>
          <w:sz w:val="22"/>
          <w:szCs w:val="22"/>
        </w:rPr>
        <w:t xml:space="preserve">subordinato </w:t>
      </w:r>
      <w:r>
        <w:rPr>
          <w:rFonts w:ascii="Arial" w:hAnsi="Arial"/>
          <w:color w:val="000000"/>
          <w:sz w:val="22"/>
          <w:szCs w:val="22"/>
        </w:rPr>
        <w:t>al completamento con esito positivo dell</w:t>
      </w:r>
      <w:r w:rsidR="00F90757">
        <w:rPr>
          <w:rFonts w:ascii="Arial" w:hAnsi="Arial"/>
          <w:color w:val="000000"/>
          <w:sz w:val="22"/>
          <w:szCs w:val="22"/>
        </w:rPr>
        <w:t>e</w:t>
      </w:r>
      <w:r w:rsidR="00BE2744">
        <w:rPr>
          <w:rFonts w:ascii="Arial" w:hAnsi="Arial"/>
          <w:color w:val="000000"/>
          <w:sz w:val="22"/>
          <w:szCs w:val="22"/>
        </w:rPr>
        <w:t xml:space="preserve"> verifiche tecniche e dello</w:t>
      </w:r>
      <w:r>
        <w:rPr>
          <w:rFonts w:ascii="Arial" w:hAnsi="Arial"/>
          <w:color w:val="000000"/>
          <w:sz w:val="22"/>
          <w:szCs w:val="22"/>
        </w:rPr>
        <w:t xml:space="preserve"> studio di fattibilità.</w:t>
      </w:r>
    </w:p>
    <w:p w14:paraId="2E5CA74B" w14:textId="77777777" w:rsidR="007F0624" w:rsidRPr="00A976CF" w:rsidRDefault="007F0624" w:rsidP="007F0624">
      <w:pPr>
        <w:jc w:val="center"/>
        <w:rPr>
          <w:rFonts w:ascii="Arial" w:eastAsia="Encode Sans" w:hAnsi="Arial" w:cs="Arial"/>
          <w:sz w:val="22"/>
          <w:szCs w:val="22"/>
        </w:rPr>
      </w:pPr>
      <w:r>
        <w:rPr>
          <w:rFonts w:ascii="Arial" w:hAnsi="Arial"/>
          <w:sz w:val="22"/>
          <w:szCs w:val="22"/>
        </w:rPr>
        <w:t># # #</w:t>
      </w:r>
    </w:p>
    <w:p w14:paraId="58457F5D" w14:textId="77777777" w:rsidR="009D782E" w:rsidRPr="0077076A" w:rsidRDefault="009D782E" w:rsidP="009D782E">
      <w:pPr>
        <w:pBdr>
          <w:top w:val="nil"/>
          <w:left w:val="nil"/>
          <w:bottom w:val="nil"/>
          <w:right w:val="nil"/>
          <w:between w:val="nil"/>
        </w:pBdr>
        <w:spacing w:after="0"/>
        <w:jc w:val="left"/>
        <w:rPr>
          <w:rFonts w:ascii="Arial" w:eastAsia="Arial" w:hAnsi="Arial" w:cs="Arial"/>
          <w:b/>
          <w:sz w:val="20"/>
          <w:szCs w:val="20"/>
        </w:rPr>
      </w:pPr>
      <w:r w:rsidRPr="0077076A">
        <w:rPr>
          <w:rFonts w:ascii="Arial" w:hAnsi="Arial"/>
          <w:b/>
          <w:sz w:val="20"/>
          <w:szCs w:val="20"/>
        </w:rPr>
        <w:t>Stellantis</w:t>
      </w:r>
    </w:p>
    <w:p w14:paraId="632FA35B" w14:textId="51227E68" w:rsidR="00822B3A" w:rsidRPr="0077076A" w:rsidRDefault="00826D49" w:rsidP="005223ED">
      <w:pPr>
        <w:pBdr>
          <w:top w:val="nil"/>
          <w:left w:val="nil"/>
          <w:bottom w:val="nil"/>
          <w:right w:val="nil"/>
          <w:between w:val="nil"/>
        </w:pBdr>
        <w:spacing w:after="0"/>
        <w:rPr>
          <w:rFonts w:ascii="Arial" w:eastAsia="Arial" w:hAnsi="Arial" w:cs="Arial"/>
          <w:color w:val="000000"/>
          <w:sz w:val="20"/>
          <w:szCs w:val="20"/>
        </w:rPr>
      </w:pPr>
      <w:r w:rsidRPr="0077076A">
        <w:rPr>
          <w:rFonts w:ascii="Arial" w:hAnsi="Arial"/>
          <w:color w:val="000000"/>
          <w:sz w:val="20"/>
          <w:szCs w:val="20"/>
        </w:rPr>
        <w:t>Stellantis N.V. (NYSE / MTA / Euronext Paris: STLA) è leader a livello mondiale nella produzione di veicoli e fornitore di mobilità. I suoi marchi iconici e ricchi di storia – Abarth, Alfa Romeo, Chrysler, Citroën, Dodge, DS Automobiles, Fiat, Jeep</w:t>
      </w:r>
      <w:r w:rsidR="00EB0677" w:rsidRPr="00F9150C">
        <w:rPr>
          <w:rFonts w:ascii="Arial" w:hAnsi="Arial" w:cs="Arial"/>
          <w:color w:val="000000"/>
          <w:sz w:val="20"/>
          <w:szCs w:val="20"/>
          <w:vertAlign w:val="subscript"/>
        </w:rPr>
        <w:t>®</w:t>
      </w:r>
      <w:r w:rsidRPr="0077076A">
        <w:rPr>
          <w:rFonts w:ascii="Arial" w:hAnsi="Arial"/>
          <w:color w:val="000000"/>
          <w:sz w:val="20"/>
          <w:szCs w:val="20"/>
        </w:rPr>
        <w:t xml:space="preserve">,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t>
      </w:r>
      <w:hyperlink r:id="rId13" w:history="1">
        <w:r w:rsidRPr="0077076A">
          <w:rPr>
            <w:rStyle w:val="Hyperlink"/>
            <w:rFonts w:ascii="Arial" w:hAnsi="Arial"/>
            <w:sz w:val="20"/>
            <w:szCs w:val="20"/>
          </w:rPr>
          <w:t>www.stellantis.com</w:t>
        </w:r>
      </w:hyperlink>
      <w:r w:rsidRPr="0077076A">
        <w:rPr>
          <w:rFonts w:ascii="Arial" w:hAnsi="Arial"/>
          <w:color w:val="000000"/>
          <w:sz w:val="20"/>
          <w:szCs w:val="20"/>
        </w:rPr>
        <w:t>.</w:t>
      </w:r>
    </w:p>
    <w:p w14:paraId="1BDE1EDD" w14:textId="77777777" w:rsidR="00826D49" w:rsidRPr="0077076A" w:rsidRDefault="00826D49" w:rsidP="009D782E">
      <w:pPr>
        <w:pBdr>
          <w:top w:val="nil"/>
          <w:left w:val="nil"/>
          <w:bottom w:val="nil"/>
          <w:right w:val="nil"/>
          <w:between w:val="nil"/>
        </w:pBdr>
        <w:spacing w:after="0"/>
        <w:jc w:val="left"/>
        <w:rPr>
          <w:rFonts w:ascii="Arial" w:eastAsia="Arial" w:hAnsi="Arial" w:cs="Arial"/>
          <w:color w:val="000000"/>
          <w:sz w:val="20"/>
          <w:szCs w:val="20"/>
        </w:rPr>
      </w:pPr>
    </w:p>
    <w:p w14:paraId="20D4B279" w14:textId="77777777" w:rsidR="00822B3A" w:rsidRPr="0077076A" w:rsidRDefault="00822B3A" w:rsidP="00822B3A">
      <w:pPr>
        <w:pBdr>
          <w:top w:val="nil"/>
          <w:left w:val="nil"/>
          <w:bottom w:val="nil"/>
          <w:right w:val="nil"/>
          <w:between w:val="nil"/>
        </w:pBdr>
        <w:spacing w:after="0"/>
        <w:jc w:val="left"/>
        <w:rPr>
          <w:rFonts w:ascii="Arial" w:eastAsia="Arial" w:hAnsi="Arial" w:cs="Arial"/>
          <w:b/>
          <w:bCs/>
          <w:color w:val="000000"/>
          <w:sz w:val="20"/>
          <w:szCs w:val="20"/>
        </w:rPr>
      </w:pPr>
      <w:r w:rsidRPr="0077076A">
        <w:rPr>
          <w:rFonts w:ascii="Arial" w:hAnsi="Arial"/>
          <w:b/>
          <w:bCs/>
          <w:color w:val="000000"/>
          <w:sz w:val="20"/>
          <w:szCs w:val="20"/>
        </w:rPr>
        <w:t>Element 25</w:t>
      </w:r>
    </w:p>
    <w:p w14:paraId="0FDF5796" w14:textId="034A17AA" w:rsidR="00822B3A" w:rsidRPr="0077076A" w:rsidRDefault="00822B3A" w:rsidP="005223ED">
      <w:pPr>
        <w:pBdr>
          <w:top w:val="nil"/>
          <w:left w:val="nil"/>
          <w:bottom w:val="nil"/>
          <w:right w:val="nil"/>
          <w:between w:val="nil"/>
        </w:pBdr>
        <w:spacing w:after="0"/>
        <w:rPr>
          <w:rFonts w:ascii="Arial" w:eastAsia="Arial" w:hAnsi="Arial" w:cs="Arial"/>
          <w:color w:val="000000"/>
          <w:sz w:val="20"/>
          <w:szCs w:val="20"/>
        </w:rPr>
      </w:pPr>
      <w:r w:rsidRPr="0077076A">
        <w:rPr>
          <w:rFonts w:ascii="Arial" w:hAnsi="Arial"/>
          <w:color w:val="000000"/>
          <w:sz w:val="20"/>
          <w:szCs w:val="20"/>
        </w:rPr>
        <w:t>Element 25 è una società quotata alla Borsa valori australiana (ASX: E25) che gestisce l’importante progetto denominato Butcherbird Managense Project con sede in Western Australia, di cui è proprietaria al 100%, e sviluppa prodotti a base di manganese solfato ad alto grado di purezza (HPMSM) per mercati energetici tradizionali e nuovi, con l’obiettivo di acquisire una posizione di leadership a livello mondiale nel settore della produzione di materiali per batterie a basse emissioni di carbonio. Informazioni sull’azienda, comunicazioni dell’ASX, presentazione degli investitori, video aziendali e altro materiale relativo ai progetti della società sono reperibili all’indirizzo http://www.element25.com.au.</w:t>
      </w:r>
    </w:p>
    <w:p w14:paraId="4B1252EB" w14:textId="77777777" w:rsidR="009D782E" w:rsidRPr="007F0624" w:rsidRDefault="009D782E" w:rsidP="009D782E">
      <w:pPr>
        <w:pBdr>
          <w:top w:val="nil"/>
          <w:left w:val="nil"/>
          <w:bottom w:val="nil"/>
          <w:right w:val="nil"/>
          <w:between w:val="nil"/>
        </w:pBdr>
        <w:spacing w:after="0"/>
        <w:jc w:val="left"/>
        <w:rPr>
          <w:rFonts w:ascii="Arial" w:eastAsia="Arial" w:hAnsi="Arial" w:cs="Arial"/>
          <w:i/>
          <w:color w:val="000000"/>
          <w:sz w:val="22"/>
          <w:szCs w:val="22"/>
        </w:rPr>
      </w:pPr>
    </w:p>
    <w:p w14:paraId="3E3FFB40" w14:textId="77777777" w:rsidR="00D90200" w:rsidRDefault="00D90200">
      <w:pPr>
        <w:spacing w:after="0"/>
        <w:jc w:val="left"/>
        <w:rPr>
          <w:b/>
          <w:i/>
          <w:sz w:val="16"/>
          <w:szCs w:val="16"/>
        </w:rPr>
      </w:pPr>
      <w:bookmarkStart w:id="0" w:name="_heading=h.gjdgxs"/>
      <w:bookmarkEnd w:id="0"/>
    </w:p>
    <w:p w14:paraId="6ADAE1C2" w14:textId="62A762EE" w:rsidR="00D90200" w:rsidRDefault="007F0624" w:rsidP="0077076A">
      <w:pPr>
        <w:autoSpaceDE w:val="0"/>
        <w:autoSpaceDN w:val="0"/>
        <w:adjustRightInd w:val="0"/>
        <w:spacing w:after="0"/>
        <w:rPr>
          <w:rFonts w:ascii="Arial" w:hAnsi="Arial"/>
          <w:b/>
          <w:bCs/>
          <w:color w:val="373737"/>
          <w:sz w:val="22"/>
          <w:szCs w:val="22"/>
        </w:rPr>
      </w:pPr>
      <w:r>
        <w:rPr>
          <w:rFonts w:ascii="Arial" w:hAnsi="Arial"/>
          <w:b/>
          <w:bCs/>
          <w:color w:val="373737"/>
          <w:sz w:val="22"/>
          <w:szCs w:val="22"/>
        </w:rPr>
        <w:t>Contatti Media</w:t>
      </w:r>
    </w:p>
    <w:p w14:paraId="4A8B3467" w14:textId="77777777" w:rsidR="0077076A" w:rsidRPr="0065342C" w:rsidRDefault="0077076A" w:rsidP="0077076A">
      <w:pPr>
        <w:autoSpaceDE w:val="0"/>
        <w:autoSpaceDN w:val="0"/>
        <w:adjustRightInd w:val="0"/>
        <w:spacing w:after="0"/>
        <w:rPr>
          <w:rFonts w:ascii="Arial" w:hAnsi="Arial" w:cs="Arial"/>
          <w:b/>
          <w:bCs/>
          <w:color w:val="373737"/>
          <w:sz w:val="22"/>
          <w:szCs w:val="22"/>
        </w:rPr>
      </w:pPr>
    </w:p>
    <w:p w14:paraId="7ECEABE6" w14:textId="19E97011" w:rsidR="00B83D83" w:rsidRPr="0065342C" w:rsidRDefault="00B83D83" w:rsidP="0077076A">
      <w:pPr>
        <w:autoSpaceDE w:val="0"/>
        <w:autoSpaceDN w:val="0"/>
        <w:adjustRightInd w:val="0"/>
        <w:spacing w:after="0"/>
        <w:rPr>
          <w:rFonts w:ascii="Arial" w:hAnsi="Arial" w:cs="Arial"/>
          <w:b/>
          <w:bCs/>
          <w:color w:val="373737"/>
          <w:sz w:val="22"/>
          <w:szCs w:val="22"/>
        </w:rPr>
      </w:pPr>
      <w:r>
        <w:rPr>
          <w:rFonts w:ascii="Arial" w:hAnsi="Arial"/>
          <w:b/>
          <w:bCs/>
          <w:color w:val="373737"/>
          <w:sz w:val="22"/>
          <w:szCs w:val="22"/>
        </w:rPr>
        <w:t>Stellantis</w:t>
      </w:r>
    </w:p>
    <w:p w14:paraId="6033B659" w14:textId="77777777" w:rsidR="00B83D83" w:rsidRPr="00FB0FD5" w:rsidRDefault="00B83D83" w:rsidP="0077076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b/>
          <w:bCs/>
          <w:sz w:val="20"/>
          <w:szCs w:val="20"/>
        </w:rPr>
        <w:t>Fernão Silveira </w:t>
      </w:r>
      <w:r>
        <w:rPr>
          <w:rStyle w:val="eop"/>
          <w:rFonts w:ascii="Arial" w:hAnsi="Arial"/>
          <w:sz w:val="20"/>
          <w:szCs w:val="20"/>
        </w:rPr>
        <w:t> </w:t>
      </w:r>
    </w:p>
    <w:p w14:paraId="3AE74E19" w14:textId="77777777" w:rsidR="00B83D83" w:rsidRPr="00FB0FD5" w:rsidRDefault="00B83D83" w:rsidP="0077076A">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sz w:val="20"/>
          <w:szCs w:val="20"/>
        </w:rPr>
        <w:t>Comunicazioni globali / Stellantis</w:t>
      </w:r>
      <w:r>
        <w:rPr>
          <w:rStyle w:val="eop"/>
          <w:rFonts w:ascii="Arial" w:hAnsi="Arial"/>
          <w:sz w:val="20"/>
          <w:szCs w:val="20"/>
        </w:rPr>
        <w:t> </w:t>
      </w:r>
    </w:p>
    <w:p w14:paraId="56ABDFC9"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sz w:val="20"/>
          <w:szCs w:val="20"/>
          <w:lang w:val="en-US"/>
        </w:rPr>
        <w:t>+31 6 43 25 43 41</w:t>
      </w:r>
      <w:r w:rsidRPr="002E1022">
        <w:rPr>
          <w:rStyle w:val="eop"/>
          <w:rFonts w:ascii="Arial" w:hAnsi="Arial"/>
          <w:sz w:val="20"/>
          <w:szCs w:val="20"/>
          <w:lang w:val="en-US"/>
        </w:rPr>
        <w:t> </w:t>
      </w:r>
    </w:p>
    <w:p w14:paraId="1AB4FF88"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sz w:val="20"/>
          <w:szCs w:val="20"/>
          <w:lang w:val="en-US"/>
        </w:rPr>
        <w:t>fernao.silveira@stellantis.com </w:t>
      </w:r>
      <w:r w:rsidRPr="002E1022">
        <w:rPr>
          <w:rStyle w:val="eop"/>
          <w:rFonts w:ascii="Arial" w:hAnsi="Arial"/>
          <w:sz w:val="20"/>
          <w:szCs w:val="20"/>
          <w:lang w:val="en-US"/>
        </w:rPr>
        <w:t> </w:t>
      </w:r>
    </w:p>
    <w:p w14:paraId="2CBBD242"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eop"/>
          <w:rFonts w:ascii="Arial" w:hAnsi="Arial"/>
          <w:sz w:val="20"/>
          <w:szCs w:val="20"/>
          <w:lang w:val="en-US"/>
        </w:rPr>
        <w:t> </w:t>
      </w:r>
    </w:p>
    <w:p w14:paraId="3C7DFD40"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b/>
          <w:bCs/>
          <w:sz w:val="20"/>
          <w:szCs w:val="20"/>
          <w:lang w:val="en-US"/>
        </w:rPr>
        <w:t>Valérie GILLOT</w:t>
      </w:r>
      <w:r w:rsidRPr="002E1022">
        <w:rPr>
          <w:rStyle w:val="eop"/>
          <w:rFonts w:ascii="Arial" w:hAnsi="Arial"/>
          <w:sz w:val="20"/>
          <w:szCs w:val="20"/>
          <w:lang w:val="en-US"/>
        </w:rPr>
        <w:t> </w:t>
      </w:r>
    </w:p>
    <w:p w14:paraId="486960D5"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sz w:val="20"/>
          <w:szCs w:val="20"/>
          <w:lang w:val="en-US"/>
        </w:rPr>
        <w:t>+33 6 83 92 92 96</w:t>
      </w:r>
      <w:r w:rsidRPr="002E1022">
        <w:rPr>
          <w:rStyle w:val="eop"/>
          <w:rFonts w:ascii="Arial" w:hAnsi="Arial"/>
          <w:sz w:val="20"/>
          <w:szCs w:val="20"/>
          <w:lang w:val="en-US"/>
        </w:rPr>
        <w:t> </w:t>
      </w:r>
    </w:p>
    <w:p w14:paraId="0DB4AA64"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sz w:val="20"/>
          <w:szCs w:val="20"/>
          <w:lang w:val="en-US"/>
        </w:rPr>
        <w:t>valerie.gillot@stellantis.com</w:t>
      </w:r>
      <w:r w:rsidRPr="002E1022">
        <w:rPr>
          <w:rStyle w:val="eop"/>
          <w:rFonts w:ascii="Arial" w:hAnsi="Arial"/>
          <w:sz w:val="20"/>
          <w:szCs w:val="20"/>
          <w:lang w:val="en-US"/>
        </w:rPr>
        <w:t> </w:t>
      </w:r>
    </w:p>
    <w:p w14:paraId="66F97E17"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eop"/>
          <w:rFonts w:ascii="Arial" w:hAnsi="Arial"/>
          <w:sz w:val="20"/>
          <w:szCs w:val="20"/>
          <w:lang w:val="en-US"/>
        </w:rPr>
        <w:t> </w:t>
      </w:r>
    </w:p>
    <w:p w14:paraId="0C67284D" w14:textId="77777777" w:rsidR="00B83D83" w:rsidRPr="002E1022" w:rsidRDefault="00B83D83" w:rsidP="0077076A">
      <w:pPr>
        <w:pStyle w:val="paragraph"/>
        <w:spacing w:before="0" w:beforeAutospacing="0" w:after="0" w:afterAutospacing="0"/>
        <w:jc w:val="both"/>
        <w:textAlignment w:val="baseline"/>
        <w:rPr>
          <w:rFonts w:ascii="Arial" w:hAnsi="Arial" w:cs="Arial"/>
          <w:sz w:val="20"/>
          <w:szCs w:val="20"/>
          <w:lang w:val="en-US"/>
        </w:rPr>
      </w:pPr>
      <w:r w:rsidRPr="002E1022">
        <w:rPr>
          <w:rStyle w:val="normaltextrun"/>
          <w:rFonts w:ascii="Arial" w:hAnsi="Arial"/>
          <w:sz w:val="20"/>
          <w:szCs w:val="20"/>
          <w:lang w:val="en-US"/>
        </w:rPr>
        <w:t>communications@stellantis.com</w:t>
      </w:r>
      <w:r w:rsidRPr="002E1022">
        <w:rPr>
          <w:rStyle w:val="eop"/>
          <w:rFonts w:ascii="Arial" w:hAnsi="Arial"/>
          <w:sz w:val="20"/>
          <w:szCs w:val="20"/>
          <w:lang w:val="en-US"/>
        </w:rPr>
        <w:t> </w:t>
      </w:r>
    </w:p>
    <w:p w14:paraId="6C81D3AF" w14:textId="7BAE8008" w:rsidR="00B83D83" w:rsidRPr="00CF6DAD" w:rsidRDefault="002E1022" w:rsidP="0077076A">
      <w:pPr>
        <w:pStyle w:val="paragraph"/>
        <w:spacing w:before="0" w:beforeAutospacing="0" w:after="0" w:afterAutospacing="0"/>
        <w:jc w:val="both"/>
        <w:textAlignment w:val="baseline"/>
        <w:rPr>
          <w:rStyle w:val="eop"/>
          <w:rFonts w:ascii="Arial" w:hAnsi="Arial" w:cs="Arial"/>
          <w:sz w:val="20"/>
          <w:szCs w:val="20"/>
          <w:lang w:val="en-US"/>
        </w:rPr>
      </w:pPr>
      <w:hyperlink r:id="rId14" w:tgtFrame="_blank" w:history="1">
        <w:r w:rsidR="00C70978" w:rsidRPr="00CF6DAD">
          <w:rPr>
            <w:rStyle w:val="normaltextrun"/>
            <w:rFonts w:ascii="Arial" w:hAnsi="Arial"/>
            <w:sz w:val="20"/>
            <w:szCs w:val="20"/>
            <w:lang w:val="en-US"/>
          </w:rPr>
          <w:t>www.stellantis.com</w:t>
        </w:r>
      </w:hyperlink>
      <w:r w:rsidR="00C70978" w:rsidRPr="00CF6DAD">
        <w:rPr>
          <w:rStyle w:val="eop"/>
          <w:rFonts w:ascii="Arial" w:hAnsi="Arial"/>
          <w:sz w:val="20"/>
          <w:szCs w:val="20"/>
          <w:lang w:val="en-US"/>
        </w:rPr>
        <w:t> </w:t>
      </w:r>
    </w:p>
    <w:p w14:paraId="7072A219" w14:textId="59663B7E" w:rsidR="00B83D83" w:rsidRDefault="00B83D83" w:rsidP="0077076A">
      <w:pPr>
        <w:pStyle w:val="paragraph"/>
        <w:spacing w:before="0" w:beforeAutospacing="0" w:after="0" w:afterAutospacing="0"/>
        <w:jc w:val="both"/>
        <w:textAlignment w:val="baseline"/>
        <w:rPr>
          <w:rStyle w:val="eop"/>
          <w:rFonts w:ascii="Arial" w:hAnsi="Arial" w:cs="Arial"/>
          <w:sz w:val="20"/>
          <w:szCs w:val="20"/>
          <w:lang w:val="en-US"/>
        </w:rPr>
      </w:pPr>
    </w:p>
    <w:p w14:paraId="42053614" w14:textId="77777777" w:rsidR="0077076A" w:rsidRPr="00CF6DAD" w:rsidRDefault="0077076A" w:rsidP="0077076A">
      <w:pPr>
        <w:pStyle w:val="paragraph"/>
        <w:spacing w:before="0" w:beforeAutospacing="0" w:after="0" w:afterAutospacing="0"/>
        <w:jc w:val="both"/>
        <w:textAlignment w:val="baseline"/>
        <w:rPr>
          <w:rStyle w:val="eop"/>
          <w:rFonts w:ascii="Arial" w:hAnsi="Arial" w:cs="Arial"/>
          <w:sz w:val="20"/>
          <w:szCs w:val="20"/>
          <w:lang w:val="en-US"/>
        </w:rPr>
      </w:pPr>
    </w:p>
    <w:p w14:paraId="3392F4C1" w14:textId="2DBC7155" w:rsidR="00B83D83" w:rsidRPr="00CF6DAD" w:rsidRDefault="00B83D83" w:rsidP="0077076A">
      <w:pPr>
        <w:autoSpaceDE w:val="0"/>
        <w:autoSpaceDN w:val="0"/>
        <w:adjustRightInd w:val="0"/>
        <w:spacing w:after="0"/>
        <w:rPr>
          <w:rFonts w:ascii="Arial" w:hAnsi="Arial" w:cs="Arial"/>
          <w:b/>
          <w:bCs/>
          <w:color w:val="373737"/>
          <w:sz w:val="20"/>
          <w:szCs w:val="20"/>
          <w:lang w:val="en-US"/>
        </w:rPr>
      </w:pPr>
      <w:r w:rsidRPr="00CF6DAD">
        <w:rPr>
          <w:rFonts w:ascii="Arial" w:hAnsi="Arial"/>
          <w:b/>
          <w:bCs/>
          <w:color w:val="373737"/>
          <w:sz w:val="20"/>
          <w:szCs w:val="20"/>
          <w:lang w:val="en-US"/>
        </w:rPr>
        <w:t>Element 25</w:t>
      </w:r>
    </w:p>
    <w:p w14:paraId="3154829A" w14:textId="7DBB0368" w:rsidR="007C2F15" w:rsidRPr="00CF6DAD" w:rsidRDefault="007C2F15" w:rsidP="0077076A">
      <w:pPr>
        <w:autoSpaceDE w:val="0"/>
        <w:autoSpaceDN w:val="0"/>
        <w:adjustRightInd w:val="0"/>
        <w:spacing w:after="0"/>
        <w:rPr>
          <w:rFonts w:ascii="Arial" w:hAnsi="Arial" w:cs="Arial"/>
          <w:b/>
          <w:bCs/>
          <w:color w:val="373737"/>
          <w:sz w:val="20"/>
          <w:szCs w:val="20"/>
          <w:lang w:val="en-US"/>
        </w:rPr>
      </w:pPr>
      <w:r w:rsidRPr="00CF6DAD">
        <w:rPr>
          <w:rFonts w:ascii="Arial" w:hAnsi="Arial"/>
          <w:b/>
          <w:bCs/>
          <w:color w:val="373737"/>
          <w:sz w:val="20"/>
          <w:szCs w:val="20"/>
          <w:lang w:val="en-US"/>
        </w:rPr>
        <w:t>Justin Brown</w:t>
      </w:r>
    </w:p>
    <w:p w14:paraId="0A7EA006" w14:textId="14318189" w:rsidR="007C2F15" w:rsidRPr="00FB0FD5" w:rsidRDefault="007C2F15" w:rsidP="0077076A">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sz w:val="20"/>
          <w:szCs w:val="20"/>
        </w:rPr>
        <w:t>jbrown@e25.com.au</w:t>
      </w:r>
    </w:p>
    <w:p w14:paraId="7F0C595D" w14:textId="77777777" w:rsidR="007C2F15" w:rsidRDefault="007C2F15" w:rsidP="00B83D83">
      <w:pPr>
        <w:autoSpaceDE w:val="0"/>
        <w:autoSpaceDN w:val="0"/>
        <w:adjustRightInd w:val="0"/>
        <w:rPr>
          <w:rFonts w:ascii="Arial" w:hAnsi="Arial" w:cs="Arial"/>
          <w:b/>
          <w:bCs/>
          <w:color w:val="373737"/>
          <w:sz w:val="22"/>
          <w:szCs w:val="22"/>
        </w:rPr>
      </w:pPr>
    </w:p>
    <w:p w14:paraId="5DC8F748" w14:textId="6BA71A37"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sz w:val="18"/>
          <w:szCs w:val="18"/>
        </w:rPr>
        <w:lastRenderedPageBreak/>
        <w:t>DICHIARAZIONI PREVISIONALI</w:t>
      </w:r>
      <w:r>
        <w:rPr>
          <w:rStyle w:val="eop"/>
          <w:rFonts w:ascii="Arial" w:hAnsi="Arial"/>
          <w:sz w:val="18"/>
          <w:szCs w:val="18"/>
        </w:rPr>
        <w:t> </w:t>
      </w:r>
    </w:p>
    <w:p w14:paraId="01C36D63" w14:textId="6CFE7A9A"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i/>
          <w:iCs/>
          <w:sz w:val="18"/>
          <w:szCs w:val="18"/>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w:t>
      </w:r>
      <w:r w:rsidR="007A3904">
        <w:rPr>
          <w:rStyle w:val="normaltextrun"/>
          <w:rFonts w:ascii="Arial" w:hAnsi="Arial"/>
          <w:i/>
          <w:iCs/>
          <w:sz w:val="18"/>
          <w:szCs w:val="18"/>
        </w:rPr>
        <w:t>“</w:t>
      </w:r>
      <w:r>
        <w:rPr>
          <w:rStyle w:val="normaltextrun"/>
          <w:rFonts w:ascii="Arial" w:hAnsi="Arial"/>
          <w:i/>
          <w:iCs/>
          <w:sz w:val="18"/>
          <w:szCs w:val="18"/>
        </w:rPr>
        <w:t>prevedono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potrebbero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dovrebbero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intendono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stimano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anticipano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credono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rimangono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sulla buona strada</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progettano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obiettivo</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previsione</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proiezione</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prospettiva</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prospettive</w:t>
      </w:r>
      <w:r w:rsidR="007A3904">
        <w:rPr>
          <w:rStyle w:val="normaltextrun"/>
          <w:rFonts w:ascii="Arial" w:hAnsi="Arial"/>
          <w:i/>
          <w:iCs/>
          <w:sz w:val="18"/>
          <w:szCs w:val="18"/>
        </w:rPr>
        <w:t>”</w:t>
      </w:r>
      <w:r>
        <w:rPr>
          <w:rStyle w:val="normaltextrun"/>
          <w:rFonts w:ascii="Arial" w:hAnsi="Arial"/>
          <w:i/>
          <w:iCs/>
          <w:sz w:val="18"/>
          <w:szCs w:val="18"/>
        </w:rPr>
        <w:t xml:space="preserve">, </w:t>
      </w:r>
      <w:r w:rsidR="007A3904">
        <w:rPr>
          <w:rStyle w:val="normaltextrun"/>
          <w:rFonts w:ascii="Arial" w:hAnsi="Arial"/>
          <w:i/>
          <w:iCs/>
          <w:sz w:val="18"/>
          <w:szCs w:val="18"/>
        </w:rPr>
        <w:t>“</w:t>
      </w:r>
      <w:r>
        <w:rPr>
          <w:rStyle w:val="normaltextrun"/>
          <w:rFonts w:ascii="Arial" w:hAnsi="Arial"/>
          <w:i/>
          <w:iCs/>
          <w:sz w:val="18"/>
          <w:szCs w:val="18"/>
        </w:rPr>
        <w:t>piano</w:t>
      </w:r>
      <w:r w:rsidR="007A3904">
        <w:rPr>
          <w:rStyle w:val="normaltextrun"/>
          <w:rFonts w:ascii="Arial" w:hAnsi="Arial"/>
          <w:i/>
          <w:iCs/>
          <w:sz w:val="18"/>
          <w:szCs w:val="18"/>
        </w:rPr>
        <w:t>”</w:t>
      </w:r>
      <w:r>
        <w:rPr>
          <w:rStyle w:val="normaltextrun"/>
          <w:rFonts w:ascii="Arial" w:hAnsi="Arial"/>
          <w:i/>
          <w:iCs/>
          <w:sz w:val="18"/>
          <w:szCs w:val="18"/>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r>
        <w:rPr>
          <w:rStyle w:val="eop"/>
          <w:rFonts w:ascii="Arial" w:hAnsi="Arial"/>
          <w:sz w:val="18"/>
          <w:szCs w:val="18"/>
        </w:rPr>
        <w:t> </w:t>
      </w:r>
      <w:r w:rsidR="0077076A">
        <w:rPr>
          <w:rStyle w:val="eop"/>
          <w:rFonts w:ascii="Arial" w:hAnsi="Arial"/>
          <w:sz w:val="18"/>
          <w:szCs w:val="18"/>
        </w:rPr>
        <w:br/>
      </w:r>
    </w:p>
    <w:p w14:paraId="4148157A" w14:textId="649AAE1E" w:rsidR="00B83D83" w:rsidRDefault="00B83D83" w:rsidP="00B83D83">
      <w:pPr>
        <w:pStyle w:val="paragraph"/>
        <w:spacing w:before="0" w:beforeAutospacing="0" w:after="0" w:afterAutospacing="0"/>
        <w:jc w:val="both"/>
        <w:textAlignment w:val="baseline"/>
        <w:rPr>
          <w:rStyle w:val="eop"/>
          <w:rFonts w:ascii="Arial" w:hAnsi="Arial"/>
          <w:sz w:val="18"/>
          <w:szCs w:val="18"/>
        </w:rPr>
      </w:pPr>
      <w:r>
        <w:rPr>
          <w:rStyle w:val="normaltextrun"/>
          <w:rFonts w:ascii="Arial" w:hAnsi="Arial"/>
          <w:i/>
          <w:iCs/>
          <w:sz w:val="18"/>
          <w:szCs w:val="18"/>
        </w:rPr>
        <w:t>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r>
        <w:rPr>
          <w:rStyle w:val="eop"/>
          <w:rFonts w:ascii="Arial" w:hAnsi="Arial"/>
          <w:sz w:val="18"/>
          <w:szCs w:val="18"/>
        </w:rPr>
        <w:t> </w:t>
      </w:r>
    </w:p>
    <w:p w14:paraId="1D16A8D1" w14:textId="77777777" w:rsidR="0077076A" w:rsidRDefault="0077076A" w:rsidP="00B83D83">
      <w:pPr>
        <w:pStyle w:val="paragraph"/>
        <w:spacing w:before="0" w:beforeAutospacing="0" w:after="0" w:afterAutospacing="0"/>
        <w:jc w:val="both"/>
        <w:textAlignment w:val="baseline"/>
        <w:rPr>
          <w:rFonts w:ascii="Segoe UI" w:hAnsi="Segoe UI" w:cs="Segoe UI"/>
          <w:sz w:val="18"/>
          <w:szCs w:val="18"/>
        </w:rPr>
      </w:pPr>
    </w:p>
    <w:p w14:paraId="056CD11A" w14:textId="77777777" w:rsidR="00B83D83" w:rsidRDefault="00B83D83" w:rsidP="00B83D8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i/>
          <w:iCs/>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r>
        <w:rPr>
          <w:rStyle w:val="eop"/>
          <w:rFonts w:ascii="Arial" w:hAnsi="Arial"/>
          <w:sz w:val="18"/>
          <w:szCs w:val="18"/>
        </w:rPr>
        <w:t> </w:t>
      </w:r>
    </w:p>
    <w:p w14:paraId="4F94E954" w14:textId="77777777" w:rsidR="00B83D83" w:rsidRPr="00B83D83" w:rsidRDefault="00B83D83" w:rsidP="00B83D83">
      <w:pPr>
        <w:autoSpaceDE w:val="0"/>
        <w:autoSpaceDN w:val="0"/>
        <w:adjustRightInd w:val="0"/>
        <w:rPr>
          <w:rFonts w:ascii="Arial" w:hAnsi="Arial" w:cs="Arial"/>
          <w:b/>
          <w:bCs/>
          <w:color w:val="373737"/>
          <w:sz w:val="22"/>
          <w:szCs w:val="22"/>
        </w:rPr>
      </w:pPr>
    </w:p>
    <w:p w14:paraId="665C9877" w14:textId="77777777" w:rsidR="00B83D83" w:rsidRDefault="00B83D83" w:rsidP="00822B3A">
      <w:pPr>
        <w:autoSpaceDE w:val="0"/>
        <w:autoSpaceDN w:val="0"/>
        <w:adjustRightInd w:val="0"/>
      </w:pPr>
    </w:p>
    <w:sectPr w:rsidR="00B83D83">
      <w:footerReference w:type="default" r:id="rId15"/>
      <w:headerReference w:type="first" r:id="rId16"/>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C503" w14:textId="77777777" w:rsidR="00B1335C" w:rsidRDefault="00B1335C">
      <w:pPr>
        <w:spacing w:after="0"/>
      </w:pPr>
      <w:r>
        <w:separator/>
      </w:r>
    </w:p>
  </w:endnote>
  <w:endnote w:type="continuationSeparator" w:id="0">
    <w:p w14:paraId="37B6BBD2" w14:textId="77777777" w:rsidR="00B1335C" w:rsidRDefault="00B13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921B" w14:textId="77777777" w:rsidR="00B1335C" w:rsidRDefault="00B1335C">
      <w:pPr>
        <w:spacing w:after="0"/>
      </w:pPr>
      <w:r>
        <w:separator/>
      </w:r>
    </w:p>
  </w:footnote>
  <w:footnote w:type="continuationSeparator" w:id="0">
    <w:p w14:paraId="06DA3C63" w14:textId="77777777" w:rsidR="00B1335C" w:rsidRDefault="00B133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7B57649A" w:rsidR="00D90200" w:rsidRDefault="00CF6DAD">
    <w:pPr>
      <w:pBdr>
        <w:top w:val="nil"/>
        <w:left w:val="nil"/>
        <w:bottom w:val="nil"/>
        <w:right w:val="nil"/>
        <w:between w:val="nil"/>
      </w:pBdr>
      <w:tabs>
        <w:tab w:val="left" w:pos="6096"/>
      </w:tabs>
      <w:jc w:val="left"/>
      <w:rPr>
        <w:color w:val="243782"/>
      </w:rPr>
    </w:pPr>
    <w:r>
      <w:rPr>
        <w:noProof/>
        <w:color w:val="243782"/>
      </w:rPr>
      <w:drawing>
        <wp:anchor distT="0" distB="0" distL="114300" distR="114300" simplePos="0" relativeHeight="251658240" behindDoc="0" locked="0" layoutInCell="1" allowOverlap="1" wp14:anchorId="62BB5E7B" wp14:editId="415D184F">
          <wp:simplePos x="0" y="0"/>
          <wp:positionH relativeFrom="column">
            <wp:posOffset>666560</wp:posOffset>
          </wp:positionH>
          <wp:positionV relativeFrom="paragraph">
            <wp:posOffset>4445</wp:posOffset>
          </wp:positionV>
          <wp:extent cx="3901440" cy="625273"/>
          <wp:effectExtent l="0" t="0" r="3810" b="381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1">
                    <a:extLst>
                      <a:ext uri="{28A0092B-C50C-407E-A947-70E740481C1C}">
                        <a14:useLocalDpi xmlns:a14="http://schemas.microsoft.com/office/drawing/2010/main" val="0"/>
                      </a:ext>
                    </a:extLst>
                  </a:blip>
                  <a:srcRect t="34581" b="34921"/>
                  <a:stretch/>
                </pic:blipFill>
                <pic:spPr bwMode="auto">
                  <a:xfrm>
                    <a:off x="0" y="0"/>
                    <a:ext cx="3901440" cy="625273"/>
                  </a:xfrm>
                  <a:prstGeom prst="rect">
                    <a:avLst/>
                  </a:prstGeom>
                  <a:ln>
                    <a:noFill/>
                  </a:ln>
                  <a:extLst>
                    <a:ext uri="{53640926-AAD7-44D8-BBD7-CCE9431645EC}">
                      <a14:shadowObscured xmlns:a14="http://schemas.microsoft.com/office/drawing/2010/main"/>
                    </a:ext>
                  </a:extLst>
                </pic:spPr>
              </pic:pic>
            </a:graphicData>
          </a:graphic>
        </wp:anchor>
      </w:drawing>
    </w:r>
    <w:r w:rsidR="00DB7F49">
      <w:rPr>
        <w:color w:val="24378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B25"/>
    <w:rsid w:val="000403C6"/>
    <w:rsid w:val="00043451"/>
    <w:rsid w:val="0006441F"/>
    <w:rsid w:val="00097CD2"/>
    <w:rsid w:val="000B2E42"/>
    <w:rsid w:val="00140244"/>
    <w:rsid w:val="00150144"/>
    <w:rsid w:val="0016460E"/>
    <w:rsid w:val="001A6435"/>
    <w:rsid w:val="00202659"/>
    <w:rsid w:val="0020770F"/>
    <w:rsid w:val="002D43AD"/>
    <w:rsid w:val="002D67E6"/>
    <w:rsid w:val="002E1022"/>
    <w:rsid w:val="003207A8"/>
    <w:rsid w:val="00367CD5"/>
    <w:rsid w:val="003751FD"/>
    <w:rsid w:val="003A40BC"/>
    <w:rsid w:val="00414035"/>
    <w:rsid w:val="004759DE"/>
    <w:rsid w:val="00492DDE"/>
    <w:rsid w:val="004C48ED"/>
    <w:rsid w:val="004C511D"/>
    <w:rsid w:val="004F2150"/>
    <w:rsid w:val="004F7329"/>
    <w:rsid w:val="00516057"/>
    <w:rsid w:val="005223ED"/>
    <w:rsid w:val="00531E63"/>
    <w:rsid w:val="005320B3"/>
    <w:rsid w:val="00547AF9"/>
    <w:rsid w:val="00563A5D"/>
    <w:rsid w:val="005E4EB5"/>
    <w:rsid w:val="00617E60"/>
    <w:rsid w:val="0065342C"/>
    <w:rsid w:val="006B2362"/>
    <w:rsid w:val="00705586"/>
    <w:rsid w:val="00764359"/>
    <w:rsid w:val="0077076A"/>
    <w:rsid w:val="007A3904"/>
    <w:rsid w:val="007C2F15"/>
    <w:rsid w:val="007F0624"/>
    <w:rsid w:val="008170F0"/>
    <w:rsid w:val="00822B3A"/>
    <w:rsid w:val="00826D49"/>
    <w:rsid w:val="008535C7"/>
    <w:rsid w:val="00877CAF"/>
    <w:rsid w:val="008952FD"/>
    <w:rsid w:val="00896242"/>
    <w:rsid w:val="008B0A0F"/>
    <w:rsid w:val="00921EE7"/>
    <w:rsid w:val="00943515"/>
    <w:rsid w:val="00992268"/>
    <w:rsid w:val="009D083B"/>
    <w:rsid w:val="009D782E"/>
    <w:rsid w:val="00A27255"/>
    <w:rsid w:val="00A5461E"/>
    <w:rsid w:val="00A9686E"/>
    <w:rsid w:val="00A976CF"/>
    <w:rsid w:val="00AA3FEA"/>
    <w:rsid w:val="00AF7B1C"/>
    <w:rsid w:val="00B1335C"/>
    <w:rsid w:val="00B315EF"/>
    <w:rsid w:val="00B44097"/>
    <w:rsid w:val="00B83D83"/>
    <w:rsid w:val="00BA18C9"/>
    <w:rsid w:val="00BD74C3"/>
    <w:rsid w:val="00BE2744"/>
    <w:rsid w:val="00BE4313"/>
    <w:rsid w:val="00C47692"/>
    <w:rsid w:val="00C70978"/>
    <w:rsid w:val="00CB19A5"/>
    <w:rsid w:val="00CC2B73"/>
    <w:rsid w:val="00CF6DAD"/>
    <w:rsid w:val="00D176BF"/>
    <w:rsid w:val="00D4383E"/>
    <w:rsid w:val="00D756D1"/>
    <w:rsid w:val="00D90200"/>
    <w:rsid w:val="00D9361B"/>
    <w:rsid w:val="00DB7F49"/>
    <w:rsid w:val="00E10DD3"/>
    <w:rsid w:val="00E15211"/>
    <w:rsid w:val="00EB0677"/>
    <w:rsid w:val="00EC090D"/>
    <w:rsid w:val="00ED34ED"/>
    <w:rsid w:val="00F35DC6"/>
    <w:rsid w:val="00F41002"/>
    <w:rsid w:val="00F52C5E"/>
    <w:rsid w:val="00F72EB4"/>
    <w:rsid w:val="00F90757"/>
    <w:rsid w:val="00F9493A"/>
    <w:rsid w:val="00FB0FD5"/>
    <w:rsid w:val="00FF4F54"/>
    <w:rsid w:val="0D475EF1"/>
    <w:rsid w:val="159638D5"/>
    <w:rsid w:val="730CAEA6"/>
    <w:rsid w:val="7CD3B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26D49"/>
    <w:rPr>
      <w:color w:val="605E5C"/>
      <w:shd w:val="clear" w:color="auto" w:fill="E1DFDD"/>
    </w:rPr>
  </w:style>
  <w:style w:type="character" w:customStyle="1" w:styleId="normaltextrun">
    <w:name w:val="normaltextrun"/>
    <w:basedOn w:val="DefaultParagraphFont"/>
    <w:rsid w:val="00992268"/>
  </w:style>
  <w:style w:type="character" w:customStyle="1" w:styleId="eop">
    <w:name w:val="eop"/>
    <w:basedOn w:val="DefaultParagraphFont"/>
    <w:rsid w:val="00992268"/>
  </w:style>
  <w:style w:type="paragraph" w:customStyle="1" w:styleId="paragraph">
    <w:name w:val="paragraph"/>
    <w:basedOn w:val="Normal"/>
    <w:rsid w:val="00B83D83"/>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52539">
      <w:bodyDiv w:val="1"/>
      <w:marLeft w:val="0"/>
      <w:marRight w:val="0"/>
      <w:marTop w:val="0"/>
      <w:marBottom w:val="0"/>
      <w:divBdr>
        <w:top w:val="none" w:sz="0" w:space="0" w:color="auto"/>
        <w:left w:val="none" w:sz="0" w:space="0" w:color="auto"/>
        <w:bottom w:val="none" w:sz="0" w:space="0" w:color="auto"/>
        <w:right w:val="none" w:sz="0" w:space="0" w:color="auto"/>
      </w:divBdr>
      <w:divsChild>
        <w:div w:id="430779025">
          <w:marLeft w:val="0"/>
          <w:marRight w:val="0"/>
          <w:marTop w:val="0"/>
          <w:marBottom w:val="0"/>
          <w:divBdr>
            <w:top w:val="none" w:sz="0" w:space="0" w:color="auto"/>
            <w:left w:val="none" w:sz="0" w:space="0" w:color="auto"/>
            <w:bottom w:val="none" w:sz="0" w:space="0" w:color="auto"/>
            <w:right w:val="none" w:sz="0" w:space="0" w:color="auto"/>
          </w:divBdr>
        </w:div>
        <w:div w:id="266738675">
          <w:marLeft w:val="0"/>
          <w:marRight w:val="0"/>
          <w:marTop w:val="0"/>
          <w:marBottom w:val="0"/>
          <w:divBdr>
            <w:top w:val="none" w:sz="0" w:space="0" w:color="auto"/>
            <w:left w:val="none" w:sz="0" w:space="0" w:color="auto"/>
            <w:bottom w:val="none" w:sz="0" w:space="0" w:color="auto"/>
            <w:right w:val="none" w:sz="0" w:space="0" w:color="auto"/>
          </w:divBdr>
        </w:div>
        <w:div w:id="1094403413">
          <w:marLeft w:val="0"/>
          <w:marRight w:val="0"/>
          <w:marTop w:val="0"/>
          <w:marBottom w:val="0"/>
          <w:divBdr>
            <w:top w:val="none" w:sz="0" w:space="0" w:color="auto"/>
            <w:left w:val="none" w:sz="0" w:space="0" w:color="auto"/>
            <w:bottom w:val="none" w:sz="0" w:space="0" w:color="auto"/>
            <w:right w:val="none" w:sz="0" w:space="0" w:color="auto"/>
          </w:divBdr>
        </w:div>
        <w:div w:id="1973559081">
          <w:marLeft w:val="0"/>
          <w:marRight w:val="0"/>
          <w:marTop w:val="0"/>
          <w:marBottom w:val="0"/>
          <w:divBdr>
            <w:top w:val="none" w:sz="0" w:space="0" w:color="auto"/>
            <w:left w:val="none" w:sz="0" w:space="0" w:color="auto"/>
            <w:bottom w:val="none" w:sz="0" w:space="0" w:color="auto"/>
            <w:right w:val="none" w:sz="0" w:space="0" w:color="auto"/>
          </w:divBdr>
        </w:div>
        <w:div w:id="1852602422">
          <w:marLeft w:val="0"/>
          <w:marRight w:val="0"/>
          <w:marTop w:val="0"/>
          <w:marBottom w:val="0"/>
          <w:divBdr>
            <w:top w:val="none" w:sz="0" w:space="0" w:color="auto"/>
            <w:left w:val="none" w:sz="0" w:space="0" w:color="auto"/>
            <w:bottom w:val="none" w:sz="0" w:space="0" w:color="auto"/>
            <w:right w:val="none" w:sz="0" w:space="0" w:color="auto"/>
          </w:divBdr>
        </w:div>
        <w:div w:id="1559051937">
          <w:marLeft w:val="0"/>
          <w:marRight w:val="0"/>
          <w:marTop w:val="0"/>
          <w:marBottom w:val="0"/>
          <w:divBdr>
            <w:top w:val="none" w:sz="0" w:space="0" w:color="auto"/>
            <w:left w:val="none" w:sz="0" w:space="0" w:color="auto"/>
            <w:bottom w:val="none" w:sz="0" w:space="0" w:color="auto"/>
            <w:right w:val="none" w:sz="0" w:space="0" w:color="auto"/>
          </w:divBdr>
        </w:div>
        <w:div w:id="774517511">
          <w:marLeft w:val="0"/>
          <w:marRight w:val="0"/>
          <w:marTop w:val="0"/>
          <w:marBottom w:val="0"/>
          <w:divBdr>
            <w:top w:val="none" w:sz="0" w:space="0" w:color="auto"/>
            <w:left w:val="none" w:sz="0" w:space="0" w:color="auto"/>
            <w:bottom w:val="none" w:sz="0" w:space="0" w:color="auto"/>
            <w:right w:val="none" w:sz="0" w:space="0" w:color="auto"/>
          </w:divBdr>
        </w:div>
        <w:div w:id="879823200">
          <w:marLeft w:val="0"/>
          <w:marRight w:val="0"/>
          <w:marTop w:val="0"/>
          <w:marBottom w:val="0"/>
          <w:divBdr>
            <w:top w:val="none" w:sz="0" w:space="0" w:color="auto"/>
            <w:left w:val="none" w:sz="0" w:space="0" w:color="auto"/>
            <w:bottom w:val="none" w:sz="0" w:space="0" w:color="auto"/>
            <w:right w:val="none" w:sz="0" w:space="0" w:color="auto"/>
          </w:divBdr>
        </w:div>
        <w:div w:id="1087925161">
          <w:marLeft w:val="0"/>
          <w:marRight w:val="0"/>
          <w:marTop w:val="0"/>
          <w:marBottom w:val="0"/>
          <w:divBdr>
            <w:top w:val="none" w:sz="0" w:space="0" w:color="auto"/>
            <w:left w:val="none" w:sz="0" w:space="0" w:color="auto"/>
            <w:bottom w:val="none" w:sz="0" w:space="0" w:color="auto"/>
            <w:right w:val="none" w:sz="0" w:space="0" w:color="auto"/>
          </w:divBdr>
        </w:div>
        <w:div w:id="1580825349">
          <w:marLeft w:val="0"/>
          <w:marRight w:val="0"/>
          <w:marTop w:val="0"/>
          <w:marBottom w:val="0"/>
          <w:divBdr>
            <w:top w:val="none" w:sz="0" w:space="0" w:color="auto"/>
            <w:left w:val="none" w:sz="0" w:space="0" w:color="auto"/>
            <w:bottom w:val="none" w:sz="0" w:space="0" w:color="auto"/>
            <w:right w:val="none" w:sz="0" w:space="0" w:color="auto"/>
          </w:divBdr>
        </w:div>
        <w:div w:id="301734939">
          <w:marLeft w:val="0"/>
          <w:marRight w:val="0"/>
          <w:marTop w:val="0"/>
          <w:marBottom w:val="0"/>
          <w:divBdr>
            <w:top w:val="none" w:sz="0" w:space="0" w:color="auto"/>
            <w:left w:val="none" w:sz="0" w:space="0" w:color="auto"/>
            <w:bottom w:val="none" w:sz="0" w:space="0" w:color="auto"/>
            <w:right w:val="none" w:sz="0" w:space="0" w:color="auto"/>
          </w:divBdr>
        </w:div>
      </w:divsChild>
    </w:div>
    <w:div w:id="1608196719">
      <w:bodyDiv w:val="1"/>
      <w:marLeft w:val="0"/>
      <w:marRight w:val="0"/>
      <w:marTop w:val="0"/>
      <w:marBottom w:val="0"/>
      <w:divBdr>
        <w:top w:val="none" w:sz="0" w:space="0" w:color="auto"/>
        <w:left w:val="none" w:sz="0" w:space="0" w:color="auto"/>
        <w:bottom w:val="none" w:sz="0" w:space="0" w:color="auto"/>
        <w:right w:val="none" w:sz="0" w:space="0" w:color="auto"/>
      </w:divBdr>
      <w:divsChild>
        <w:div w:id="160700899">
          <w:marLeft w:val="0"/>
          <w:marRight w:val="0"/>
          <w:marTop w:val="0"/>
          <w:marBottom w:val="0"/>
          <w:divBdr>
            <w:top w:val="none" w:sz="0" w:space="0" w:color="auto"/>
            <w:left w:val="none" w:sz="0" w:space="0" w:color="auto"/>
            <w:bottom w:val="none" w:sz="0" w:space="0" w:color="auto"/>
            <w:right w:val="none" w:sz="0" w:space="0" w:color="auto"/>
          </w:divBdr>
        </w:div>
        <w:div w:id="592007351">
          <w:marLeft w:val="0"/>
          <w:marRight w:val="0"/>
          <w:marTop w:val="0"/>
          <w:marBottom w:val="0"/>
          <w:divBdr>
            <w:top w:val="none" w:sz="0" w:space="0" w:color="auto"/>
            <w:left w:val="none" w:sz="0" w:space="0" w:color="auto"/>
            <w:bottom w:val="none" w:sz="0" w:space="0" w:color="auto"/>
            <w:right w:val="none" w:sz="0" w:space="0" w:color="auto"/>
          </w:divBdr>
        </w:div>
        <w:div w:id="303050744">
          <w:marLeft w:val="0"/>
          <w:marRight w:val="0"/>
          <w:marTop w:val="0"/>
          <w:marBottom w:val="0"/>
          <w:divBdr>
            <w:top w:val="none" w:sz="0" w:space="0" w:color="auto"/>
            <w:left w:val="none" w:sz="0" w:space="0" w:color="auto"/>
            <w:bottom w:val="none" w:sz="0" w:space="0" w:color="auto"/>
            <w:right w:val="none" w:sz="0" w:space="0" w:color="auto"/>
          </w:divBdr>
        </w:div>
        <w:div w:id="15750411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it/investors/eventi/strategic-p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llan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bc242ea7-2311-470c-84fc-9eea3044e502" xsi:nil="true"/>
    <lcf76f155ced4ddcb4097134ff3c332f xmlns="ed8c0b9d-4fe1-4028-843a-6c98489d4574">
      <Terms xmlns="http://schemas.microsoft.com/office/infopath/2007/PartnerControls"/>
    </lcf76f155ced4ddcb4097134ff3c332f>
    <_Flow_SignoffStatus xmlns="ed8c0b9d-4fe1-4028-843a-6c98489d4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BDC1C0EC4A4B45AC3B870073136FCE" ma:contentTypeVersion="17" ma:contentTypeDescription="Create a new document." ma:contentTypeScope="" ma:versionID="a47ade48d515dc53af99730cc52b2b22">
  <xsd:schema xmlns:xsd="http://www.w3.org/2001/XMLSchema" xmlns:xs="http://www.w3.org/2001/XMLSchema" xmlns:p="http://schemas.microsoft.com/office/2006/metadata/properties" xmlns:ns2="bc242ea7-2311-470c-84fc-9eea3044e502" xmlns:ns3="ed8c0b9d-4fe1-4028-843a-6c98489d4574" targetNamespace="http://schemas.microsoft.com/office/2006/metadata/properties" ma:root="true" ma:fieldsID="f254b7d5788f888958111c4fadf4ad6e" ns2:_="" ns3:_="">
    <xsd:import namespace="bc242ea7-2311-470c-84fc-9eea3044e502"/>
    <xsd:import namespace="ed8c0b9d-4fe1-4028-843a-6c98489d45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2ea7-2311-470c-84fc-9eea3044e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feb1d-3079-46d6-94a7-fb59fe51d82e}" ma:internalName="TaxCatchAll" ma:showField="CatchAllData" ma:web="bc242ea7-2311-470c-84fc-9eea3044e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8c0b9d-4fe1-4028-843a-6c98489d45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800cb5-bdb3-4dcf-aad2-5a85b79b97b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34A52D-DC87-4430-89F2-98AD94D6E88C}">
  <ds:schemaRefs>
    <ds:schemaRef ds:uri="http://schemas.microsoft.com/office/2006/metadata/properties"/>
    <ds:schemaRef ds:uri="http://schemas.microsoft.com/office/infopath/2007/PartnerControls"/>
    <ds:schemaRef ds:uri="bc242ea7-2311-470c-84fc-9eea3044e502"/>
    <ds:schemaRef ds:uri="ed8c0b9d-4fe1-4028-843a-6c98489d4574"/>
  </ds:schemaRefs>
</ds:datastoreItem>
</file>

<file path=customXml/itemProps3.xml><?xml version="1.0" encoding="utf-8"?>
<ds:datastoreItem xmlns:ds="http://schemas.openxmlformats.org/officeDocument/2006/customXml" ds:itemID="{8C4D4D08-C3F3-4A62-87CE-E76525D2271A}">
  <ds:schemaRefs>
    <ds:schemaRef ds:uri="http://schemas.microsoft.com/sharepoint/v3/contenttype/forms"/>
  </ds:schemaRefs>
</ds:datastoreItem>
</file>

<file path=customXml/itemProps4.xml><?xml version="1.0" encoding="utf-8"?>
<ds:datastoreItem xmlns:ds="http://schemas.openxmlformats.org/officeDocument/2006/customXml" ds:itemID="{6B60617E-2E43-427F-8D73-F9569AA3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2ea7-2311-470c-84fc-9eea3044e502"/>
    <ds:schemaRef ds:uri="ed8c0b9d-4fe1-4028-843a-6c98489d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1532</Words>
  <Characters>8738</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ANGELA CATALDI</cp:lastModifiedBy>
  <cp:revision>7</cp:revision>
  <dcterms:created xsi:type="dcterms:W3CDTF">2023-01-08T16:34:00Z</dcterms:created>
  <dcterms:modified xsi:type="dcterms:W3CDTF">2023-01-10T16:24:00Z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0x01010012BDC1C0EC4A4B45AC3B870073136FCE</vt:lpwstr>
  </property>
  <property fmtid="{D5CDD505-2E9C-101B-9397-08002B2CF9AE}" pid="5" name="GrammarlyDocumentId">
    <vt:lpwstr>db2d868b99653075bf35f91766de721acad23ca33d76b73f4571947b5dc19834</vt:lpwstr>
  </property>
</Properties>
</file>