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1C4F" w14:textId="379D85CE" w:rsidR="00972EC0" w:rsidRPr="006152A9" w:rsidRDefault="00115CA3" w:rsidP="00972EC0">
      <w:pPr>
        <w:pBdr>
          <w:top w:val="nil"/>
          <w:left w:val="nil"/>
          <w:bottom w:val="nil"/>
          <w:right w:val="nil"/>
          <w:between w:val="nil"/>
        </w:pBdr>
        <w:spacing w:after="0"/>
        <w:jc w:val="center"/>
        <w:rPr>
          <w:rFonts w:ascii="Arial" w:eastAsia="Arial" w:hAnsi="Arial" w:cs="Arial"/>
          <w:b/>
          <w:color w:val="000000"/>
          <w:sz w:val="28"/>
          <w:szCs w:val="28"/>
        </w:rPr>
      </w:pPr>
      <w:r>
        <w:rPr>
          <w:rFonts w:ascii="Arial" w:hAnsi="Arial"/>
          <w:b/>
          <w:color w:val="000000"/>
          <w:sz w:val="28"/>
          <w:szCs w:val="28"/>
        </w:rPr>
        <w:t xml:space="preserve">Vulcan e Stellantis sondano l’uso di energia geotermica per l’approvvigionamento dell’impianto </w:t>
      </w:r>
      <w:r>
        <w:rPr>
          <w:rFonts w:ascii="Arial" w:hAnsi="Arial"/>
          <w:b/>
          <w:bCs/>
          <w:color w:val="000000"/>
          <w:sz w:val="28"/>
          <w:szCs w:val="28"/>
        </w:rPr>
        <w:t xml:space="preserve">di </w:t>
      </w:r>
      <w:proofErr w:type="spellStart"/>
      <w:r>
        <w:rPr>
          <w:rFonts w:ascii="Arial" w:hAnsi="Arial"/>
          <w:b/>
          <w:color w:val="000000"/>
          <w:sz w:val="28"/>
          <w:szCs w:val="28"/>
        </w:rPr>
        <w:t>Rüsselsheim</w:t>
      </w:r>
      <w:proofErr w:type="spellEnd"/>
    </w:p>
    <w:p w14:paraId="22C6E5ED" w14:textId="2CFEA858" w:rsidR="00697CB6" w:rsidRPr="006152A9" w:rsidRDefault="00697CB6" w:rsidP="00972EC0">
      <w:pPr>
        <w:pBdr>
          <w:top w:val="nil"/>
          <w:left w:val="nil"/>
          <w:bottom w:val="nil"/>
          <w:right w:val="nil"/>
          <w:between w:val="nil"/>
        </w:pBdr>
        <w:spacing w:after="0"/>
        <w:jc w:val="center"/>
        <w:rPr>
          <w:rFonts w:ascii="Arial" w:eastAsia="Arial" w:hAnsi="Arial" w:cs="Arial"/>
          <w:b/>
          <w:color w:val="000000"/>
          <w:sz w:val="22"/>
          <w:szCs w:val="22"/>
        </w:rPr>
      </w:pPr>
    </w:p>
    <w:p w14:paraId="6A0346A3" w14:textId="0E8D0FDD" w:rsidR="007D42B8" w:rsidRPr="006152A9" w:rsidRDefault="007D42B8" w:rsidP="00E74AFE">
      <w:pPr>
        <w:numPr>
          <w:ilvl w:val="0"/>
          <w:numId w:val="1"/>
        </w:numPr>
        <w:spacing w:after="0"/>
        <w:ind w:left="357" w:hanging="357"/>
        <w:jc w:val="left"/>
        <w:rPr>
          <w:rFonts w:ascii="Arial" w:eastAsia="Arial" w:hAnsi="Arial" w:cs="Arial"/>
        </w:rPr>
      </w:pPr>
      <w:r>
        <w:rPr>
          <w:rFonts w:ascii="Arial" w:hAnsi="Arial"/>
        </w:rPr>
        <w:t xml:space="preserve">Per Stellantis, il progetto segna il primo </w:t>
      </w:r>
      <w:r w:rsidRPr="008E3E34">
        <w:rPr>
          <w:rFonts w:ascii="Arial" w:hAnsi="Arial"/>
        </w:rPr>
        <w:t>potenziale</w:t>
      </w:r>
      <w:r>
        <w:rPr>
          <w:rFonts w:ascii="Arial" w:hAnsi="Arial"/>
          <w:color w:val="FF0000"/>
        </w:rPr>
        <w:t xml:space="preserve"> </w:t>
      </w:r>
      <w:r>
        <w:rPr>
          <w:rFonts w:ascii="Arial" w:hAnsi="Arial"/>
        </w:rPr>
        <w:t xml:space="preserve">utilizzo di energia geotermica nell’ambito del portfolio di approvvigionamento di energie rinnovabili che mira a </w:t>
      </w:r>
      <w:proofErr w:type="spellStart"/>
      <w:r>
        <w:rPr>
          <w:rFonts w:ascii="Arial" w:hAnsi="Arial"/>
        </w:rPr>
        <w:t>decarbonizzare</w:t>
      </w:r>
      <w:proofErr w:type="spellEnd"/>
      <w:r>
        <w:rPr>
          <w:rFonts w:ascii="Arial" w:hAnsi="Arial"/>
        </w:rPr>
        <w:t xml:space="preserve"> e localizzare le sue attività operative in Europa</w:t>
      </w:r>
    </w:p>
    <w:p w14:paraId="245CA42D" w14:textId="19907291" w:rsidR="00BF7D05" w:rsidRPr="006152A9" w:rsidRDefault="007D42B8" w:rsidP="00E74AFE">
      <w:pPr>
        <w:numPr>
          <w:ilvl w:val="0"/>
          <w:numId w:val="1"/>
        </w:numPr>
        <w:spacing w:after="0"/>
        <w:ind w:left="357" w:hanging="357"/>
        <w:jc w:val="left"/>
        <w:rPr>
          <w:rFonts w:ascii="Arial" w:eastAsia="Arial" w:hAnsi="Arial" w:cs="Arial"/>
        </w:rPr>
      </w:pPr>
      <w:r w:rsidRPr="008E3E34">
        <w:rPr>
          <w:rFonts w:ascii="Arial" w:hAnsi="Arial"/>
          <w:bCs/>
        </w:rPr>
        <w:t>Stellantis</w:t>
      </w:r>
      <w:r>
        <w:rPr>
          <w:rFonts w:ascii="Arial" w:hAnsi="Arial"/>
          <w:bCs/>
          <w:color w:val="000000"/>
        </w:rPr>
        <w:t xml:space="preserve"> prevede di diventare il punto di riferimento del settore nel contrasto al cambiamento climatico, con l’obiettivo di raggiungere il traguardo “zero emissioni di carbonio” entro il 2038, con una riduzione del 50% entro il 2030</w:t>
      </w:r>
    </w:p>
    <w:p w14:paraId="1B63C803" w14:textId="64CAC341" w:rsidR="000A5B13" w:rsidRPr="006152A9" w:rsidRDefault="000A5B13" w:rsidP="00E74AFE">
      <w:pPr>
        <w:numPr>
          <w:ilvl w:val="0"/>
          <w:numId w:val="1"/>
        </w:numPr>
        <w:spacing w:after="0"/>
        <w:ind w:left="357" w:hanging="357"/>
        <w:jc w:val="left"/>
        <w:rPr>
          <w:rFonts w:ascii="Arial" w:eastAsia="Arial" w:hAnsi="Arial" w:cs="Arial"/>
        </w:rPr>
      </w:pPr>
      <w:r>
        <w:rPr>
          <w:rFonts w:ascii="Arial" w:hAnsi="Arial"/>
        </w:rPr>
        <w:t>Vulcan e Stellantis valuteranno vari modelli di business, compresa la vendita di elettricità alla rete pubblica in conformità con la legislazione tedesca sulle energie rinnovabili (EEG)</w:t>
      </w:r>
    </w:p>
    <w:p w14:paraId="7C1C2C98" w14:textId="4C01DDB6" w:rsidR="00435397" w:rsidRPr="006152A9" w:rsidRDefault="00C96D72" w:rsidP="00E74AFE">
      <w:pPr>
        <w:numPr>
          <w:ilvl w:val="0"/>
          <w:numId w:val="1"/>
        </w:numPr>
        <w:spacing w:after="0"/>
        <w:ind w:left="357" w:hanging="357"/>
        <w:jc w:val="left"/>
        <w:rPr>
          <w:rFonts w:ascii="Arial" w:eastAsia="Arial" w:hAnsi="Arial" w:cs="Arial"/>
        </w:rPr>
      </w:pPr>
      <w:r>
        <w:rPr>
          <w:rFonts w:ascii="Arial" w:hAnsi="Arial"/>
        </w:rPr>
        <w:t xml:space="preserve">L’accordo con Stellantis aumenta l’impatto di Vulcan sulla decarbonizzazione dell’industria europea dei veicoli elettrici, integrando l’eliminazione delle emissioni di carbonio derivante dal progetto Zero Carbon </w:t>
      </w:r>
      <w:proofErr w:type="spellStart"/>
      <w:r>
        <w:rPr>
          <w:rFonts w:ascii="Arial" w:hAnsi="Arial"/>
        </w:rPr>
        <w:t>Lithium</w:t>
      </w:r>
      <w:proofErr w:type="spellEnd"/>
      <w:r>
        <w:rPr>
          <w:rFonts w:ascii="Arial" w:hAnsi="Arial"/>
        </w:rPr>
        <w:t>™</w:t>
      </w:r>
    </w:p>
    <w:p w14:paraId="364B6A2F" w14:textId="77777777" w:rsidR="00D90200" w:rsidRPr="006152A9" w:rsidRDefault="00D90200">
      <w:pPr>
        <w:spacing w:after="0"/>
        <w:ind w:left="720"/>
        <w:rPr>
          <w:rFonts w:ascii="Arial" w:eastAsia="Arial" w:hAnsi="Arial" w:cs="Arial"/>
          <w:color w:val="000000"/>
          <w:sz w:val="22"/>
          <w:szCs w:val="22"/>
        </w:rPr>
      </w:pPr>
    </w:p>
    <w:p w14:paraId="1FA3CD61" w14:textId="2D0560F5" w:rsidR="004C13E0" w:rsidRPr="006152A9" w:rsidRDefault="00DB7F49" w:rsidP="004C13E0">
      <w:pPr>
        <w:pBdr>
          <w:top w:val="nil"/>
          <w:left w:val="nil"/>
          <w:bottom w:val="nil"/>
          <w:right w:val="nil"/>
          <w:between w:val="nil"/>
        </w:pBdr>
        <w:jc w:val="left"/>
        <w:rPr>
          <w:rFonts w:ascii="Arial" w:eastAsia="Arial" w:hAnsi="Arial" w:cs="Arial"/>
          <w:color w:val="000000"/>
          <w:sz w:val="22"/>
          <w:szCs w:val="22"/>
        </w:rPr>
      </w:pPr>
      <w:r>
        <w:rPr>
          <w:rFonts w:ascii="Arial" w:hAnsi="Arial"/>
          <w:b/>
          <w:color w:val="000000"/>
          <w:sz w:val="22"/>
          <w:szCs w:val="22"/>
        </w:rPr>
        <w:t>AMSTERDAM, 17 gennaio 2023</w:t>
      </w:r>
      <w:r>
        <w:rPr>
          <w:rFonts w:ascii="Arial" w:hAnsi="Arial"/>
          <w:color w:val="000000"/>
          <w:sz w:val="22"/>
          <w:szCs w:val="22"/>
        </w:rPr>
        <w:t xml:space="preserve"> –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e </w:t>
      </w:r>
      <w:r>
        <w:rPr>
          <w:rFonts w:ascii="Arial" w:hAnsi="Arial"/>
          <w:color w:val="000000"/>
          <w:sz w:val="22"/>
          <w:szCs w:val="22"/>
        </w:rPr>
        <w:t xml:space="preserve">Vulcan Energy Resources Limited (Vulcan; ASX: VUL, FSE: VUL) hanno firmato un </w:t>
      </w:r>
      <w:r w:rsidR="00613788">
        <w:rPr>
          <w:rFonts w:ascii="Arial" w:hAnsi="Arial"/>
          <w:color w:val="000000"/>
          <w:sz w:val="22"/>
          <w:szCs w:val="22"/>
        </w:rPr>
        <w:t>accordo</w:t>
      </w:r>
      <w:r>
        <w:rPr>
          <w:rFonts w:ascii="Arial" w:hAnsi="Arial"/>
          <w:color w:val="000000"/>
          <w:sz w:val="22"/>
          <w:szCs w:val="22"/>
        </w:rPr>
        <w:t xml:space="preserve"> vincolante per la prima </w:t>
      </w:r>
      <w:r w:rsidR="00613788">
        <w:rPr>
          <w:rFonts w:ascii="Arial" w:hAnsi="Arial"/>
          <w:color w:val="000000"/>
          <w:sz w:val="22"/>
          <w:szCs w:val="22"/>
        </w:rPr>
        <w:t xml:space="preserve">parte </w:t>
      </w:r>
      <w:r>
        <w:rPr>
          <w:rFonts w:ascii="Arial" w:hAnsi="Arial"/>
          <w:color w:val="000000"/>
          <w:sz w:val="22"/>
          <w:szCs w:val="22"/>
        </w:rPr>
        <w:t xml:space="preserve">di un </w:t>
      </w:r>
      <w:r w:rsidR="00613788">
        <w:rPr>
          <w:rFonts w:ascii="Arial" w:hAnsi="Arial"/>
          <w:color w:val="000000"/>
          <w:sz w:val="22"/>
          <w:szCs w:val="22"/>
        </w:rPr>
        <w:t xml:space="preserve">piano </w:t>
      </w:r>
      <w:r>
        <w:rPr>
          <w:rFonts w:ascii="Arial" w:hAnsi="Arial"/>
          <w:color w:val="000000"/>
          <w:sz w:val="22"/>
          <w:szCs w:val="22"/>
        </w:rPr>
        <w:t xml:space="preserve">multifase </w:t>
      </w:r>
      <w:r w:rsidR="00613788">
        <w:rPr>
          <w:rFonts w:ascii="Arial" w:hAnsi="Arial"/>
          <w:color w:val="000000"/>
          <w:sz w:val="22"/>
          <w:szCs w:val="22"/>
        </w:rPr>
        <w:t>per lo</w:t>
      </w:r>
      <w:r>
        <w:rPr>
          <w:rFonts w:ascii="Arial" w:hAnsi="Arial"/>
          <w:color w:val="000000"/>
          <w:sz w:val="22"/>
          <w:szCs w:val="22"/>
        </w:rPr>
        <w:t xml:space="preserve"> </w:t>
      </w:r>
      <w:r w:rsidR="00613788">
        <w:rPr>
          <w:rFonts w:ascii="Arial" w:hAnsi="Arial"/>
          <w:color w:val="000000"/>
          <w:sz w:val="22"/>
          <w:szCs w:val="22"/>
        </w:rPr>
        <w:t xml:space="preserve">sviluppo di nuovi progetti </w:t>
      </w:r>
      <w:r>
        <w:rPr>
          <w:rFonts w:ascii="Arial" w:hAnsi="Arial"/>
          <w:color w:val="000000"/>
          <w:sz w:val="22"/>
          <w:szCs w:val="22"/>
        </w:rPr>
        <w:t xml:space="preserve">geotermici con l’intento di </w:t>
      </w:r>
      <w:proofErr w:type="spellStart"/>
      <w:r>
        <w:rPr>
          <w:rFonts w:ascii="Arial" w:hAnsi="Arial"/>
          <w:color w:val="000000"/>
          <w:sz w:val="22"/>
          <w:szCs w:val="22"/>
        </w:rPr>
        <w:t>decarbonizzare</w:t>
      </w:r>
      <w:proofErr w:type="spellEnd"/>
      <w:r>
        <w:rPr>
          <w:rFonts w:ascii="Arial" w:hAnsi="Arial"/>
          <w:color w:val="000000"/>
          <w:sz w:val="22"/>
          <w:szCs w:val="22"/>
        </w:rPr>
        <w:t xml:space="preserve"> il mix di energie del sito industriale di Stellantis a </w:t>
      </w:r>
      <w:proofErr w:type="spellStart"/>
      <w:r>
        <w:rPr>
          <w:rFonts w:ascii="Arial" w:hAnsi="Arial"/>
          <w:color w:val="000000"/>
          <w:sz w:val="22"/>
          <w:szCs w:val="22"/>
        </w:rPr>
        <w:t>Rüsselsheim</w:t>
      </w:r>
      <w:proofErr w:type="spellEnd"/>
      <w:r>
        <w:rPr>
          <w:rFonts w:ascii="Arial" w:hAnsi="Arial"/>
          <w:color w:val="000000"/>
          <w:sz w:val="22"/>
          <w:szCs w:val="22"/>
        </w:rPr>
        <w:t xml:space="preserve">, in Germania, in cui vengono prodotte le vetture DS4 e Opel Astra. Secondo le attuali ipotesi, il progetto potrebbe coprire una parte significativa del fabbisogno </w:t>
      </w:r>
      <w:r w:rsidR="00613788">
        <w:rPr>
          <w:rFonts w:ascii="Arial" w:hAnsi="Arial"/>
          <w:color w:val="000000"/>
          <w:sz w:val="22"/>
          <w:szCs w:val="22"/>
        </w:rPr>
        <w:t xml:space="preserve">energetico </w:t>
      </w:r>
      <w:r>
        <w:rPr>
          <w:rFonts w:ascii="Arial" w:hAnsi="Arial"/>
          <w:color w:val="000000"/>
          <w:sz w:val="22"/>
          <w:szCs w:val="22"/>
        </w:rPr>
        <w:t>annuale del sito industriale a partire dal 2025.</w:t>
      </w:r>
    </w:p>
    <w:p w14:paraId="71670065" w14:textId="055B1667" w:rsidR="00F719D2" w:rsidRPr="006152A9" w:rsidRDefault="00324527" w:rsidP="30053F3C">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La prima fase del progetto, che avrà luogo all’estremità settentrionale dell</w:t>
      </w:r>
      <w:r w:rsidR="00C064FB">
        <w:rPr>
          <w:rFonts w:ascii="Arial" w:hAnsi="Arial"/>
          <w:color w:val="000000"/>
          <w:sz w:val="22"/>
          <w:szCs w:val="22"/>
        </w:rPr>
        <w:t>’</w:t>
      </w:r>
      <w:r>
        <w:rPr>
          <w:rFonts w:ascii="Arial" w:hAnsi="Arial"/>
          <w:color w:val="000000"/>
          <w:sz w:val="22"/>
          <w:szCs w:val="22"/>
        </w:rPr>
        <w:t>area di Vulcan nell’</w:t>
      </w:r>
      <w:r w:rsidR="001C0B50">
        <w:rPr>
          <w:rFonts w:ascii="Arial" w:hAnsi="Arial"/>
          <w:color w:val="000000"/>
          <w:sz w:val="22"/>
          <w:szCs w:val="22"/>
        </w:rPr>
        <w:t>A</w:t>
      </w:r>
      <w:r>
        <w:rPr>
          <w:rFonts w:ascii="Arial" w:hAnsi="Arial"/>
          <w:color w:val="000000"/>
          <w:sz w:val="22"/>
          <w:szCs w:val="22"/>
        </w:rPr>
        <w:t xml:space="preserve">lta </w:t>
      </w:r>
      <w:r w:rsidR="001C0B50">
        <w:rPr>
          <w:rFonts w:ascii="Arial" w:hAnsi="Arial"/>
          <w:color w:val="000000"/>
          <w:sz w:val="22"/>
          <w:szCs w:val="22"/>
        </w:rPr>
        <w:t>V</w:t>
      </w:r>
      <w:r>
        <w:rPr>
          <w:rFonts w:ascii="Arial" w:hAnsi="Arial"/>
          <w:color w:val="000000"/>
          <w:sz w:val="22"/>
          <w:szCs w:val="22"/>
        </w:rPr>
        <w:t xml:space="preserve">alle del Reno, comprenderà uno studio di </w:t>
      </w:r>
      <w:proofErr w:type="spellStart"/>
      <w:proofErr w:type="gramStart"/>
      <w:r>
        <w:rPr>
          <w:rFonts w:ascii="Arial" w:hAnsi="Arial"/>
          <w:color w:val="000000"/>
          <w:sz w:val="22"/>
          <w:szCs w:val="22"/>
        </w:rPr>
        <w:t>pre</w:t>
      </w:r>
      <w:proofErr w:type="spellEnd"/>
      <w:r>
        <w:rPr>
          <w:rFonts w:ascii="Arial" w:hAnsi="Arial"/>
          <w:color w:val="000000"/>
          <w:sz w:val="22"/>
          <w:szCs w:val="22"/>
        </w:rPr>
        <w:t>-fattibilità</w:t>
      </w:r>
      <w:proofErr w:type="gramEnd"/>
      <w:r>
        <w:rPr>
          <w:rFonts w:ascii="Arial" w:hAnsi="Arial"/>
          <w:color w:val="000000"/>
          <w:sz w:val="22"/>
          <w:szCs w:val="22"/>
        </w:rPr>
        <w:t xml:space="preserve"> eseguito da Vulcan, relativo alla costituzione di </w:t>
      </w:r>
      <w:r w:rsidR="000B705B">
        <w:rPr>
          <w:rFonts w:ascii="Arial" w:hAnsi="Arial"/>
          <w:color w:val="000000"/>
          <w:sz w:val="22"/>
          <w:szCs w:val="22"/>
        </w:rPr>
        <w:t xml:space="preserve">impianti </w:t>
      </w:r>
      <w:r>
        <w:rPr>
          <w:rFonts w:ascii="Arial" w:hAnsi="Arial"/>
          <w:color w:val="000000"/>
          <w:sz w:val="22"/>
          <w:szCs w:val="22"/>
        </w:rPr>
        <w:t>geotermic</w:t>
      </w:r>
      <w:r w:rsidR="000B705B">
        <w:rPr>
          <w:rFonts w:ascii="Arial" w:hAnsi="Arial"/>
          <w:color w:val="000000"/>
          <w:sz w:val="22"/>
          <w:szCs w:val="22"/>
        </w:rPr>
        <w:t>i</w:t>
      </w:r>
      <w:r>
        <w:rPr>
          <w:rFonts w:ascii="Arial" w:hAnsi="Arial"/>
          <w:color w:val="000000"/>
          <w:sz w:val="22"/>
          <w:szCs w:val="22"/>
        </w:rPr>
        <w:t xml:space="preserve"> per </w:t>
      </w:r>
      <w:r w:rsidR="000B705B">
        <w:rPr>
          <w:rFonts w:ascii="Arial" w:hAnsi="Arial"/>
          <w:color w:val="000000"/>
          <w:sz w:val="22"/>
          <w:szCs w:val="22"/>
        </w:rPr>
        <w:t xml:space="preserve">il sito </w:t>
      </w:r>
      <w:r>
        <w:rPr>
          <w:rFonts w:ascii="Arial" w:hAnsi="Arial"/>
          <w:color w:val="000000"/>
          <w:sz w:val="22"/>
          <w:szCs w:val="22"/>
        </w:rPr>
        <w:t>di Stellantis. In caso di esito positivo, la fase successiva avrà come oggetto principale interventi di trivellazione e attività di studio e sviluppo più avanzate. Stellantis punterà a reperire finanziamenti per il 50% dello sviluppo del progetto, che è sostenuto anche dal governo locale.</w:t>
      </w:r>
    </w:p>
    <w:p w14:paraId="125AC241" w14:textId="4079450C" w:rsidR="00E74AFE" w:rsidRPr="006152A9" w:rsidRDefault="00E74AFE" w:rsidP="00F719D2">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Stellantis e Vulcan mireranno a produrre energia elettrica pulita e a fornirla alla rete per il consumo sia interno che esterno nel rispetto della legge tedesca sulle energie rinnovabili (EEG), producendo al contempo calore da trasferire al sito produttivo di Stellantis.</w:t>
      </w:r>
    </w:p>
    <w:p w14:paraId="7F5220D0" w14:textId="12771163" w:rsidR="00B75ED2" w:rsidRPr="006152A9" w:rsidRDefault="00AC4CF6" w:rsidP="001F3FF7">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 xml:space="preserve">“Questa partnership con Vulcan rafforza il nostro impegno a promuovere soluzioni per l’energia pulita in tutta la nostra azienda,” ha dichiarato Carlos Tavares, CEO di Stellantis. “Rappresenta una delle numerose iniziative che abbiamo intrapreso per </w:t>
      </w:r>
      <w:r w:rsidR="00430815">
        <w:rPr>
          <w:rFonts w:ascii="Arial" w:hAnsi="Arial"/>
          <w:color w:val="000000"/>
          <w:sz w:val="22"/>
          <w:szCs w:val="22"/>
        </w:rPr>
        <w:t xml:space="preserve">raggiungere </w:t>
      </w:r>
      <w:r>
        <w:rPr>
          <w:rFonts w:ascii="Arial" w:hAnsi="Arial"/>
          <w:color w:val="000000"/>
          <w:sz w:val="22"/>
          <w:szCs w:val="22"/>
        </w:rPr>
        <w:t xml:space="preserve">risultati, impatti e sostenibilità in linea con il nostro piano strategico </w:t>
      </w:r>
      <w:hyperlink r:id="rId12" w:history="1">
        <w:r>
          <w:rPr>
            <w:rStyle w:val="Hyperlink"/>
            <w:rFonts w:ascii="Arial" w:hAnsi="Arial"/>
            <w:sz w:val="22"/>
            <w:szCs w:val="22"/>
            <w:u w:val="single"/>
          </w:rPr>
          <w:t>Dare Forward 2030</w:t>
        </w:r>
      </w:hyperlink>
      <w:r>
        <w:rPr>
          <w:rFonts w:ascii="Arial" w:hAnsi="Arial"/>
          <w:color w:val="000000"/>
          <w:sz w:val="22"/>
          <w:szCs w:val="22"/>
        </w:rPr>
        <w:t>.”</w:t>
      </w:r>
    </w:p>
    <w:p w14:paraId="15BBD9C5" w14:textId="5A9E1DC2" w:rsidR="00A35263" w:rsidRPr="006152A9" w:rsidRDefault="00B75ED2" w:rsidP="00B375CD">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lastRenderedPageBreak/>
        <w:t xml:space="preserve">Stellantis è impegnata a diventare il punto di riferimento del settore nel contrasto al cambiamento climatico, con l’obiettivo di raggiungere il traguardo zero emissioni entro il 2038, con una riduzione del 50% entro il 2030. L’accordo con Vulcan Energy segna per Stellantis il primo </w:t>
      </w:r>
      <w:r w:rsidRPr="008E3E34">
        <w:rPr>
          <w:rFonts w:ascii="Arial" w:hAnsi="Arial"/>
          <w:sz w:val="22"/>
          <w:szCs w:val="22"/>
        </w:rPr>
        <w:t>potenziale</w:t>
      </w:r>
      <w:r>
        <w:rPr>
          <w:rFonts w:ascii="Arial" w:hAnsi="Arial"/>
          <w:color w:val="FF0000"/>
          <w:sz w:val="22"/>
          <w:szCs w:val="22"/>
        </w:rPr>
        <w:t xml:space="preserve"> </w:t>
      </w:r>
      <w:r>
        <w:rPr>
          <w:rFonts w:ascii="Arial" w:hAnsi="Arial"/>
          <w:color w:val="000000"/>
          <w:sz w:val="22"/>
          <w:szCs w:val="22"/>
        </w:rPr>
        <w:t xml:space="preserve">utilizzo dell’energia geotermica rinnovabile diretto a </w:t>
      </w:r>
      <w:proofErr w:type="spellStart"/>
      <w:r>
        <w:rPr>
          <w:rFonts w:ascii="Arial" w:hAnsi="Arial"/>
          <w:color w:val="000000"/>
          <w:sz w:val="22"/>
          <w:szCs w:val="22"/>
        </w:rPr>
        <w:t>decarbonizzare</w:t>
      </w:r>
      <w:proofErr w:type="spellEnd"/>
      <w:r>
        <w:rPr>
          <w:rFonts w:ascii="Arial" w:hAnsi="Arial"/>
          <w:color w:val="000000"/>
          <w:sz w:val="22"/>
          <w:szCs w:val="22"/>
        </w:rPr>
        <w:t xml:space="preserve"> e localizzare l’approvvigionamento energetico in un sito industriale. </w:t>
      </w:r>
    </w:p>
    <w:p w14:paraId="5DCDE0A4" w14:textId="71871E82" w:rsidR="00B375CD" w:rsidRPr="006152A9" w:rsidRDefault="00316FE6" w:rsidP="00B375CD">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“La mission</w:t>
      </w:r>
      <w:r w:rsidR="00D65623">
        <w:rPr>
          <w:rFonts w:ascii="Arial" w:hAnsi="Arial"/>
          <w:color w:val="000000"/>
          <w:sz w:val="22"/>
          <w:szCs w:val="22"/>
        </w:rPr>
        <w:t>e</w:t>
      </w:r>
      <w:r>
        <w:rPr>
          <w:rFonts w:ascii="Arial" w:hAnsi="Arial"/>
          <w:color w:val="000000"/>
          <w:sz w:val="22"/>
          <w:szCs w:val="22"/>
        </w:rPr>
        <w:t xml:space="preserve"> principale di Vulcan è la decarbonizzazione, attraverso la fornitura di energia rinnovabile e di litio ricavato senza l’uso di combustibili fossili e senza emissioni di anidride carbonica,” ha dichiarato Francis </w:t>
      </w:r>
      <w:proofErr w:type="spellStart"/>
      <w:r>
        <w:rPr>
          <w:rFonts w:ascii="Arial" w:hAnsi="Arial"/>
          <w:color w:val="000000"/>
          <w:sz w:val="22"/>
          <w:szCs w:val="22"/>
        </w:rPr>
        <w:t>Wedin</w:t>
      </w:r>
      <w:proofErr w:type="spellEnd"/>
      <w:r>
        <w:rPr>
          <w:rFonts w:ascii="Arial" w:hAnsi="Arial"/>
          <w:color w:val="000000"/>
          <w:sz w:val="22"/>
          <w:szCs w:val="22"/>
        </w:rPr>
        <w:t xml:space="preserve">, </w:t>
      </w:r>
      <w:r w:rsidR="00837879">
        <w:rPr>
          <w:rFonts w:ascii="Arial" w:hAnsi="Arial"/>
          <w:color w:val="000000"/>
          <w:sz w:val="22"/>
          <w:szCs w:val="22"/>
        </w:rPr>
        <w:t>A</w:t>
      </w:r>
      <w:r>
        <w:rPr>
          <w:rFonts w:ascii="Arial" w:hAnsi="Arial"/>
          <w:color w:val="000000"/>
          <w:sz w:val="22"/>
          <w:szCs w:val="22"/>
        </w:rPr>
        <w:t xml:space="preserve">mministratore </w:t>
      </w:r>
      <w:r w:rsidR="00837879">
        <w:rPr>
          <w:rFonts w:ascii="Arial" w:hAnsi="Arial"/>
          <w:color w:val="000000"/>
          <w:sz w:val="22"/>
          <w:szCs w:val="22"/>
        </w:rPr>
        <w:t>D</w:t>
      </w:r>
      <w:r>
        <w:rPr>
          <w:rFonts w:ascii="Arial" w:hAnsi="Arial"/>
          <w:color w:val="000000"/>
          <w:sz w:val="22"/>
          <w:szCs w:val="22"/>
        </w:rPr>
        <w:t xml:space="preserve">elegato e CEO di Vulcan. “Vulcan intende sostenere Stellantis, il nostro principale acquirente di litio e uno dei nostri maggiori azionisti, nella decarbonizzazione delle sue attività operative in Europa. Pur mantenendo l’attenzione sui nostri giacimenti di litio geotermico </w:t>
      </w:r>
      <w:r w:rsidR="00714C47">
        <w:rPr>
          <w:rFonts w:ascii="Arial" w:hAnsi="Arial"/>
          <w:color w:val="000000"/>
          <w:sz w:val="22"/>
          <w:szCs w:val="22"/>
        </w:rPr>
        <w:t>ne</w:t>
      </w:r>
      <w:r>
        <w:rPr>
          <w:rFonts w:ascii="Arial" w:hAnsi="Arial"/>
          <w:color w:val="000000"/>
          <w:sz w:val="22"/>
          <w:szCs w:val="22"/>
        </w:rPr>
        <w:t xml:space="preserve">l centro </w:t>
      </w:r>
      <w:proofErr w:type="spellStart"/>
      <w:r w:rsidR="00714C47" w:rsidRPr="008E3E34">
        <w:rPr>
          <w:rFonts w:ascii="Arial" w:eastAsia="Arial" w:hAnsi="Arial" w:cs="Arial"/>
          <w:color w:val="000000"/>
          <w:sz w:val="22"/>
          <w:szCs w:val="22"/>
        </w:rPr>
        <w:t>Upper</w:t>
      </w:r>
      <w:proofErr w:type="spellEnd"/>
      <w:r w:rsidR="00714C47" w:rsidRPr="008E3E34">
        <w:rPr>
          <w:rFonts w:ascii="Arial" w:eastAsia="Arial" w:hAnsi="Arial" w:cs="Arial"/>
          <w:color w:val="000000"/>
          <w:sz w:val="22"/>
          <w:szCs w:val="22"/>
        </w:rPr>
        <w:t xml:space="preserve"> </w:t>
      </w:r>
      <w:proofErr w:type="spellStart"/>
      <w:r w:rsidR="00714C47" w:rsidRPr="008E3E34">
        <w:rPr>
          <w:rFonts w:ascii="Arial" w:eastAsia="Arial" w:hAnsi="Arial" w:cs="Arial"/>
          <w:color w:val="000000"/>
          <w:sz w:val="22"/>
          <w:szCs w:val="22"/>
        </w:rPr>
        <w:t>Rhine</w:t>
      </w:r>
      <w:proofErr w:type="spellEnd"/>
      <w:r w:rsidR="00714C47" w:rsidRPr="008E3E34">
        <w:rPr>
          <w:rFonts w:ascii="Arial" w:eastAsia="Arial" w:hAnsi="Arial" w:cs="Arial"/>
          <w:color w:val="000000"/>
          <w:sz w:val="22"/>
          <w:szCs w:val="22"/>
        </w:rPr>
        <w:t xml:space="preserve"> Valley Brine Field</w:t>
      </w:r>
      <w:r>
        <w:rPr>
          <w:rFonts w:ascii="Arial" w:hAnsi="Arial"/>
          <w:color w:val="000000"/>
          <w:sz w:val="22"/>
          <w:szCs w:val="22"/>
        </w:rPr>
        <w:t xml:space="preserve">, questo progetto rappresenta un’opportunità complementare per espandere la nostra </w:t>
      </w:r>
      <w:r w:rsidR="00837879">
        <w:rPr>
          <w:rFonts w:ascii="Arial" w:hAnsi="Arial"/>
          <w:color w:val="000000"/>
          <w:sz w:val="22"/>
          <w:szCs w:val="22"/>
        </w:rPr>
        <w:t xml:space="preserve">filiera </w:t>
      </w:r>
      <w:r>
        <w:rPr>
          <w:rFonts w:ascii="Arial" w:hAnsi="Arial"/>
          <w:color w:val="000000"/>
          <w:sz w:val="22"/>
          <w:szCs w:val="22"/>
        </w:rPr>
        <w:t>di sviluppo ad alcune delle aree esterne nell’</w:t>
      </w:r>
      <w:r w:rsidR="00714C47">
        <w:rPr>
          <w:rFonts w:ascii="Arial" w:hAnsi="Arial"/>
          <w:color w:val="000000"/>
          <w:sz w:val="22"/>
          <w:szCs w:val="22"/>
        </w:rPr>
        <w:t>A</w:t>
      </w:r>
      <w:r>
        <w:rPr>
          <w:rFonts w:ascii="Arial" w:hAnsi="Arial"/>
          <w:color w:val="000000"/>
          <w:sz w:val="22"/>
          <w:szCs w:val="22"/>
        </w:rPr>
        <w:t xml:space="preserve">lta </w:t>
      </w:r>
      <w:r w:rsidR="00714C47">
        <w:rPr>
          <w:rFonts w:ascii="Arial" w:hAnsi="Arial"/>
          <w:color w:val="000000"/>
          <w:sz w:val="22"/>
          <w:szCs w:val="22"/>
        </w:rPr>
        <w:t>V</w:t>
      </w:r>
      <w:r>
        <w:rPr>
          <w:rFonts w:ascii="Arial" w:hAnsi="Arial"/>
          <w:color w:val="000000"/>
          <w:sz w:val="22"/>
          <w:szCs w:val="22"/>
        </w:rPr>
        <w:t xml:space="preserve">alle del Reno con il sostegno di partner industriali come Stellantis.”   </w:t>
      </w:r>
    </w:p>
    <w:p w14:paraId="74D208B1" w14:textId="723DEE3F" w:rsidR="004E3437" w:rsidRPr="006152A9" w:rsidRDefault="0094419E" w:rsidP="006152A9">
      <w:pPr>
        <w:jc w:val="left"/>
        <w:rPr>
          <w:rFonts w:ascii="Arial" w:eastAsia="Arial" w:hAnsi="Arial" w:cs="Arial"/>
          <w:color w:val="000000"/>
          <w:sz w:val="22"/>
          <w:szCs w:val="22"/>
        </w:rPr>
      </w:pPr>
      <w:r>
        <w:rPr>
          <w:rFonts w:ascii="Arial" w:hAnsi="Arial"/>
          <w:color w:val="000000"/>
          <w:sz w:val="22"/>
          <w:szCs w:val="22"/>
        </w:rPr>
        <w:t>“</w:t>
      </w:r>
      <w:r w:rsidR="004E3437">
        <w:rPr>
          <w:rFonts w:ascii="Arial" w:hAnsi="Arial"/>
          <w:color w:val="000000"/>
          <w:sz w:val="22"/>
          <w:szCs w:val="22"/>
        </w:rPr>
        <w:t xml:space="preserve">Sono lieto della partnership tra Stellantis e Vulcan Energy annunciata oggi,” ha dichiarato Boris </w:t>
      </w:r>
      <w:proofErr w:type="spellStart"/>
      <w:r w:rsidR="004E3437">
        <w:rPr>
          <w:rFonts w:ascii="Arial" w:hAnsi="Arial"/>
          <w:color w:val="000000"/>
          <w:sz w:val="22"/>
          <w:szCs w:val="22"/>
        </w:rPr>
        <w:t>Rhein</w:t>
      </w:r>
      <w:proofErr w:type="spellEnd"/>
      <w:r w:rsidR="004E3437">
        <w:rPr>
          <w:rFonts w:ascii="Arial" w:hAnsi="Arial"/>
          <w:color w:val="000000"/>
          <w:sz w:val="22"/>
          <w:szCs w:val="22"/>
        </w:rPr>
        <w:t xml:space="preserve">, </w:t>
      </w:r>
      <w:r w:rsidR="00837879">
        <w:rPr>
          <w:rFonts w:ascii="Arial" w:hAnsi="Arial"/>
          <w:color w:val="000000"/>
          <w:sz w:val="22"/>
          <w:szCs w:val="22"/>
        </w:rPr>
        <w:t>M</w:t>
      </w:r>
      <w:r w:rsidR="004E3437">
        <w:rPr>
          <w:rFonts w:ascii="Arial" w:hAnsi="Arial"/>
          <w:color w:val="000000"/>
          <w:sz w:val="22"/>
          <w:szCs w:val="22"/>
        </w:rPr>
        <w:t>inistro-</w:t>
      </w:r>
      <w:r w:rsidR="00837879">
        <w:rPr>
          <w:rFonts w:ascii="Arial" w:hAnsi="Arial"/>
          <w:color w:val="000000"/>
          <w:sz w:val="22"/>
          <w:szCs w:val="22"/>
        </w:rPr>
        <w:t>P</w:t>
      </w:r>
      <w:r w:rsidR="004E3437">
        <w:rPr>
          <w:rFonts w:ascii="Arial" w:hAnsi="Arial"/>
          <w:color w:val="000000"/>
          <w:sz w:val="22"/>
          <w:szCs w:val="22"/>
        </w:rPr>
        <w:t>residente dell</w:t>
      </w:r>
      <w:r w:rsidR="00C064FB">
        <w:rPr>
          <w:rFonts w:ascii="Arial" w:hAnsi="Arial"/>
          <w:color w:val="000000"/>
          <w:sz w:val="22"/>
          <w:szCs w:val="22"/>
        </w:rPr>
        <w:t>’</w:t>
      </w:r>
      <w:r w:rsidR="004E3437">
        <w:rPr>
          <w:rFonts w:ascii="Arial" w:hAnsi="Arial"/>
          <w:color w:val="000000"/>
          <w:sz w:val="22"/>
          <w:szCs w:val="22"/>
        </w:rPr>
        <w:t>Assia, in Germania. “Si tratta di una notizia positiva per l’</w:t>
      </w:r>
      <w:r w:rsidR="004E3437" w:rsidRPr="008E3E34">
        <w:rPr>
          <w:rFonts w:ascii="Arial" w:hAnsi="Arial"/>
          <w:sz w:val="22"/>
          <w:szCs w:val="22"/>
        </w:rPr>
        <w:t xml:space="preserve">Assia </w:t>
      </w:r>
      <w:r w:rsidR="004E3437">
        <w:rPr>
          <w:rFonts w:ascii="Arial" w:hAnsi="Arial"/>
          <w:color w:val="000000"/>
          <w:sz w:val="22"/>
          <w:szCs w:val="22"/>
        </w:rPr>
        <w:t>in quanto dimostra che, nel nostro stato, la protezione del clima e la produzione industriale all</w:t>
      </w:r>
      <w:r w:rsidR="00C064FB">
        <w:rPr>
          <w:rFonts w:ascii="Arial" w:hAnsi="Arial"/>
          <w:color w:val="000000"/>
          <w:sz w:val="22"/>
          <w:szCs w:val="22"/>
        </w:rPr>
        <w:t>’</w:t>
      </w:r>
      <w:r w:rsidR="004E3437">
        <w:rPr>
          <w:rFonts w:ascii="Arial" w:hAnsi="Arial"/>
          <w:color w:val="000000"/>
          <w:sz w:val="22"/>
          <w:szCs w:val="22"/>
        </w:rPr>
        <w:t>avanguardia attraverso idee innovative sono perfettamente compatibili.”</w:t>
      </w:r>
    </w:p>
    <w:p w14:paraId="18E2F4B2" w14:textId="15DE2F91" w:rsidR="00AA3776" w:rsidRPr="006152A9" w:rsidRDefault="009A39A3" w:rsidP="001F3FF7">
      <w:pPr>
        <w:pBdr>
          <w:top w:val="nil"/>
          <w:left w:val="nil"/>
          <w:bottom w:val="nil"/>
          <w:right w:val="nil"/>
          <w:between w:val="nil"/>
        </w:pBdr>
        <w:jc w:val="left"/>
        <w:rPr>
          <w:rFonts w:ascii="Arial" w:eastAsia="Arial" w:hAnsi="Arial" w:cs="Arial"/>
          <w:color w:val="000000"/>
          <w:sz w:val="22"/>
          <w:szCs w:val="22"/>
        </w:rPr>
      </w:pPr>
      <w:r>
        <w:rPr>
          <w:rFonts w:ascii="Arial" w:hAnsi="Arial"/>
          <w:color w:val="000000"/>
          <w:sz w:val="22"/>
          <w:szCs w:val="22"/>
        </w:rPr>
        <w:t xml:space="preserve">L’accordo con Stellantis aumenta inoltre l’impatto di Vulcan sulla decarbonizzazione dell’industria europea dei veicoli elettrici, integrando l’eliminazione delle emissioni di carbonio derivante dal progetto Zero Carbon </w:t>
      </w:r>
      <w:proofErr w:type="spellStart"/>
      <w:r>
        <w:rPr>
          <w:rFonts w:ascii="Arial" w:hAnsi="Arial"/>
          <w:color w:val="000000"/>
          <w:sz w:val="22"/>
          <w:szCs w:val="22"/>
        </w:rPr>
        <w:t>Lithium</w:t>
      </w:r>
      <w:proofErr w:type="spellEnd"/>
      <w:r>
        <w:rPr>
          <w:rFonts w:ascii="Arial" w:hAnsi="Arial"/>
          <w:color w:val="000000"/>
          <w:sz w:val="22"/>
          <w:szCs w:val="22"/>
        </w:rPr>
        <w:t>™ e creando valore per gli azionisti.</w:t>
      </w:r>
    </w:p>
    <w:p w14:paraId="2E5CA74B" w14:textId="7BECE320" w:rsidR="007F0624" w:rsidRPr="006152A9" w:rsidRDefault="007F0624" w:rsidP="007F0624">
      <w:pPr>
        <w:jc w:val="center"/>
        <w:rPr>
          <w:rFonts w:ascii="Arial" w:eastAsia="Encode Sans" w:hAnsi="Arial" w:cs="Arial"/>
          <w:sz w:val="22"/>
          <w:szCs w:val="22"/>
        </w:rPr>
      </w:pPr>
      <w:r>
        <w:rPr>
          <w:rFonts w:ascii="Arial" w:hAnsi="Arial"/>
          <w:sz w:val="22"/>
          <w:szCs w:val="22"/>
        </w:rPr>
        <w:t># # #</w:t>
      </w:r>
    </w:p>
    <w:p w14:paraId="46D4EF33" w14:textId="0E0ECC64" w:rsidR="00211BDA" w:rsidRPr="006152A9" w:rsidRDefault="00211BDA" w:rsidP="00E653B0">
      <w:pPr>
        <w:spacing w:after="0"/>
        <w:rPr>
          <w:rFonts w:ascii="Arial" w:eastAsia="Times New Roman" w:hAnsi="Arial" w:cs="Arial"/>
          <w:b/>
          <w:bCs/>
          <w:i/>
          <w:iCs/>
          <w:sz w:val="22"/>
          <w:szCs w:val="22"/>
        </w:rPr>
      </w:pPr>
      <w:bookmarkStart w:id="0" w:name="_Hlk106354158"/>
      <w:r>
        <w:rPr>
          <w:rFonts w:ascii="Arial" w:hAnsi="Arial"/>
          <w:b/>
          <w:bCs/>
          <w:i/>
          <w:iCs/>
          <w:sz w:val="22"/>
          <w:szCs w:val="22"/>
        </w:rPr>
        <w:t>Stellantis</w:t>
      </w:r>
    </w:p>
    <w:p w14:paraId="71E955B6" w14:textId="77777777" w:rsidR="00211BDA" w:rsidRPr="006152A9" w:rsidRDefault="00211BDA">
      <w:pPr>
        <w:spacing w:after="0"/>
        <w:rPr>
          <w:rFonts w:ascii="Arial" w:eastAsia="Times New Roman" w:hAnsi="Arial" w:cs="Arial"/>
          <w:i/>
          <w:iCs/>
          <w:sz w:val="22"/>
          <w:szCs w:val="22"/>
        </w:rPr>
      </w:pPr>
      <w:bookmarkStart w:id="1" w:name="_Hlk104023212"/>
      <w:r>
        <w:rPr>
          <w:rFonts w:ascii="Arial" w:hAnsi="Arial"/>
          <w:i/>
          <w:iCs/>
          <w:sz w:val="22"/>
          <w:szCs w:val="22"/>
        </w:rPr>
        <w:t xml:space="preserve">Stellantis N.V. (NYSE / MTA / Euronext Parigi: STLA) è leader a livello mondiale nella produzione di veicoli e fornitore di mobilità. I suoi marchi iconici e ricchi di storia – Abarth, Alfa Romeo, Chrysler, Citroën, Dodge, DS Automobiles, Fiat, Jeep®, Lancia, Maserati, Opel, Peugeot, </w:t>
      </w:r>
      <w:proofErr w:type="spellStart"/>
      <w:r>
        <w:rPr>
          <w:rFonts w:ascii="Arial" w:hAnsi="Arial"/>
          <w:i/>
          <w:iCs/>
          <w:sz w:val="22"/>
          <w:szCs w:val="22"/>
        </w:rPr>
        <w:t>Ram</w:t>
      </w:r>
      <w:proofErr w:type="spellEnd"/>
      <w:r>
        <w:rPr>
          <w:rFonts w:ascii="Arial" w:hAnsi="Arial"/>
          <w:i/>
          <w:iCs/>
          <w:sz w:val="22"/>
          <w:szCs w:val="22"/>
        </w:rPr>
        <w:t xml:space="preserve">, Vauxhall, Free2move e </w:t>
      </w:r>
      <w:proofErr w:type="spellStart"/>
      <w:r>
        <w:rPr>
          <w:rFonts w:ascii="Arial" w:hAnsi="Arial"/>
          <w:i/>
          <w:iCs/>
          <w:sz w:val="22"/>
          <w:szCs w:val="22"/>
        </w:rPr>
        <w:t>Leasys</w:t>
      </w:r>
      <w:proofErr w:type="spellEnd"/>
      <w:r>
        <w:rPr>
          <w:rFonts w:ascii="Arial" w:hAnsi="Arial"/>
          <w:i/>
          <w:iCs/>
          <w:sz w:val="22"/>
          <w:szCs w:val="22"/>
        </w:rPr>
        <w:t xml:space="preserve"> – danno forma concreta alla passione dei loro fondatori e dei nostri clienti offrendo prodotti e servizi innovativi. Grazie alla diversità che ci alimenta, guidiamo il modo in cui il mondo si muove, aspirando a diventare la migliore </w:t>
      </w:r>
      <w:proofErr w:type="spellStart"/>
      <w:r>
        <w:rPr>
          <w:rFonts w:ascii="Arial" w:hAnsi="Arial"/>
          <w:i/>
          <w:iCs/>
          <w:sz w:val="22"/>
          <w:szCs w:val="22"/>
        </w:rPr>
        <w:t>mobility</w:t>
      </w:r>
      <w:proofErr w:type="spellEnd"/>
      <w:r>
        <w:rPr>
          <w:rFonts w:ascii="Arial" w:hAnsi="Arial"/>
          <w:i/>
          <w:iCs/>
          <w:sz w:val="22"/>
          <w:szCs w:val="22"/>
        </w:rPr>
        <w:t xml:space="preserve"> tech company sostenibile, non la più grande, creando al contempo valore aggiunto per tutti gli stakeholder nonché per le community in cui opera. Per maggiori informazioni, visitare www.stellantis.com.</w:t>
      </w:r>
      <w:bookmarkEnd w:id="1"/>
    </w:p>
    <w:bookmarkEnd w:id="0"/>
    <w:p w14:paraId="4B1252EB" w14:textId="7777777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p>
    <w:p w14:paraId="454AE94A" w14:textId="2BC77F47" w:rsidR="009D782E" w:rsidRPr="006152A9" w:rsidRDefault="009D782E">
      <w:pPr>
        <w:pBdr>
          <w:top w:val="nil"/>
          <w:left w:val="nil"/>
          <w:bottom w:val="nil"/>
          <w:right w:val="nil"/>
          <w:between w:val="nil"/>
        </w:pBdr>
        <w:spacing w:after="0"/>
        <w:jc w:val="left"/>
        <w:rPr>
          <w:rFonts w:ascii="Arial" w:eastAsia="Arial" w:hAnsi="Arial" w:cs="Arial"/>
          <w:i/>
          <w:iCs/>
          <w:color w:val="000000"/>
          <w:sz w:val="22"/>
          <w:szCs w:val="22"/>
        </w:rPr>
      </w:pPr>
      <w:bookmarkStart w:id="2" w:name="_heading=h.gjdgxs"/>
      <w:bookmarkEnd w:id="2"/>
      <w:r>
        <w:rPr>
          <w:rFonts w:ascii="Arial" w:hAnsi="Arial"/>
          <w:b/>
          <w:i/>
          <w:iCs/>
          <w:color w:val="000000"/>
          <w:sz w:val="22"/>
          <w:szCs w:val="22"/>
        </w:rPr>
        <w:t>Vulcan</w:t>
      </w:r>
    </w:p>
    <w:p w14:paraId="3E3FFB40" w14:textId="50A1F5A7" w:rsidR="00D90200" w:rsidRPr="006152A9" w:rsidRDefault="005062F7">
      <w:pPr>
        <w:spacing w:after="0"/>
        <w:jc w:val="left"/>
        <w:rPr>
          <w:rFonts w:ascii="Arial" w:hAnsi="Arial" w:cs="Arial"/>
          <w:b/>
          <w:i/>
          <w:iCs/>
          <w:sz w:val="22"/>
          <w:szCs w:val="22"/>
        </w:rPr>
      </w:pPr>
      <w:r>
        <w:rPr>
          <w:rFonts w:ascii="Arial" w:hAnsi="Arial"/>
          <w:i/>
          <w:iCs/>
          <w:sz w:val="22"/>
          <w:szCs w:val="22"/>
          <w:shd w:val="clear" w:color="auto" w:fill="FFFFFF"/>
        </w:rPr>
        <w:t xml:space="preserve">Vulcan ambisce a diventare il primo produttore di litio al mondo in grado di azzerare le emissioni nette di gas serra. L’obiettivo del suo progetto Zero Carbon </w:t>
      </w:r>
      <w:proofErr w:type="spellStart"/>
      <w:r>
        <w:rPr>
          <w:rFonts w:ascii="Arial" w:hAnsi="Arial"/>
          <w:i/>
          <w:iCs/>
          <w:sz w:val="22"/>
          <w:szCs w:val="22"/>
          <w:shd w:val="clear" w:color="auto" w:fill="FFFFFF"/>
        </w:rPr>
        <w:t>Lithium</w:t>
      </w:r>
      <w:proofErr w:type="spellEnd"/>
      <w:r>
        <w:rPr>
          <w:rFonts w:ascii="Arial" w:hAnsi="Arial"/>
          <w:i/>
          <w:iCs/>
          <w:sz w:val="22"/>
          <w:szCs w:val="22"/>
          <w:shd w:val="clear" w:color="auto" w:fill="FFFFFF"/>
        </w:rPr>
        <w:t xml:space="preserve">™ è produrre idrossido di litio per batterie, combinando una fonte di energia geotermica e un giacimento di litio in Germania, il più grande esistente in Europa. Con l’esclusivo progetto Zero Carbon </w:t>
      </w:r>
      <w:proofErr w:type="spellStart"/>
      <w:r>
        <w:rPr>
          <w:rFonts w:ascii="Arial" w:hAnsi="Arial"/>
          <w:i/>
          <w:iCs/>
          <w:sz w:val="22"/>
          <w:szCs w:val="22"/>
          <w:shd w:val="clear" w:color="auto" w:fill="FFFFFF"/>
        </w:rPr>
        <w:t>Lithium</w:t>
      </w:r>
      <w:proofErr w:type="spellEnd"/>
      <w:r>
        <w:rPr>
          <w:rFonts w:ascii="Arial" w:hAnsi="Arial"/>
          <w:i/>
          <w:iCs/>
          <w:sz w:val="22"/>
          <w:szCs w:val="22"/>
          <w:shd w:val="clear" w:color="auto" w:fill="FFFFFF"/>
        </w:rPr>
        <w:t xml:space="preserve">™, Vulcan intende produrre sia l’energia geotermica rinnovabile che l’idrossido di litio dal medesimo giacimento di litio nel sottosuolo profondo. In tal modo, Vulcan intende soddisfare le richieste di litio del mercato UE, riducendo l'elevata impronta idrica e di carbonio della produzione e la totale dipendenza dalle importazioni. Vulcan punta a rifornire il mercato delle batterie agli ioni di litio e dei veicoli elettrici in Europa, che è quello in più rapida crescita nel mondo. Il progetto Zero Carbon </w:t>
      </w:r>
      <w:proofErr w:type="spellStart"/>
      <w:r>
        <w:rPr>
          <w:rFonts w:ascii="Arial" w:hAnsi="Arial"/>
          <w:i/>
          <w:iCs/>
          <w:sz w:val="22"/>
          <w:szCs w:val="22"/>
          <w:shd w:val="clear" w:color="auto" w:fill="FFFFFF"/>
        </w:rPr>
        <w:t>Lithium</w:t>
      </w:r>
      <w:proofErr w:type="spellEnd"/>
      <w:r>
        <w:rPr>
          <w:rFonts w:ascii="Arial" w:hAnsi="Arial"/>
          <w:i/>
          <w:iCs/>
          <w:sz w:val="22"/>
          <w:szCs w:val="22"/>
          <w:shd w:val="clear" w:color="auto" w:fill="FFFFFF"/>
        </w:rPr>
        <w:t>™ di Vulcan si basa su un giacimento che è in grado di soddisfare il fabbisogno europeo per la transizione ai veicoli elettrici, permettendo di azzerare al contempo le emissioni nette di gas serra, per molti anni a venire.</w:t>
      </w:r>
    </w:p>
    <w:p w14:paraId="295F216C" w14:textId="77777777" w:rsidR="00DF61C4" w:rsidRPr="006152A9" w:rsidRDefault="00DF61C4">
      <w:pPr>
        <w:spacing w:after="0"/>
        <w:jc w:val="left"/>
        <w:rPr>
          <w:rFonts w:ascii="Arial" w:hAnsi="Arial" w:cs="Arial"/>
          <w:b/>
          <w:i/>
        </w:rPr>
      </w:pPr>
    </w:p>
    <w:p w14:paraId="01B7AA2F" w14:textId="77777777" w:rsidR="006152A9" w:rsidRPr="00900B7F" w:rsidRDefault="006152A9" w:rsidP="005D025A">
      <w:pPr>
        <w:tabs>
          <w:tab w:val="left" w:pos="2592"/>
        </w:tabs>
        <w:spacing w:after="0"/>
        <w:rPr>
          <w:rFonts w:ascii="Arial" w:eastAsia="Arial" w:hAnsi="Arial" w:cs="Arial"/>
          <w:b/>
          <w:sz w:val="22"/>
          <w:szCs w:val="22"/>
        </w:rPr>
      </w:pPr>
      <w:bookmarkStart w:id="3" w:name="_Hlk104885869"/>
    </w:p>
    <w:p w14:paraId="049657B9" w14:textId="452D9B9D" w:rsidR="005D025A" w:rsidRPr="006152A9" w:rsidRDefault="005D025A" w:rsidP="005D025A">
      <w:pPr>
        <w:tabs>
          <w:tab w:val="left" w:pos="2592"/>
        </w:tabs>
        <w:spacing w:after="0"/>
        <w:rPr>
          <w:rFonts w:ascii="Arial" w:eastAsia="Arial" w:hAnsi="Arial" w:cs="Arial"/>
          <w:b/>
          <w:sz w:val="22"/>
          <w:szCs w:val="22"/>
        </w:rPr>
      </w:pPr>
      <w:r>
        <w:rPr>
          <w:rFonts w:ascii="Arial" w:hAnsi="Arial"/>
          <w:b/>
          <w:sz w:val="22"/>
          <w:szCs w:val="22"/>
        </w:rPr>
        <w:t>Contatti:</w:t>
      </w:r>
    </w:p>
    <w:p w14:paraId="16B01A31" w14:textId="77777777" w:rsidR="005D025A" w:rsidRPr="006152A9" w:rsidRDefault="005D025A" w:rsidP="005D025A">
      <w:pPr>
        <w:tabs>
          <w:tab w:val="left" w:pos="2592"/>
        </w:tabs>
        <w:spacing w:after="0"/>
        <w:rPr>
          <w:rFonts w:ascii="Arial" w:eastAsia="Arial" w:hAnsi="Arial" w:cs="Arial"/>
          <w:b/>
          <w:sz w:val="22"/>
          <w:szCs w:val="22"/>
          <w:lang w:val="fr-FR"/>
        </w:rPr>
      </w:pPr>
    </w:p>
    <w:p w14:paraId="7CE9964D" w14:textId="77777777" w:rsidR="005D025A" w:rsidRPr="006152A9" w:rsidRDefault="005D025A" w:rsidP="005D025A">
      <w:pPr>
        <w:tabs>
          <w:tab w:val="left" w:pos="2592"/>
        </w:tabs>
        <w:spacing w:after="0"/>
        <w:rPr>
          <w:rFonts w:ascii="Arial" w:eastAsia="Arial" w:hAnsi="Arial" w:cs="Arial"/>
          <w:b/>
          <w:bCs/>
          <w:sz w:val="20"/>
          <w:szCs w:val="20"/>
        </w:rPr>
      </w:pPr>
      <w:bookmarkStart w:id="4" w:name="_Hlk115941120"/>
      <w:r>
        <w:rPr>
          <w:rFonts w:ascii="Arial" w:hAnsi="Arial"/>
          <w:b/>
          <w:bCs/>
          <w:sz w:val="20"/>
          <w:szCs w:val="20"/>
        </w:rPr>
        <w:t>Stellantis</w:t>
      </w:r>
    </w:p>
    <w:p w14:paraId="057C7C1B" w14:textId="77777777" w:rsidR="005D025A" w:rsidRPr="006152A9" w:rsidRDefault="005D025A" w:rsidP="005D025A">
      <w:pPr>
        <w:tabs>
          <w:tab w:val="left" w:pos="2592"/>
        </w:tabs>
        <w:spacing w:after="0"/>
        <w:rPr>
          <w:rFonts w:ascii="Arial" w:eastAsia="Arial" w:hAnsi="Arial" w:cs="Arial"/>
          <w:b/>
          <w:bCs/>
          <w:sz w:val="20"/>
          <w:szCs w:val="20"/>
        </w:rPr>
      </w:pPr>
      <w:proofErr w:type="spellStart"/>
      <w:r>
        <w:rPr>
          <w:rFonts w:ascii="Arial" w:hAnsi="Arial"/>
          <w:b/>
          <w:bCs/>
          <w:sz w:val="20"/>
          <w:szCs w:val="20"/>
        </w:rPr>
        <w:t>Fernão</w:t>
      </w:r>
      <w:proofErr w:type="spellEnd"/>
      <w:r>
        <w:rPr>
          <w:rFonts w:ascii="Arial" w:hAnsi="Arial"/>
          <w:b/>
          <w:bCs/>
          <w:sz w:val="20"/>
          <w:szCs w:val="20"/>
        </w:rPr>
        <w:t xml:space="preserve"> Silveira </w:t>
      </w:r>
    </w:p>
    <w:p w14:paraId="13B1C9B7" w14:textId="77777777" w:rsidR="005D025A" w:rsidRPr="006152A9" w:rsidRDefault="005D025A" w:rsidP="005D025A">
      <w:pPr>
        <w:tabs>
          <w:tab w:val="left" w:pos="2592"/>
        </w:tabs>
        <w:spacing w:after="0"/>
        <w:rPr>
          <w:rFonts w:ascii="Arial" w:eastAsia="Arial" w:hAnsi="Arial" w:cs="Arial"/>
          <w:bCs/>
          <w:sz w:val="20"/>
          <w:szCs w:val="20"/>
        </w:rPr>
      </w:pPr>
      <w:r>
        <w:rPr>
          <w:rFonts w:ascii="Arial" w:hAnsi="Arial"/>
          <w:bCs/>
          <w:sz w:val="20"/>
          <w:szCs w:val="20"/>
        </w:rPr>
        <w:t>Global Communications / Stellantis</w:t>
      </w:r>
    </w:p>
    <w:p w14:paraId="269423E9" w14:textId="77777777" w:rsidR="005D025A" w:rsidRPr="00900B7F" w:rsidRDefault="005D025A" w:rsidP="005D025A">
      <w:pPr>
        <w:tabs>
          <w:tab w:val="left" w:pos="2592"/>
        </w:tabs>
        <w:spacing w:after="0"/>
        <w:rPr>
          <w:rFonts w:ascii="Arial" w:eastAsia="Arial" w:hAnsi="Arial" w:cs="Arial"/>
          <w:bCs/>
          <w:sz w:val="20"/>
          <w:szCs w:val="20"/>
        </w:rPr>
      </w:pPr>
      <w:r>
        <w:rPr>
          <w:rFonts w:ascii="Arial" w:hAnsi="Arial"/>
          <w:bCs/>
          <w:sz w:val="20"/>
          <w:szCs w:val="20"/>
        </w:rPr>
        <w:t>+31 6 43 25 43 41</w:t>
      </w:r>
    </w:p>
    <w:p w14:paraId="1C325E7D" w14:textId="77777777" w:rsidR="005D025A" w:rsidRPr="00900B7F" w:rsidRDefault="005D025A" w:rsidP="005D025A">
      <w:pPr>
        <w:tabs>
          <w:tab w:val="left" w:pos="2592"/>
        </w:tabs>
        <w:spacing w:after="0"/>
        <w:rPr>
          <w:rFonts w:ascii="Arial" w:eastAsia="Arial" w:hAnsi="Arial" w:cs="Arial"/>
          <w:bCs/>
          <w:sz w:val="20"/>
          <w:szCs w:val="20"/>
        </w:rPr>
      </w:pPr>
      <w:r>
        <w:rPr>
          <w:rFonts w:ascii="Arial" w:hAnsi="Arial"/>
          <w:bCs/>
          <w:sz w:val="20"/>
          <w:szCs w:val="20"/>
        </w:rPr>
        <w:t xml:space="preserve">fernao.silveira@stellantis.com </w:t>
      </w:r>
    </w:p>
    <w:p w14:paraId="535FA7C4" w14:textId="77777777" w:rsidR="005D025A" w:rsidRPr="00900B7F" w:rsidRDefault="005D025A" w:rsidP="005D025A">
      <w:pPr>
        <w:tabs>
          <w:tab w:val="left" w:pos="2592"/>
        </w:tabs>
        <w:spacing w:after="0"/>
        <w:rPr>
          <w:rFonts w:ascii="Arial" w:eastAsia="Arial" w:hAnsi="Arial" w:cs="Arial"/>
          <w:b/>
          <w:sz w:val="20"/>
          <w:szCs w:val="20"/>
          <w:lang w:val="es-ES"/>
        </w:rPr>
      </w:pPr>
    </w:p>
    <w:p w14:paraId="17B3F98D" w14:textId="40026545" w:rsidR="005D025A" w:rsidRPr="006152A9" w:rsidRDefault="00BC143C" w:rsidP="005D025A">
      <w:pPr>
        <w:tabs>
          <w:tab w:val="left" w:pos="2592"/>
        </w:tabs>
        <w:spacing w:after="0"/>
        <w:rPr>
          <w:rFonts w:ascii="Arial" w:eastAsia="Arial" w:hAnsi="Arial" w:cs="Arial"/>
          <w:b/>
          <w:bCs/>
          <w:sz w:val="20"/>
          <w:szCs w:val="20"/>
        </w:rPr>
      </w:pPr>
      <w:r>
        <w:rPr>
          <w:rFonts w:ascii="Arial" w:hAnsi="Arial"/>
          <w:b/>
          <w:bCs/>
          <w:sz w:val="20"/>
          <w:szCs w:val="20"/>
        </w:rPr>
        <w:t>Nico Schmidt</w:t>
      </w:r>
    </w:p>
    <w:p w14:paraId="764E830D" w14:textId="77777777" w:rsidR="00BC143C" w:rsidRPr="006152A9" w:rsidRDefault="00BC143C" w:rsidP="005D025A">
      <w:pPr>
        <w:tabs>
          <w:tab w:val="left" w:pos="2592"/>
        </w:tabs>
        <w:spacing w:after="0"/>
        <w:rPr>
          <w:rFonts w:ascii="Arial" w:eastAsia="Arial" w:hAnsi="Arial" w:cs="Arial"/>
          <w:bCs/>
          <w:sz w:val="20"/>
          <w:szCs w:val="20"/>
        </w:rPr>
      </w:pPr>
      <w:r>
        <w:rPr>
          <w:rFonts w:ascii="Arial" w:hAnsi="Arial"/>
          <w:bCs/>
          <w:sz w:val="20"/>
          <w:szCs w:val="20"/>
        </w:rPr>
        <w:t>+49 1512 1545387</w:t>
      </w:r>
    </w:p>
    <w:p w14:paraId="3D946F22" w14:textId="680DD919" w:rsidR="005D025A" w:rsidRPr="006152A9" w:rsidRDefault="00BC143C" w:rsidP="005D025A">
      <w:pPr>
        <w:tabs>
          <w:tab w:val="left" w:pos="2592"/>
        </w:tabs>
        <w:spacing w:after="0"/>
        <w:rPr>
          <w:rFonts w:ascii="Arial" w:eastAsia="Arial" w:hAnsi="Arial" w:cs="Arial"/>
          <w:bCs/>
          <w:sz w:val="20"/>
          <w:szCs w:val="20"/>
        </w:rPr>
      </w:pPr>
      <w:r>
        <w:rPr>
          <w:rFonts w:ascii="Arial" w:hAnsi="Arial"/>
          <w:bCs/>
          <w:sz w:val="20"/>
          <w:szCs w:val="20"/>
        </w:rPr>
        <w:t>Nico.schmidt@stellantis.com</w:t>
      </w:r>
    </w:p>
    <w:bookmarkEnd w:id="4"/>
    <w:p w14:paraId="02783203" w14:textId="77777777" w:rsidR="005D025A" w:rsidRPr="006152A9" w:rsidRDefault="005D025A" w:rsidP="005D025A">
      <w:pPr>
        <w:tabs>
          <w:tab w:val="left" w:pos="2592"/>
        </w:tabs>
        <w:spacing w:after="0"/>
        <w:rPr>
          <w:rFonts w:ascii="Arial" w:eastAsia="Arial" w:hAnsi="Arial" w:cs="Arial"/>
          <w:b/>
          <w:bCs/>
          <w:sz w:val="20"/>
          <w:szCs w:val="20"/>
          <w:lang w:val="es-ES"/>
        </w:rPr>
      </w:pPr>
    </w:p>
    <w:p w14:paraId="58235B94" w14:textId="77777777" w:rsidR="005D025A" w:rsidRPr="00900B7F" w:rsidRDefault="005D025A" w:rsidP="005D025A">
      <w:pPr>
        <w:tabs>
          <w:tab w:val="left" w:pos="2592"/>
        </w:tabs>
        <w:spacing w:after="0"/>
        <w:rPr>
          <w:rFonts w:ascii="Arial" w:eastAsia="Arial" w:hAnsi="Arial" w:cs="Arial"/>
          <w:bCs/>
          <w:sz w:val="20"/>
          <w:szCs w:val="20"/>
        </w:rPr>
      </w:pPr>
      <w:r>
        <w:rPr>
          <w:rFonts w:ascii="Arial" w:hAnsi="Arial"/>
          <w:bCs/>
          <w:sz w:val="20"/>
          <w:szCs w:val="20"/>
        </w:rPr>
        <w:t>communications@stellantis.com</w:t>
      </w:r>
    </w:p>
    <w:p w14:paraId="043665D4" w14:textId="57F6721F" w:rsidR="003D756D" w:rsidRPr="00900B7F" w:rsidRDefault="0090708E" w:rsidP="00206526">
      <w:pPr>
        <w:tabs>
          <w:tab w:val="left" w:pos="2592"/>
        </w:tabs>
        <w:spacing w:after="0"/>
        <w:rPr>
          <w:rFonts w:ascii="Arial" w:eastAsia="Arial" w:hAnsi="Arial" w:cs="Arial"/>
          <w:bCs/>
          <w:sz w:val="20"/>
          <w:szCs w:val="20"/>
        </w:rPr>
      </w:pPr>
      <w:hyperlink r:id="rId13" w:history="1">
        <w:r w:rsidR="00D74DD3">
          <w:rPr>
            <w:rStyle w:val="Hyperlink"/>
            <w:rFonts w:ascii="Arial" w:hAnsi="Arial"/>
            <w:bCs/>
            <w:color w:val="auto"/>
            <w:sz w:val="20"/>
            <w:szCs w:val="20"/>
          </w:rPr>
          <w:t>www.stellantis.com</w:t>
        </w:r>
      </w:hyperlink>
    </w:p>
    <w:p w14:paraId="1BE2CB9D" w14:textId="77777777" w:rsidR="00587BA7" w:rsidRPr="00900B7F" w:rsidRDefault="00587BA7" w:rsidP="00206526">
      <w:pPr>
        <w:tabs>
          <w:tab w:val="left" w:pos="2592"/>
        </w:tabs>
        <w:spacing w:after="0"/>
        <w:rPr>
          <w:rFonts w:ascii="Arial" w:eastAsia="Arial" w:hAnsi="Arial" w:cs="Arial"/>
          <w:b/>
          <w:bCs/>
          <w:sz w:val="20"/>
          <w:szCs w:val="20"/>
          <w:lang w:val="es-ES"/>
        </w:rPr>
      </w:pPr>
    </w:p>
    <w:p w14:paraId="1851D909" w14:textId="20208D8B" w:rsidR="00206526" w:rsidRPr="00900B7F" w:rsidRDefault="005062F7" w:rsidP="00206526">
      <w:pPr>
        <w:tabs>
          <w:tab w:val="left" w:pos="2592"/>
        </w:tabs>
        <w:spacing w:after="0"/>
        <w:rPr>
          <w:rFonts w:ascii="Arial" w:eastAsia="Arial" w:hAnsi="Arial" w:cs="Arial"/>
          <w:b/>
          <w:bCs/>
          <w:sz w:val="20"/>
          <w:szCs w:val="20"/>
        </w:rPr>
      </w:pPr>
      <w:r>
        <w:rPr>
          <w:rFonts w:ascii="Arial" w:hAnsi="Arial"/>
          <w:b/>
          <w:bCs/>
          <w:sz w:val="20"/>
          <w:szCs w:val="20"/>
        </w:rPr>
        <w:t>Vulcan</w:t>
      </w:r>
    </w:p>
    <w:bookmarkEnd w:id="3"/>
    <w:p w14:paraId="0737B967" w14:textId="77777777" w:rsidR="00E13A38" w:rsidRPr="00900B7F" w:rsidRDefault="00E13A38" w:rsidP="00E13A38">
      <w:pPr>
        <w:spacing w:after="0"/>
        <w:rPr>
          <w:rFonts w:ascii="Arial" w:eastAsia="Arial" w:hAnsi="Arial" w:cs="Arial"/>
          <w:sz w:val="20"/>
          <w:szCs w:val="20"/>
        </w:rPr>
      </w:pPr>
      <w:r>
        <w:rPr>
          <w:rFonts w:ascii="Arial" w:hAnsi="Arial"/>
          <w:sz w:val="20"/>
          <w:szCs w:val="20"/>
        </w:rPr>
        <w:t xml:space="preserve">Germania: </w:t>
      </w:r>
    </w:p>
    <w:p w14:paraId="3C935551" w14:textId="15C48432" w:rsidR="00E13A38" w:rsidRPr="00FA0CED" w:rsidRDefault="00833540" w:rsidP="00E13A38">
      <w:pPr>
        <w:spacing w:after="0"/>
        <w:rPr>
          <w:rFonts w:ascii="Arial" w:eastAsia="Arial" w:hAnsi="Arial" w:cs="Arial"/>
          <w:sz w:val="20"/>
          <w:szCs w:val="20"/>
          <w:lang w:val="en-US"/>
        </w:rPr>
      </w:pPr>
      <w:proofErr w:type="spellStart"/>
      <w:r w:rsidRPr="00FA0CED">
        <w:rPr>
          <w:rFonts w:ascii="Arial" w:hAnsi="Arial"/>
          <w:b/>
          <w:bCs/>
          <w:sz w:val="20"/>
          <w:szCs w:val="20"/>
          <w:lang w:val="en-US"/>
        </w:rPr>
        <w:t>Mareike</w:t>
      </w:r>
      <w:proofErr w:type="spellEnd"/>
      <w:r w:rsidRPr="00FA0CED">
        <w:rPr>
          <w:rFonts w:ascii="Arial" w:hAnsi="Arial"/>
          <w:b/>
          <w:bCs/>
          <w:sz w:val="20"/>
          <w:szCs w:val="20"/>
          <w:lang w:val="en-US"/>
        </w:rPr>
        <w:t xml:space="preserve"> </w:t>
      </w:r>
      <w:proofErr w:type="spellStart"/>
      <w:r w:rsidRPr="00FA0CED">
        <w:rPr>
          <w:rFonts w:ascii="Arial" w:hAnsi="Arial"/>
          <w:b/>
          <w:bCs/>
          <w:sz w:val="20"/>
          <w:szCs w:val="20"/>
          <w:lang w:val="en-US"/>
        </w:rPr>
        <w:t>Inhoff</w:t>
      </w:r>
      <w:proofErr w:type="spellEnd"/>
    </w:p>
    <w:p w14:paraId="1D7572EC" w14:textId="77777777" w:rsidR="00E13A38" w:rsidRPr="00FA0CED" w:rsidRDefault="00E13A38" w:rsidP="00E13A38">
      <w:pPr>
        <w:spacing w:after="0"/>
        <w:rPr>
          <w:rFonts w:ascii="Arial" w:eastAsia="Arial" w:hAnsi="Arial" w:cs="Arial"/>
          <w:sz w:val="20"/>
          <w:szCs w:val="20"/>
          <w:lang w:val="en-US"/>
        </w:rPr>
      </w:pPr>
      <w:r w:rsidRPr="00FA0CED">
        <w:rPr>
          <w:rFonts w:ascii="Arial" w:hAnsi="Arial"/>
          <w:sz w:val="20"/>
          <w:szCs w:val="20"/>
          <w:lang w:val="en-US"/>
        </w:rPr>
        <w:t>PR Manager</w:t>
      </w:r>
    </w:p>
    <w:p w14:paraId="7FD0545E" w14:textId="001F8931" w:rsidR="00E13A38" w:rsidRPr="00FA0CED" w:rsidRDefault="00E13A38" w:rsidP="00E13A38">
      <w:pPr>
        <w:spacing w:after="0"/>
        <w:rPr>
          <w:rFonts w:ascii="Arial" w:eastAsia="Arial" w:hAnsi="Arial" w:cs="Arial"/>
          <w:sz w:val="20"/>
          <w:szCs w:val="20"/>
          <w:lang w:val="en-US"/>
        </w:rPr>
      </w:pPr>
      <w:r w:rsidRPr="00FA0CED">
        <w:rPr>
          <w:rFonts w:ascii="Arial" w:hAnsi="Arial"/>
          <w:sz w:val="20"/>
          <w:szCs w:val="20"/>
          <w:lang w:val="en-US"/>
        </w:rPr>
        <w:t xml:space="preserve">minhoff@v-er.eu </w:t>
      </w:r>
    </w:p>
    <w:p w14:paraId="5D4F21F2" w14:textId="77777777" w:rsidR="00E13A38" w:rsidRPr="00FA0CED" w:rsidRDefault="00E13A38" w:rsidP="00E13A38">
      <w:pPr>
        <w:spacing w:after="0"/>
        <w:rPr>
          <w:rFonts w:ascii="Arial" w:eastAsia="Arial" w:hAnsi="Arial" w:cs="Arial"/>
          <w:sz w:val="20"/>
          <w:szCs w:val="20"/>
          <w:lang w:val="en-US"/>
        </w:rPr>
      </w:pPr>
    </w:p>
    <w:p w14:paraId="13B910B2" w14:textId="77777777" w:rsidR="00E13A38" w:rsidRPr="00FA0CED" w:rsidRDefault="00E13A38" w:rsidP="00E13A38">
      <w:pPr>
        <w:spacing w:after="0"/>
        <w:rPr>
          <w:rFonts w:ascii="Arial" w:eastAsia="Arial" w:hAnsi="Arial" w:cs="Arial"/>
          <w:b/>
          <w:bCs/>
          <w:sz w:val="20"/>
          <w:szCs w:val="20"/>
          <w:lang w:val="en-US"/>
        </w:rPr>
      </w:pPr>
      <w:r w:rsidRPr="00FA0CED">
        <w:rPr>
          <w:rFonts w:ascii="Arial" w:hAnsi="Arial"/>
          <w:b/>
          <w:bCs/>
          <w:sz w:val="20"/>
          <w:szCs w:val="20"/>
          <w:lang w:val="en-US"/>
        </w:rPr>
        <w:t xml:space="preserve">Doreen </w:t>
      </w:r>
      <w:proofErr w:type="spellStart"/>
      <w:r w:rsidRPr="00FA0CED">
        <w:rPr>
          <w:rFonts w:ascii="Arial" w:hAnsi="Arial"/>
          <w:b/>
          <w:bCs/>
          <w:sz w:val="20"/>
          <w:szCs w:val="20"/>
          <w:lang w:val="en-US"/>
        </w:rPr>
        <w:t>Rietentiet</w:t>
      </w:r>
      <w:proofErr w:type="spellEnd"/>
    </w:p>
    <w:p w14:paraId="679AA155" w14:textId="77777777" w:rsidR="00E13A38" w:rsidRPr="00FA0CED" w:rsidRDefault="00E13A38" w:rsidP="00E13A38">
      <w:pPr>
        <w:spacing w:after="0"/>
        <w:rPr>
          <w:rFonts w:ascii="Arial" w:eastAsia="Arial" w:hAnsi="Arial" w:cs="Arial"/>
          <w:sz w:val="20"/>
          <w:szCs w:val="20"/>
          <w:lang w:val="en-US"/>
        </w:rPr>
      </w:pPr>
      <w:r w:rsidRPr="00FA0CED">
        <w:rPr>
          <w:rFonts w:ascii="Arial" w:hAnsi="Arial"/>
          <w:sz w:val="20"/>
          <w:szCs w:val="20"/>
          <w:lang w:val="en-US"/>
        </w:rPr>
        <w:t>DWR Eco</w:t>
      </w:r>
    </w:p>
    <w:p w14:paraId="7641A3F0" w14:textId="04647466" w:rsidR="00E13A38" w:rsidRPr="00FA0CED" w:rsidRDefault="00E13A38" w:rsidP="00E13A38">
      <w:pPr>
        <w:spacing w:after="0"/>
        <w:rPr>
          <w:rFonts w:ascii="Arial" w:eastAsia="Arial" w:hAnsi="Arial" w:cs="Arial"/>
          <w:sz w:val="20"/>
          <w:szCs w:val="20"/>
          <w:lang w:val="en-US"/>
        </w:rPr>
      </w:pPr>
      <w:r w:rsidRPr="00FA0CED">
        <w:rPr>
          <w:rFonts w:ascii="Arial" w:hAnsi="Arial"/>
          <w:sz w:val="20"/>
          <w:szCs w:val="20"/>
          <w:lang w:val="en-US"/>
        </w:rPr>
        <w:t xml:space="preserve">rietentiet@dwr-eco.com </w:t>
      </w:r>
    </w:p>
    <w:p w14:paraId="39F6E8F4" w14:textId="4057B0E1" w:rsidR="007A4611" w:rsidRPr="006152A9" w:rsidRDefault="007A4611" w:rsidP="005062F7">
      <w:pPr>
        <w:spacing w:after="0"/>
        <w:rPr>
          <w:rFonts w:ascii="Arial" w:eastAsia="Arial" w:hAnsi="Arial" w:cs="Arial"/>
          <w:sz w:val="20"/>
          <w:szCs w:val="20"/>
          <w:lang w:val="es-ES"/>
        </w:rPr>
      </w:pPr>
    </w:p>
    <w:p w14:paraId="3C15B27F" w14:textId="1DF73305" w:rsidR="00833540" w:rsidRPr="00FA0CED" w:rsidRDefault="00833540" w:rsidP="00833540">
      <w:pPr>
        <w:spacing w:after="0"/>
        <w:rPr>
          <w:rFonts w:ascii="Arial" w:eastAsia="Arial" w:hAnsi="Arial" w:cs="Arial"/>
          <w:sz w:val="20"/>
          <w:szCs w:val="20"/>
          <w:lang w:val="en-US"/>
        </w:rPr>
      </w:pPr>
      <w:r w:rsidRPr="00FA0CED">
        <w:rPr>
          <w:rFonts w:ascii="Arial" w:hAnsi="Arial"/>
          <w:sz w:val="20"/>
          <w:szCs w:val="20"/>
          <w:lang w:val="en-US"/>
        </w:rPr>
        <w:t xml:space="preserve">Australia: </w:t>
      </w:r>
    </w:p>
    <w:p w14:paraId="0BCFD30C" w14:textId="77777777" w:rsidR="00833540" w:rsidRPr="00FA0CED" w:rsidRDefault="00833540" w:rsidP="00833540">
      <w:pPr>
        <w:spacing w:after="0"/>
        <w:rPr>
          <w:rFonts w:ascii="Arial" w:eastAsia="Arial" w:hAnsi="Arial" w:cs="Arial"/>
          <w:b/>
          <w:bCs/>
          <w:sz w:val="20"/>
          <w:szCs w:val="20"/>
          <w:lang w:val="en-US"/>
        </w:rPr>
      </w:pPr>
      <w:r w:rsidRPr="00FA0CED">
        <w:rPr>
          <w:rFonts w:ascii="Arial" w:hAnsi="Arial"/>
          <w:b/>
          <w:bCs/>
          <w:sz w:val="20"/>
          <w:szCs w:val="20"/>
          <w:lang w:val="en-US"/>
        </w:rPr>
        <w:t xml:space="preserve">Annabel </w:t>
      </w:r>
      <w:proofErr w:type="spellStart"/>
      <w:r w:rsidRPr="00FA0CED">
        <w:rPr>
          <w:rFonts w:ascii="Arial" w:hAnsi="Arial"/>
          <w:b/>
          <w:bCs/>
          <w:sz w:val="20"/>
          <w:szCs w:val="20"/>
          <w:lang w:val="en-US"/>
        </w:rPr>
        <w:t>Roedhammer</w:t>
      </w:r>
      <w:proofErr w:type="spellEnd"/>
    </w:p>
    <w:p w14:paraId="7751B736" w14:textId="45E55C2C" w:rsidR="00833540" w:rsidRPr="00FA0CED" w:rsidRDefault="00833540" w:rsidP="00833540">
      <w:pPr>
        <w:spacing w:after="0"/>
        <w:rPr>
          <w:rFonts w:ascii="Arial" w:eastAsia="Arial" w:hAnsi="Arial" w:cs="Arial"/>
          <w:sz w:val="20"/>
          <w:szCs w:val="20"/>
          <w:lang w:val="en-US"/>
        </w:rPr>
      </w:pPr>
      <w:r w:rsidRPr="00FA0CED">
        <w:rPr>
          <w:rFonts w:ascii="Arial" w:hAnsi="Arial"/>
          <w:sz w:val="20"/>
          <w:szCs w:val="20"/>
          <w:lang w:val="en-US"/>
        </w:rPr>
        <w:t>Head of Investor Relations (Media and PR APAC)</w:t>
      </w:r>
    </w:p>
    <w:p w14:paraId="3F0D2DE6" w14:textId="454506EC" w:rsidR="00833540" w:rsidRPr="006152A9" w:rsidRDefault="00833540" w:rsidP="00833540">
      <w:pPr>
        <w:spacing w:after="0"/>
        <w:rPr>
          <w:rFonts w:ascii="Arial" w:eastAsia="Arial" w:hAnsi="Arial" w:cs="Arial"/>
          <w:sz w:val="20"/>
          <w:szCs w:val="20"/>
        </w:rPr>
      </w:pPr>
      <w:r>
        <w:rPr>
          <w:rFonts w:ascii="Arial" w:hAnsi="Arial"/>
          <w:sz w:val="20"/>
          <w:szCs w:val="20"/>
        </w:rPr>
        <w:t>aroedhammer@v-er.eu</w:t>
      </w:r>
    </w:p>
    <w:p w14:paraId="276D8BAE" w14:textId="45C6995E" w:rsidR="00833540" w:rsidRPr="006152A9" w:rsidRDefault="00833540" w:rsidP="00833540">
      <w:pPr>
        <w:spacing w:after="0"/>
        <w:rPr>
          <w:rFonts w:ascii="Arial" w:eastAsia="Arial" w:hAnsi="Arial" w:cs="Arial"/>
          <w:sz w:val="20"/>
          <w:szCs w:val="20"/>
        </w:rPr>
      </w:pPr>
      <w:r>
        <w:rPr>
          <w:rFonts w:ascii="Arial" w:hAnsi="Arial"/>
          <w:sz w:val="20"/>
          <w:szCs w:val="20"/>
        </w:rPr>
        <w:t xml:space="preserve">+61 (0) 428 520 107 </w:t>
      </w:r>
    </w:p>
    <w:p w14:paraId="7F297DC1" w14:textId="75CA4E7F" w:rsidR="00833540" w:rsidRPr="00FA0CED" w:rsidRDefault="00833540" w:rsidP="005062F7">
      <w:pPr>
        <w:spacing w:after="0"/>
        <w:rPr>
          <w:rFonts w:ascii="Arial" w:eastAsia="Arial" w:hAnsi="Arial" w:cs="Arial"/>
          <w:sz w:val="22"/>
          <w:szCs w:val="22"/>
        </w:rPr>
      </w:pPr>
    </w:p>
    <w:p w14:paraId="20242D88" w14:textId="26F3808A" w:rsidR="0078303E" w:rsidRPr="006152A9" w:rsidRDefault="0078303E" w:rsidP="005062F7">
      <w:pPr>
        <w:spacing w:after="0"/>
        <w:rPr>
          <w:rFonts w:ascii="Arial" w:eastAsia="Arial" w:hAnsi="Arial" w:cs="Arial"/>
          <w:sz w:val="22"/>
          <w:szCs w:val="22"/>
        </w:rPr>
      </w:pPr>
    </w:p>
    <w:p w14:paraId="5F6E401F" w14:textId="77777777" w:rsidR="00E74AFE" w:rsidRPr="006152A9" w:rsidRDefault="00E74AFE">
      <w:pPr>
        <w:rPr>
          <w:rFonts w:ascii="Arial" w:eastAsia="Arial" w:hAnsi="Arial" w:cs="Arial"/>
          <w:b/>
          <w:bCs/>
          <w:sz w:val="22"/>
          <w:szCs w:val="22"/>
        </w:rPr>
      </w:pPr>
      <w:r>
        <w:br w:type="page"/>
      </w:r>
    </w:p>
    <w:p w14:paraId="58E9F144" w14:textId="43754823" w:rsidR="00C611D9" w:rsidRPr="006152A9" w:rsidRDefault="00C611D9" w:rsidP="00C611D9">
      <w:pPr>
        <w:spacing w:after="0"/>
        <w:rPr>
          <w:rFonts w:ascii="Arial" w:eastAsia="Arial" w:hAnsi="Arial" w:cs="Arial"/>
          <w:b/>
          <w:bCs/>
          <w:sz w:val="18"/>
          <w:szCs w:val="18"/>
        </w:rPr>
      </w:pPr>
      <w:r>
        <w:rPr>
          <w:rFonts w:ascii="Arial" w:hAnsi="Arial"/>
          <w:b/>
          <w:bCs/>
          <w:sz w:val="18"/>
          <w:szCs w:val="18"/>
        </w:rPr>
        <w:lastRenderedPageBreak/>
        <w:t>DICHIARAZIONI PREVISIONALI</w:t>
      </w:r>
      <w:r w:rsidR="00C064FB">
        <w:rPr>
          <w:rFonts w:ascii="Arial" w:hAnsi="Arial"/>
          <w:b/>
          <w:bCs/>
          <w:sz w:val="18"/>
          <w:szCs w:val="18"/>
        </w:rPr>
        <w:t xml:space="preserve"> DI STELLANTIS</w:t>
      </w:r>
    </w:p>
    <w:p w14:paraId="21D9900D" w14:textId="6534981B" w:rsidR="00C611D9" w:rsidRPr="006152A9" w:rsidRDefault="00C611D9" w:rsidP="00C611D9">
      <w:pPr>
        <w:spacing w:after="0"/>
        <w:rPr>
          <w:rFonts w:ascii="Arial" w:eastAsia="Arial" w:hAnsi="Arial" w:cs="Arial"/>
          <w:i/>
          <w:sz w:val="18"/>
          <w:szCs w:val="18"/>
        </w:rPr>
      </w:pPr>
      <w:r>
        <w:rPr>
          <w:rFonts w:ascii="Arial" w:hAnsi="Arial"/>
          <w:i/>
          <w:sz w:val="18"/>
          <w:szCs w:val="18"/>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w:t>
      </w:r>
      <w:r w:rsidR="0094419E">
        <w:rPr>
          <w:rFonts w:ascii="Arial" w:hAnsi="Arial"/>
          <w:i/>
          <w:sz w:val="18"/>
          <w:szCs w:val="18"/>
        </w:rPr>
        <w:t>“</w:t>
      </w:r>
      <w:r>
        <w:rPr>
          <w:rFonts w:ascii="Arial" w:hAnsi="Arial"/>
          <w:i/>
          <w:sz w:val="18"/>
          <w:szCs w:val="18"/>
        </w:rPr>
        <w:t>possono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saranno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prevedono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potrebbero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dovrebbero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intendono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stimano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anticipano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credono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rimangono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sulla buona strada</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progettano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obiettivo</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previsione</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proiezione</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prospettiva</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prospettive</w:t>
      </w:r>
      <w:r w:rsidR="0094419E">
        <w:rPr>
          <w:rFonts w:ascii="Arial" w:hAnsi="Arial"/>
          <w:i/>
          <w:sz w:val="18"/>
          <w:szCs w:val="18"/>
        </w:rPr>
        <w:t>”</w:t>
      </w:r>
      <w:r>
        <w:rPr>
          <w:rFonts w:ascii="Arial" w:hAnsi="Arial"/>
          <w:i/>
          <w:sz w:val="18"/>
          <w:szCs w:val="18"/>
        </w:rPr>
        <w:t xml:space="preserve">, </w:t>
      </w:r>
      <w:r w:rsidR="0094419E">
        <w:rPr>
          <w:rFonts w:ascii="Arial" w:hAnsi="Arial"/>
          <w:i/>
          <w:sz w:val="18"/>
          <w:szCs w:val="18"/>
        </w:rPr>
        <w:t>“</w:t>
      </w:r>
      <w:r>
        <w:rPr>
          <w:rFonts w:ascii="Arial" w:hAnsi="Arial"/>
          <w:i/>
          <w:sz w:val="18"/>
          <w:szCs w:val="18"/>
        </w:rPr>
        <w:t>piano</w:t>
      </w:r>
      <w:r w:rsidR="0094419E">
        <w:rPr>
          <w:rFonts w:ascii="Arial" w:hAnsi="Arial"/>
          <w:i/>
          <w:sz w:val="18"/>
          <w:szCs w:val="18"/>
        </w:rPr>
        <w:t>”</w:t>
      </w:r>
      <w:r>
        <w:rPr>
          <w:rFonts w:ascii="Arial" w:hAnsi="Arial"/>
          <w:i/>
          <w:sz w:val="18"/>
          <w:szCs w:val="18"/>
        </w:rPr>
        <w:t xml:space="preserve">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1E05AD0C" w14:textId="77777777" w:rsidR="006152A9" w:rsidRPr="006152A9" w:rsidRDefault="006152A9" w:rsidP="00C611D9">
      <w:pPr>
        <w:spacing w:after="0"/>
        <w:rPr>
          <w:rFonts w:ascii="Arial" w:eastAsia="Arial" w:hAnsi="Arial" w:cs="Arial"/>
          <w:i/>
          <w:sz w:val="18"/>
          <w:szCs w:val="18"/>
        </w:rPr>
      </w:pPr>
    </w:p>
    <w:p w14:paraId="32780E1A" w14:textId="5ACC547D" w:rsidR="00C611D9" w:rsidRPr="006152A9" w:rsidRDefault="00C611D9" w:rsidP="00C611D9">
      <w:pPr>
        <w:spacing w:after="0"/>
        <w:rPr>
          <w:rFonts w:ascii="Arial" w:eastAsia="Arial" w:hAnsi="Arial" w:cs="Arial"/>
          <w:i/>
          <w:sz w:val="18"/>
          <w:szCs w:val="18"/>
        </w:rPr>
      </w:pPr>
      <w:r>
        <w:rPr>
          <w:rFonts w:ascii="Arial" w:hAnsi="Arial"/>
          <w:i/>
          <w:sz w:val="18"/>
          <w:szCs w:val="18"/>
        </w:rPr>
        <w:t xml:space="preserve">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w:t>
      </w:r>
      <w:proofErr w:type="spellStart"/>
      <w:r>
        <w:rPr>
          <w:rFonts w:ascii="Arial" w:hAnsi="Arial"/>
          <w:i/>
          <w:sz w:val="18"/>
          <w:szCs w:val="18"/>
        </w:rPr>
        <w:t>technology</w:t>
      </w:r>
      <w:proofErr w:type="spellEnd"/>
      <w:r>
        <w:rPr>
          <w:rFonts w:ascii="Arial" w:hAnsi="Arial"/>
          <w:i/>
          <w:sz w:val="18"/>
          <w:szCs w:val="18"/>
        </w:rPr>
        <w:t xml:space="preserve">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p>
    <w:p w14:paraId="6BD222EA" w14:textId="77777777" w:rsidR="006152A9" w:rsidRPr="006152A9" w:rsidRDefault="006152A9" w:rsidP="00C611D9">
      <w:pPr>
        <w:spacing w:after="0"/>
        <w:rPr>
          <w:rFonts w:ascii="Arial" w:eastAsia="Arial" w:hAnsi="Arial" w:cs="Arial"/>
          <w:i/>
          <w:sz w:val="18"/>
          <w:szCs w:val="18"/>
        </w:rPr>
      </w:pPr>
    </w:p>
    <w:p w14:paraId="42C1CAF2" w14:textId="77777777" w:rsidR="00C611D9" w:rsidRPr="006152A9" w:rsidRDefault="00C611D9" w:rsidP="00C611D9">
      <w:pPr>
        <w:spacing w:after="0"/>
        <w:rPr>
          <w:rFonts w:ascii="Arial" w:eastAsia="Arial" w:hAnsi="Arial" w:cs="Arial"/>
          <w:sz w:val="18"/>
          <w:szCs w:val="18"/>
        </w:rPr>
      </w:pPr>
      <w:r>
        <w:rPr>
          <w:rFonts w:ascii="Arial" w:hAnsi="Arial"/>
          <w:i/>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p w14:paraId="12AB9C3B" w14:textId="77777777" w:rsidR="00433E8D" w:rsidRPr="006152A9" w:rsidRDefault="00433E8D" w:rsidP="005062F7">
      <w:pPr>
        <w:spacing w:after="0"/>
        <w:rPr>
          <w:rFonts w:ascii="Arial" w:eastAsia="Arial" w:hAnsi="Arial" w:cs="Arial"/>
          <w:sz w:val="18"/>
          <w:szCs w:val="18"/>
        </w:rPr>
      </w:pPr>
    </w:p>
    <w:p w14:paraId="252BA1DB" w14:textId="77777777" w:rsidR="00587BA7" w:rsidRPr="00FA0CED" w:rsidRDefault="00587BA7" w:rsidP="007A4611">
      <w:pPr>
        <w:spacing w:after="0"/>
        <w:rPr>
          <w:rFonts w:ascii="Arial" w:eastAsiaTheme="minorEastAsia" w:hAnsi="Arial" w:cs="Arial"/>
          <w:b/>
          <w:sz w:val="18"/>
          <w:szCs w:val="18"/>
        </w:rPr>
      </w:pPr>
    </w:p>
    <w:p w14:paraId="42A9FC18" w14:textId="77777777" w:rsidR="006152A9" w:rsidRPr="00FA0CED" w:rsidRDefault="006152A9" w:rsidP="007A4611">
      <w:pPr>
        <w:spacing w:after="0"/>
        <w:rPr>
          <w:rFonts w:ascii="Arial" w:eastAsiaTheme="minorEastAsia" w:hAnsi="Arial" w:cs="Arial"/>
          <w:b/>
          <w:sz w:val="18"/>
          <w:szCs w:val="18"/>
        </w:rPr>
      </w:pPr>
    </w:p>
    <w:p w14:paraId="3C597C4F" w14:textId="77777777" w:rsidR="006152A9" w:rsidRPr="00FA0CED" w:rsidRDefault="006152A9" w:rsidP="007A4611">
      <w:pPr>
        <w:spacing w:after="0"/>
        <w:rPr>
          <w:rFonts w:ascii="Arial" w:eastAsiaTheme="minorEastAsia" w:hAnsi="Arial" w:cs="Arial"/>
          <w:b/>
          <w:sz w:val="18"/>
          <w:szCs w:val="18"/>
        </w:rPr>
      </w:pPr>
    </w:p>
    <w:p w14:paraId="6E4A0E69" w14:textId="79D139D4" w:rsidR="007A4611" w:rsidRPr="006152A9" w:rsidRDefault="00F1556C" w:rsidP="007A4611">
      <w:pPr>
        <w:spacing w:after="0"/>
        <w:rPr>
          <w:rFonts w:ascii="Arial" w:eastAsiaTheme="minorEastAsia" w:hAnsi="Arial" w:cs="Arial"/>
          <w:b/>
          <w:sz w:val="18"/>
          <w:szCs w:val="18"/>
        </w:rPr>
      </w:pPr>
      <w:r>
        <w:rPr>
          <w:rFonts w:ascii="Arial" w:hAnsi="Arial"/>
          <w:b/>
          <w:sz w:val="18"/>
          <w:szCs w:val="18"/>
        </w:rPr>
        <w:t>DISCLAIMER</w:t>
      </w:r>
      <w:r w:rsidR="00C064FB">
        <w:rPr>
          <w:rFonts w:ascii="Arial" w:hAnsi="Arial"/>
          <w:b/>
          <w:sz w:val="18"/>
          <w:szCs w:val="18"/>
        </w:rPr>
        <w:t xml:space="preserve"> DI VULCAN</w:t>
      </w:r>
    </w:p>
    <w:p w14:paraId="2A17D2CC" w14:textId="1E3C457C" w:rsidR="007A4611" w:rsidRPr="0090708E" w:rsidRDefault="007A4611" w:rsidP="007A4611">
      <w:pPr>
        <w:spacing w:after="0"/>
        <w:rPr>
          <w:rFonts w:ascii="Arial" w:eastAsiaTheme="minorEastAsia" w:hAnsi="Arial" w:cs="Arial"/>
          <w:i/>
          <w:iCs/>
          <w:sz w:val="18"/>
          <w:szCs w:val="18"/>
        </w:rPr>
      </w:pPr>
      <w:r w:rsidRPr="0090708E">
        <w:rPr>
          <w:rFonts w:ascii="Arial" w:hAnsi="Arial"/>
          <w:i/>
          <w:iCs/>
          <w:sz w:val="18"/>
          <w:szCs w:val="18"/>
        </w:rPr>
        <w:t xml:space="preserve">Alcune delle dichiarazioni che compaiono in questo annuncio possono avere natura di dichiarazioni previsionali. Si fa presente che tali dichiarazioni sono soltanto previsioni e sono intrinsecamente soggette a rischi e incertezze. Tali rischi e incertezze includono fattori e rischi specifici dei settori in cui Vulcan opera e si propone di operare nonché, tra altri fattori, le condizioni economiche generali, i tassi di cambio prevalenti, i tassi di interesse e le condizioni dei mercati finanziari. Gli eventi o i risultati effettivi potrebbero differire sostanzialmente dagli eventi o dai risultati espressi o impliciti in qualsiasi dichiarazione previsionale. Nessuna dichiarazione previsionale rappresenta una garanzia o una dichiarazione relativa a prestazioni future o ad altre materie future che saranno influenzate da una serie di fattori e soggette a </w:t>
      </w:r>
      <w:r w:rsidR="00FA0CED" w:rsidRPr="0090708E">
        <w:rPr>
          <w:rFonts w:ascii="Arial" w:hAnsi="Arial"/>
          <w:i/>
          <w:iCs/>
          <w:sz w:val="18"/>
          <w:szCs w:val="18"/>
        </w:rPr>
        <w:t>varie incertezze</w:t>
      </w:r>
      <w:r w:rsidRPr="0090708E">
        <w:rPr>
          <w:rFonts w:ascii="Arial" w:hAnsi="Arial"/>
          <w:i/>
          <w:iCs/>
          <w:sz w:val="18"/>
          <w:szCs w:val="18"/>
        </w:rPr>
        <w:t xml:space="preserve"> e contingenze, molte delle quali saranno al di fuori del controllo di Vulcan.</w:t>
      </w:r>
    </w:p>
    <w:p w14:paraId="6EFEB14D" w14:textId="77777777" w:rsidR="007A4611" w:rsidRPr="0090708E" w:rsidRDefault="007A4611" w:rsidP="007A4611">
      <w:pPr>
        <w:spacing w:after="0"/>
        <w:rPr>
          <w:rFonts w:ascii="Arial" w:eastAsiaTheme="minorEastAsia" w:hAnsi="Arial" w:cs="Arial"/>
          <w:i/>
          <w:iCs/>
          <w:sz w:val="18"/>
          <w:szCs w:val="18"/>
        </w:rPr>
      </w:pPr>
    </w:p>
    <w:p w14:paraId="3BE4C4F8" w14:textId="239EC865" w:rsidR="007A4611" w:rsidRPr="0090708E" w:rsidRDefault="007A4611" w:rsidP="007A4611">
      <w:pPr>
        <w:spacing w:after="0"/>
        <w:rPr>
          <w:rFonts w:ascii="Arial" w:eastAsiaTheme="minorEastAsia" w:hAnsi="Arial" w:cs="Arial"/>
          <w:i/>
          <w:iCs/>
          <w:sz w:val="18"/>
          <w:szCs w:val="18"/>
        </w:rPr>
      </w:pPr>
      <w:r w:rsidRPr="0090708E">
        <w:rPr>
          <w:rFonts w:ascii="Arial" w:hAnsi="Arial"/>
          <w:i/>
          <w:iCs/>
          <w:sz w:val="18"/>
          <w:szCs w:val="18"/>
        </w:rPr>
        <w:t xml:space="preserve">Vulcan non si assume alcun obbligo di aggiornare pubblicamente o emanare alcuna revisione alle presenti dichiarazioni previsionali per riflettere eventi o circostanze sopravvenuti dopo la data odierna o per riflettere il verificarsi di eventi imprevisti. Non viene espressa alcuna dichiarazione o garanzia, esplicita o implicita, riguardante l’equità, l’accuratezza, la completezza o la correttezza delle informazioni, opinioni o conclusioni contenute nel presente annuncio. Nella misura massima consentita dalla legge, nessun rappresentante di Vulcan, compresi i suoi amministratori, dipendenti, consulenti o agenti, né qualsiasi altra persona si assume alcuna responsabilità per eventuali perdite derivanti dall’uso delle informazioni contenute nel presente annuncio. Si raccomanda di non fare eccessivo affidamento su alcuna dichiarazione previsionale. </w:t>
      </w:r>
      <w:r w:rsidRPr="0090708E">
        <w:rPr>
          <w:rFonts w:ascii="Arial" w:hAnsi="Arial"/>
          <w:i/>
          <w:iCs/>
          <w:sz w:val="18"/>
          <w:szCs w:val="18"/>
        </w:rPr>
        <w:lastRenderedPageBreak/>
        <w:t>Le dichiarazioni previsionali contenute in questo annuncio riflettono vedute esistenti soltanto alla data dell’annuncio stesso.</w:t>
      </w:r>
    </w:p>
    <w:p w14:paraId="1D7A8A15" w14:textId="77777777" w:rsidR="00E74AFE" w:rsidRPr="0090708E" w:rsidRDefault="00E74AFE" w:rsidP="007A4611">
      <w:pPr>
        <w:spacing w:after="0"/>
        <w:rPr>
          <w:rFonts w:ascii="Arial" w:eastAsiaTheme="minorEastAsia" w:hAnsi="Arial" w:cs="Arial"/>
          <w:i/>
          <w:iCs/>
          <w:sz w:val="18"/>
          <w:szCs w:val="18"/>
        </w:rPr>
      </w:pPr>
    </w:p>
    <w:p w14:paraId="52652A72" w14:textId="77777777" w:rsidR="007A4611" w:rsidRPr="0090708E" w:rsidRDefault="007A4611" w:rsidP="007A4611">
      <w:pPr>
        <w:spacing w:after="0"/>
        <w:rPr>
          <w:rFonts w:ascii="Arial" w:eastAsiaTheme="minorEastAsia" w:hAnsi="Arial" w:cs="Arial"/>
          <w:i/>
          <w:iCs/>
          <w:sz w:val="18"/>
          <w:szCs w:val="18"/>
        </w:rPr>
      </w:pPr>
      <w:r w:rsidRPr="0090708E">
        <w:rPr>
          <w:rFonts w:ascii="Arial" w:hAnsi="Arial"/>
          <w:i/>
          <w:iCs/>
          <w:sz w:val="18"/>
          <w:szCs w:val="18"/>
        </w:rPr>
        <w:t>Il presente annuncio non costituisce un'offerta, un invito o una raccomandazione a sottoscrivere o acquistare titoli di Vulcan. Analogamente, il presente annuncio non costituisce una consulenza relativa a investimenti o prodotti finanziari (né una consulenza in materia fiscale, contabile o legale) e non è destinato a essere utilizzato come base per assumere decisioni di investimento. Gli investitori dovrebbero richiedere personalmente una propria consulenza prima di operare qualsiasi decisione di investimento.</w:t>
      </w:r>
    </w:p>
    <w:p w14:paraId="0E1A34C7" w14:textId="77777777" w:rsidR="007A4611" w:rsidRPr="0090708E" w:rsidRDefault="007A4611" w:rsidP="007A4611">
      <w:pPr>
        <w:spacing w:after="0"/>
        <w:rPr>
          <w:rFonts w:ascii="Arial" w:eastAsiaTheme="minorEastAsia" w:hAnsi="Arial" w:cs="Arial"/>
          <w:i/>
          <w:iCs/>
          <w:sz w:val="18"/>
          <w:szCs w:val="18"/>
        </w:rPr>
      </w:pPr>
    </w:p>
    <w:p w14:paraId="1E677636" w14:textId="77777777" w:rsidR="007A4611" w:rsidRPr="0090708E" w:rsidRDefault="007A4611" w:rsidP="007A4611">
      <w:pPr>
        <w:spacing w:after="0"/>
        <w:rPr>
          <w:rFonts w:ascii="Arial" w:eastAsiaTheme="minorEastAsia" w:hAnsi="Arial" w:cs="Arial"/>
          <w:i/>
          <w:iCs/>
          <w:sz w:val="18"/>
          <w:szCs w:val="18"/>
        </w:rPr>
      </w:pPr>
      <w:r w:rsidRPr="0090708E">
        <w:rPr>
          <w:rFonts w:ascii="Arial" w:hAnsi="Arial"/>
          <w:i/>
          <w:iCs/>
          <w:sz w:val="18"/>
          <w:szCs w:val="18"/>
        </w:rPr>
        <w:t>Dichiarazione della persona competente:</w:t>
      </w:r>
    </w:p>
    <w:p w14:paraId="022EA6C6" w14:textId="661EE030" w:rsidR="007A4611" w:rsidRPr="0090708E" w:rsidRDefault="007A4611" w:rsidP="007A4611">
      <w:pPr>
        <w:spacing w:after="0"/>
        <w:rPr>
          <w:rFonts w:ascii="Arial" w:eastAsiaTheme="minorEastAsia" w:hAnsi="Arial" w:cs="Arial"/>
          <w:i/>
          <w:iCs/>
          <w:sz w:val="18"/>
          <w:szCs w:val="18"/>
        </w:rPr>
      </w:pPr>
      <w:r w:rsidRPr="0090708E">
        <w:rPr>
          <w:rFonts w:ascii="Arial" w:hAnsi="Arial"/>
          <w:i/>
          <w:iCs/>
          <w:sz w:val="18"/>
          <w:szCs w:val="18"/>
        </w:rPr>
        <w:t xml:space="preserve">Le informazioni contenute in questo report riguardanti (rispettivamente) le risorse minerarie e le riserve di minerali del progetto Zero Carbon </w:t>
      </w:r>
      <w:proofErr w:type="spellStart"/>
      <w:r w:rsidRPr="0090708E">
        <w:rPr>
          <w:rFonts w:ascii="Arial" w:hAnsi="Arial"/>
          <w:i/>
          <w:iCs/>
          <w:sz w:val="18"/>
          <w:szCs w:val="18"/>
        </w:rPr>
        <w:t>Lithium</w:t>
      </w:r>
      <w:r w:rsidRPr="0090708E">
        <w:rPr>
          <w:rFonts w:ascii="Arial" w:hAnsi="Arial"/>
          <w:i/>
          <w:iCs/>
          <w:sz w:val="18"/>
          <w:szCs w:val="18"/>
          <w:vertAlign w:val="superscript"/>
        </w:rPr>
        <w:t>TM</w:t>
      </w:r>
      <w:proofErr w:type="spellEnd"/>
      <w:r w:rsidRPr="0090708E">
        <w:rPr>
          <w:rFonts w:ascii="Arial" w:hAnsi="Arial"/>
          <w:i/>
          <w:iCs/>
          <w:sz w:val="18"/>
          <w:szCs w:val="18"/>
        </w:rPr>
        <w:t xml:space="preserve"> della società sono estratte dagli annunci ASX emanati da Vulcan il 15 dicembre 2020 (</w:t>
      </w:r>
      <w:r w:rsidR="0094419E">
        <w:rPr>
          <w:rFonts w:ascii="Arial" w:hAnsi="Arial"/>
          <w:i/>
          <w:iCs/>
          <w:sz w:val="18"/>
          <w:szCs w:val="18"/>
        </w:rPr>
        <w:t>“</w:t>
      </w:r>
      <w:proofErr w:type="spellStart"/>
      <w:r w:rsidRPr="0090708E">
        <w:rPr>
          <w:rFonts w:ascii="Arial" w:hAnsi="Arial"/>
          <w:i/>
          <w:iCs/>
          <w:sz w:val="18"/>
          <w:szCs w:val="18"/>
        </w:rPr>
        <w:t>Updated</w:t>
      </w:r>
      <w:proofErr w:type="spellEnd"/>
      <w:r w:rsidRPr="0090708E">
        <w:rPr>
          <w:rFonts w:ascii="Arial" w:hAnsi="Arial"/>
          <w:i/>
          <w:iCs/>
          <w:sz w:val="18"/>
          <w:szCs w:val="18"/>
        </w:rPr>
        <w:t xml:space="preserve"> </w:t>
      </w:r>
      <w:proofErr w:type="spellStart"/>
      <w:r w:rsidRPr="0090708E">
        <w:rPr>
          <w:rFonts w:ascii="Arial" w:hAnsi="Arial"/>
          <w:i/>
          <w:iCs/>
          <w:sz w:val="18"/>
          <w:szCs w:val="18"/>
        </w:rPr>
        <w:t>Ortenau</w:t>
      </w:r>
      <w:proofErr w:type="spellEnd"/>
      <w:r w:rsidRPr="0090708E">
        <w:rPr>
          <w:rFonts w:ascii="Arial" w:hAnsi="Arial"/>
          <w:i/>
          <w:iCs/>
          <w:sz w:val="18"/>
          <w:szCs w:val="18"/>
        </w:rPr>
        <w:t xml:space="preserve"> </w:t>
      </w:r>
      <w:proofErr w:type="spellStart"/>
      <w:r w:rsidRPr="0090708E">
        <w:rPr>
          <w:rFonts w:ascii="Arial" w:hAnsi="Arial"/>
          <w:i/>
          <w:iCs/>
          <w:sz w:val="18"/>
          <w:szCs w:val="18"/>
        </w:rPr>
        <w:t>Indicated</w:t>
      </w:r>
      <w:proofErr w:type="spellEnd"/>
      <w:r w:rsidRPr="0090708E">
        <w:rPr>
          <w:rFonts w:ascii="Arial" w:hAnsi="Arial"/>
          <w:i/>
          <w:iCs/>
          <w:sz w:val="18"/>
          <w:szCs w:val="18"/>
        </w:rPr>
        <w:t xml:space="preserve"> and </w:t>
      </w:r>
      <w:proofErr w:type="spellStart"/>
      <w:r w:rsidRPr="0090708E">
        <w:rPr>
          <w:rFonts w:ascii="Arial" w:hAnsi="Arial"/>
          <w:i/>
          <w:iCs/>
          <w:sz w:val="18"/>
          <w:szCs w:val="18"/>
        </w:rPr>
        <w:t>Inferred</w:t>
      </w:r>
      <w:proofErr w:type="spellEnd"/>
      <w:r w:rsidRPr="0090708E">
        <w:rPr>
          <w:rFonts w:ascii="Arial" w:hAnsi="Arial"/>
          <w:i/>
          <w:iCs/>
          <w:sz w:val="18"/>
          <w:szCs w:val="18"/>
        </w:rPr>
        <w:t xml:space="preserve"> Resource</w:t>
      </w:r>
      <w:r w:rsidR="0094419E">
        <w:rPr>
          <w:rFonts w:ascii="Arial" w:hAnsi="Arial"/>
          <w:i/>
          <w:iCs/>
          <w:sz w:val="18"/>
          <w:szCs w:val="18"/>
        </w:rPr>
        <w:t>”</w:t>
      </w:r>
      <w:r w:rsidRPr="0090708E">
        <w:rPr>
          <w:rFonts w:ascii="Arial" w:hAnsi="Arial"/>
          <w:i/>
          <w:iCs/>
          <w:sz w:val="18"/>
          <w:szCs w:val="18"/>
        </w:rPr>
        <w:t>) e il 15 gennaio 2021 (</w:t>
      </w:r>
      <w:r w:rsidR="0094419E">
        <w:rPr>
          <w:rFonts w:ascii="Arial" w:hAnsi="Arial"/>
          <w:i/>
          <w:iCs/>
          <w:sz w:val="18"/>
          <w:szCs w:val="18"/>
        </w:rPr>
        <w:t>“</w:t>
      </w:r>
      <w:r w:rsidRPr="0090708E">
        <w:rPr>
          <w:rFonts w:ascii="Arial" w:hAnsi="Arial"/>
          <w:i/>
          <w:iCs/>
          <w:sz w:val="18"/>
          <w:szCs w:val="18"/>
        </w:rPr>
        <w:t xml:space="preserve">Positive </w:t>
      </w:r>
      <w:proofErr w:type="spellStart"/>
      <w:r w:rsidRPr="0090708E">
        <w:rPr>
          <w:rFonts w:ascii="Arial" w:hAnsi="Arial"/>
          <w:i/>
          <w:iCs/>
          <w:sz w:val="18"/>
          <w:szCs w:val="18"/>
        </w:rPr>
        <w:t>Pre-Feasibility</w:t>
      </w:r>
      <w:proofErr w:type="spellEnd"/>
      <w:r w:rsidRPr="0090708E">
        <w:rPr>
          <w:rFonts w:ascii="Arial" w:hAnsi="Arial"/>
          <w:i/>
          <w:iCs/>
          <w:sz w:val="18"/>
          <w:szCs w:val="18"/>
        </w:rPr>
        <w:t xml:space="preserve"> Study</w:t>
      </w:r>
      <w:r w:rsidR="0094419E">
        <w:rPr>
          <w:rFonts w:ascii="Arial" w:hAnsi="Arial"/>
          <w:i/>
          <w:iCs/>
          <w:sz w:val="18"/>
          <w:szCs w:val="18"/>
        </w:rPr>
        <w:t>”</w:t>
      </w:r>
      <w:r w:rsidRPr="0090708E">
        <w:rPr>
          <w:rFonts w:ascii="Arial" w:hAnsi="Arial"/>
          <w:i/>
          <w:iCs/>
          <w:sz w:val="18"/>
          <w:szCs w:val="18"/>
        </w:rPr>
        <w:t xml:space="preserve">), disponibili su www.v-er.eu. Le informazioni contenute in questo report che riguardano le risorse minerarie di </w:t>
      </w:r>
      <w:proofErr w:type="spellStart"/>
      <w:r w:rsidRPr="0090708E">
        <w:rPr>
          <w:rFonts w:ascii="Arial" w:hAnsi="Arial"/>
          <w:i/>
          <w:iCs/>
          <w:sz w:val="18"/>
          <w:szCs w:val="18"/>
        </w:rPr>
        <w:t>Insheim</w:t>
      </w:r>
      <w:proofErr w:type="spellEnd"/>
      <w:r w:rsidRPr="0090708E">
        <w:rPr>
          <w:rFonts w:ascii="Arial" w:hAnsi="Arial"/>
          <w:i/>
          <w:iCs/>
          <w:sz w:val="18"/>
          <w:szCs w:val="18"/>
        </w:rPr>
        <w:t xml:space="preserve"> sono estratte dall’annuncio ASX emanato da Vulcan il 20 gennaio 2020 (</w:t>
      </w:r>
      <w:r w:rsidR="0094419E">
        <w:rPr>
          <w:rFonts w:ascii="Arial" w:hAnsi="Arial"/>
          <w:i/>
          <w:iCs/>
          <w:sz w:val="18"/>
          <w:szCs w:val="18"/>
        </w:rPr>
        <w:t>“</w:t>
      </w:r>
      <w:r w:rsidRPr="0090708E">
        <w:rPr>
          <w:rFonts w:ascii="Arial" w:hAnsi="Arial"/>
          <w:i/>
          <w:iCs/>
          <w:sz w:val="18"/>
          <w:szCs w:val="18"/>
        </w:rPr>
        <w:t xml:space="preserve">Maiden </w:t>
      </w:r>
      <w:proofErr w:type="spellStart"/>
      <w:r w:rsidRPr="0090708E">
        <w:rPr>
          <w:rFonts w:ascii="Arial" w:hAnsi="Arial"/>
          <w:i/>
          <w:iCs/>
          <w:sz w:val="18"/>
          <w:szCs w:val="18"/>
        </w:rPr>
        <w:t>Indicated</w:t>
      </w:r>
      <w:proofErr w:type="spellEnd"/>
      <w:r w:rsidRPr="0090708E">
        <w:rPr>
          <w:rFonts w:ascii="Arial" w:hAnsi="Arial"/>
          <w:i/>
          <w:iCs/>
          <w:sz w:val="18"/>
          <w:szCs w:val="18"/>
        </w:rPr>
        <w:t xml:space="preserve"> Resource </w:t>
      </w:r>
      <w:proofErr w:type="spellStart"/>
      <w:r w:rsidRPr="0090708E">
        <w:rPr>
          <w:rFonts w:ascii="Arial" w:hAnsi="Arial"/>
          <w:i/>
          <w:iCs/>
          <w:sz w:val="18"/>
          <w:szCs w:val="18"/>
        </w:rPr>
        <w:t>Insheim</w:t>
      </w:r>
      <w:proofErr w:type="spellEnd"/>
      <w:r w:rsidRPr="0090708E">
        <w:rPr>
          <w:rFonts w:ascii="Arial" w:hAnsi="Arial"/>
          <w:i/>
          <w:iCs/>
          <w:sz w:val="18"/>
          <w:szCs w:val="18"/>
        </w:rPr>
        <w:t xml:space="preserve"> Vulcan Zero Carbon </w:t>
      </w:r>
      <w:proofErr w:type="spellStart"/>
      <w:r w:rsidRPr="0090708E">
        <w:rPr>
          <w:rFonts w:ascii="Arial" w:hAnsi="Arial"/>
          <w:i/>
          <w:iCs/>
          <w:sz w:val="18"/>
          <w:szCs w:val="18"/>
        </w:rPr>
        <w:t>Lithium</w:t>
      </w:r>
      <w:proofErr w:type="spellEnd"/>
      <w:r w:rsidR="0094419E">
        <w:rPr>
          <w:rFonts w:ascii="Arial" w:hAnsi="Arial"/>
          <w:i/>
          <w:iCs/>
          <w:sz w:val="18"/>
          <w:szCs w:val="18"/>
        </w:rPr>
        <w:t>”</w:t>
      </w:r>
      <w:r w:rsidRPr="0090708E">
        <w:rPr>
          <w:rFonts w:ascii="Arial" w:hAnsi="Arial"/>
          <w:i/>
          <w:iCs/>
          <w:sz w:val="18"/>
          <w:szCs w:val="18"/>
        </w:rPr>
        <w:t xml:space="preserve">), disponibile su www.v-er.eu. L'azienda conferma di non essere a conoscenza di alcuna nuova informazione o dato che influisca sostanzialmente sulle informazioni contenute negli annunci originali al mercato, e che tutte le ipotesi materiali e i parametri tecnici alla base delle stime riportate nei relativi annunci di mercato continuano ad essere validi e non hanno subito variazioni sostanziali. L’azienda conferma che la forma e il contesto in cui sono presentati i risultati della persona competente non hanno subito variazioni sostanziali rispetto agli annunci di mercato originali. </w:t>
      </w:r>
    </w:p>
    <w:p w14:paraId="33795DBA" w14:textId="77777777" w:rsidR="007A4611" w:rsidRPr="00FA0CED" w:rsidRDefault="007A4611" w:rsidP="005062F7">
      <w:pPr>
        <w:spacing w:after="0"/>
        <w:rPr>
          <w:rFonts w:ascii="Arial" w:eastAsiaTheme="minorEastAsia" w:hAnsi="Arial" w:cs="Arial"/>
          <w:sz w:val="22"/>
          <w:szCs w:val="22"/>
        </w:rPr>
      </w:pPr>
    </w:p>
    <w:p w14:paraId="2618A018" w14:textId="344B51EF" w:rsidR="00D90200" w:rsidRPr="006152A9" w:rsidRDefault="00D90200">
      <w:pPr>
        <w:spacing w:after="0"/>
        <w:jc w:val="left"/>
        <w:rPr>
          <w:rFonts w:ascii="Arial" w:hAnsi="Arial" w:cs="Arial"/>
          <w:b/>
          <w:i/>
          <w:sz w:val="22"/>
          <w:szCs w:val="22"/>
        </w:rPr>
      </w:pPr>
    </w:p>
    <w:sectPr w:rsidR="00D90200" w:rsidRPr="006152A9" w:rsidSect="009C3A2C">
      <w:footerReference w:type="default" r:id="rId14"/>
      <w:headerReference w:type="first" r:id="rId15"/>
      <w:pgSz w:w="12242" w:h="15842"/>
      <w:pgMar w:top="418" w:right="1928" w:bottom="450" w:left="1928" w:header="1170"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DF45" w14:textId="77777777" w:rsidR="00DD7C61" w:rsidRDefault="00DD7C61">
      <w:pPr>
        <w:spacing w:after="0"/>
      </w:pPr>
      <w:r>
        <w:separator/>
      </w:r>
    </w:p>
  </w:endnote>
  <w:endnote w:type="continuationSeparator" w:id="0">
    <w:p w14:paraId="1F94D769" w14:textId="77777777" w:rsidR="00DD7C61" w:rsidRDefault="00DD7C61">
      <w:pPr>
        <w:spacing w:after="0"/>
      </w:pPr>
      <w:r>
        <w:continuationSeparator/>
      </w:r>
    </w:p>
  </w:endnote>
  <w:endnote w:type="continuationNotice" w:id="1">
    <w:p w14:paraId="47A9E37B" w14:textId="77777777" w:rsidR="00DD7C61" w:rsidRDefault="00DD7C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65A9" w14:textId="77777777" w:rsidR="00DD7C61" w:rsidRDefault="00DD7C61">
      <w:pPr>
        <w:spacing w:after="0"/>
      </w:pPr>
      <w:r>
        <w:separator/>
      </w:r>
    </w:p>
  </w:footnote>
  <w:footnote w:type="continuationSeparator" w:id="0">
    <w:p w14:paraId="1E1EA31B" w14:textId="77777777" w:rsidR="00DD7C61" w:rsidRDefault="00DD7C61">
      <w:pPr>
        <w:spacing w:after="0"/>
      </w:pPr>
      <w:r>
        <w:continuationSeparator/>
      </w:r>
    </w:p>
  </w:footnote>
  <w:footnote w:type="continuationNotice" w:id="1">
    <w:p w14:paraId="5224EF90" w14:textId="77777777" w:rsidR="00DD7C61" w:rsidRDefault="00DD7C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090CEC0" w:rsidR="00D90200" w:rsidRPr="004E387D" w:rsidRDefault="00604CCC" w:rsidP="000072F8">
    <w:pPr>
      <w:pStyle w:val="Header"/>
      <w:tabs>
        <w:tab w:val="left" w:pos="3240"/>
        <w:tab w:val="left" w:pos="4980"/>
      </w:tabs>
      <w:ind w:hanging="450"/>
      <w:jc w:val="center"/>
    </w:pPr>
    <w:r>
      <w:rPr>
        <w:noProof/>
      </w:rPr>
      <w:drawing>
        <wp:inline distT="0" distB="0" distL="0" distR="0" wp14:anchorId="2C68055B" wp14:editId="7EBFAAF0">
          <wp:extent cx="5229225" cy="981075"/>
          <wp:effectExtent l="0" t="0" r="0" b="0"/>
          <wp:docPr id="23" name="Picture 23" descr="Logo, company name&#10;&#10;Description automatically generated">
            <a:extLst xmlns:a="http://schemas.openxmlformats.org/drawingml/2006/main">
              <a:ext uri="{FF2B5EF4-FFF2-40B4-BE49-F238E27FC236}">
                <a16:creationId xmlns:a16="http://schemas.microsoft.com/office/drawing/2014/main" id="{AFCCF1C3-4158-4C0C-9644-11C434D22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AFCCF1C3-4158-4C0C-9644-11C434D224EE}"/>
                      </a:ext>
                    </a:extLst>
                  </pic:cNvPr>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87" r="1801" b="35910"/>
                  <a:stretch/>
                </pic:blipFill>
                <pic:spPr bwMode="auto">
                  <a:xfrm>
                    <a:off x="0" y="0"/>
                    <a:ext cx="5229225" cy="9810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C99"/>
    <w:multiLevelType w:val="hybridMultilevel"/>
    <w:tmpl w:val="4FF2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72F8"/>
    <w:rsid w:val="00010C1D"/>
    <w:rsid w:val="000127F3"/>
    <w:rsid w:val="00020AE6"/>
    <w:rsid w:val="00024F8E"/>
    <w:rsid w:val="000403C6"/>
    <w:rsid w:val="00062B89"/>
    <w:rsid w:val="0006441F"/>
    <w:rsid w:val="000673A9"/>
    <w:rsid w:val="00076929"/>
    <w:rsid w:val="00082DA3"/>
    <w:rsid w:val="00085D74"/>
    <w:rsid w:val="00090DE0"/>
    <w:rsid w:val="000A366F"/>
    <w:rsid w:val="000A3E0E"/>
    <w:rsid w:val="000A5B13"/>
    <w:rsid w:val="000B0968"/>
    <w:rsid w:val="000B2E42"/>
    <w:rsid w:val="000B426F"/>
    <w:rsid w:val="000B4F94"/>
    <w:rsid w:val="000B5BA5"/>
    <w:rsid w:val="000B705B"/>
    <w:rsid w:val="000B7F1F"/>
    <w:rsid w:val="000C5A52"/>
    <w:rsid w:val="000C781E"/>
    <w:rsid w:val="000D0AC3"/>
    <w:rsid w:val="000D34B3"/>
    <w:rsid w:val="000D3EF1"/>
    <w:rsid w:val="000E471A"/>
    <w:rsid w:val="000F7086"/>
    <w:rsid w:val="00100E33"/>
    <w:rsid w:val="00115CA3"/>
    <w:rsid w:val="00123307"/>
    <w:rsid w:val="0013541E"/>
    <w:rsid w:val="0014641E"/>
    <w:rsid w:val="0016045E"/>
    <w:rsid w:val="00162B39"/>
    <w:rsid w:val="00166FDE"/>
    <w:rsid w:val="0017173C"/>
    <w:rsid w:val="00172B2C"/>
    <w:rsid w:val="00175AFE"/>
    <w:rsid w:val="0019432C"/>
    <w:rsid w:val="00195133"/>
    <w:rsid w:val="001A14C2"/>
    <w:rsid w:val="001A3B61"/>
    <w:rsid w:val="001B37C4"/>
    <w:rsid w:val="001B71A2"/>
    <w:rsid w:val="001B7F90"/>
    <w:rsid w:val="001C0B50"/>
    <w:rsid w:val="001C1D40"/>
    <w:rsid w:val="001D10B3"/>
    <w:rsid w:val="001D2376"/>
    <w:rsid w:val="001D7886"/>
    <w:rsid w:val="001E145E"/>
    <w:rsid w:val="001F2309"/>
    <w:rsid w:val="001F3419"/>
    <w:rsid w:val="001F3FF7"/>
    <w:rsid w:val="00202659"/>
    <w:rsid w:val="0020409D"/>
    <w:rsid w:val="00206526"/>
    <w:rsid w:val="002074AC"/>
    <w:rsid w:val="00211BDA"/>
    <w:rsid w:val="00212BA1"/>
    <w:rsid w:val="00214934"/>
    <w:rsid w:val="0022106E"/>
    <w:rsid w:val="002232A1"/>
    <w:rsid w:val="002430B2"/>
    <w:rsid w:val="00247709"/>
    <w:rsid w:val="0025072D"/>
    <w:rsid w:val="0025678C"/>
    <w:rsid w:val="00264CCC"/>
    <w:rsid w:val="002762E4"/>
    <w:rsid w:val="0027732A"/>
    <w:rsid w:val="00283479"/>
    <w:rsid w:val="00291C7C"/>
    <w:rsid w:val="002A0CDB"/>
    <w:rsid w:val="002A2897"/>
    <w:rsid w:val="002B72BF"/>
    <w:rsid w:val="002C1912"/>
    <w:rsid w:val="002C77BE"/>
    <w:rsid w:val="002D1821"/>
    <w:rsid w:val="002D43AD"/>
    <w:rsid w:val="002D67E6"/>
    <w:rsid w:val="002D6E8E"/>
    <w:rsid w:val="002F4AE3"/>
    <w:rsid w:val="003062BC"/>
    <w:rsid w:val="00306BC9"/>
    <w:rsid w:val="00312131"/>
    <w:rsid w:val="00316FE6"/>
    <w:rsid w:val="00324527"/>
    <w:rsid w:val="00325877"/>
    <w:rsid w:val="00333E14"/>
    <w:rsid w:val="0033749D"/>
    <w:rsid w:val="00341B40"/>
    <w:rsid w:val="00343D69"/>
    <w:rsid w:val="00347DE1"/>
    <w:rsid w:val="00350784"/>
    <w:rsid w:val="0035782B"/>
    <w:rsid w:val="0036383D"/>
    <w:rsid w:val="00366AEA"/>
    <w:rsid w:val="00370594"/>
    <w:rsid w:val="00374F28"/>
    <w:rsid w:val="0037579C"/>
    <w:rsid w:val="00386451"/>
    <w:rsid w:val="003920B1"/>
    <w:rsid w:val="00398FDC"/>
    <w:rsid w:val="003A26C5"/>
    <w:rsid w:val="003C0686"/>
    <w:rsid w:val="003C0EBE"/>
    <w:rsid w:val="003C1B94"/>
    <w:rsid w:val="003C2407"/>
    <w:rsid w:val="003D21DF"/>
    <w:rsid w:val="003D756D"/>
    <w:rsid w:val="003F11F7"/>
    <w:rsid w:val="00414E9D"/>
    <w:rsid w:val="00430815"/>
    <w:rsid w:val="00433E8D"/>
    <w:rsid w:val="00435397"/>
    <w:rsid w:val="0043726B"/>
    <w:rsid w:val="004745ED"/>
    <w:rsid w:val="00475771"/>
    <w:rsid w:val="0047698F"/>
    <w:rsid w:val="004868B4"/>
    <w:rsid w:val="00491D47"/>
    <w:rsid w:val="00492DDE"/>
    <w:rsid w:val="00494097"/>
    <w:rsid w:val="004A69D8"/>
    <w:rsid w:val="004C0822"/>
    <w:rsid w:val="004C0C02"/>
    <w:rsid w:val="004C13E0"/>
    <w:rsid w:val="004C3782"/>
    <w:rsid w:val="004C37B7"/>
    <w:rsid w:val="004C48ED"/>
    <w:rsid w:val="004D27D1"/>
    <w:rsid w:val="004D5926"/>
    <w:rsid w:val="004D67B1"/>
    <w:rsid w:val="004D6AFB"/>
    <w:rsid w:val="004E29EF"/>
    <w:rsid w:val="004E3437"/>
    <w:rsid w:val="004E387D"/>
    <w:rsid w:val="004F0A2C"/>
    <w:rsid w:val="004F2150"/>
    <w:rsid w:val="004F3BE9"/>
    <w:rsid w:val="004F5E51"/>
    <w:rsid w:val="004F7329"/>
    <w:rsid w:val="00500AC9"/>
    <w:rsid w:val="005062F7"/>
    <w:rsid w:val="005073F1"/>
    <w:rsid w:val="00512922"/>
    <w:rsid w:val="00516057"/>
    <w:rsid w:val="00517070"/>
    <w:rsid w:val="005246EF"/>
    <w:rsid w:val="005254D5"/>
    <w:rsid w:val="00525726"/>
    <w:rsid w:val="005351AE"/>
    <w:rsid w:val="00547138"/>
    <w:rsid w:val="00547AF9"/>
    <w:rsid w:val="0055767E"/>
    <w:rsid w:val="0057057C"/>
    <w:rsid w:val="005711AE"/>
    <w:rsid w:val="00571363"/>
    <w:rsid w:val="005727B7"/>
    <w:rsid w:val="00572D4A"/>
    <w:rsid w:val="0058251E"/>
    <w:rsid w:val="0058367F"/>
    <w:rsid w:val="00585C8E"/>
    <w:rsid w:val="00587BA7"/>
    <w:rsid w:val="0059533D"/>
    <w:rsid w:val="005A04C6"/>
    <w:rsid w:val="005A36AD"/>
    <w:rsid w:val="005B1CFB"/>
    <w:rsid w:val="005B3835"/>
    <w:rsid w:val="005C150F"/>
    <w:rsid w:val="005C52D4"/>
    <w:rsid w:val="005D025A"/>
    <w:rsid w:val="005D7567"/>
    <w:rsid w:val="005E4EB5"/>
    <w:rsid w:val="005F1C9B"/>
    <w:rsid w:val="0060202E"/>
    <w:rsid w:val="00603F18"/>
    <w:rsid w:val="00604CCC"/>
    <w:rsid w:val="00613788"/>
    <w:rsid w:val="006152A9"/>
    <w:rsid w:val="0061766E"/>
    <w:rsid w:val="00623D62"/>
    <w:rsid w:val="00625C11"/>
    <w:rsid w:val="006262D2"/>
    <w:rsid w:val="00626639"/>
    <w:rsid w:val="00631BCB"/>
    <w:rsid w:val="00641BAA"/>
    <w:rsid w:val="006511ED"/>
    <w:rsid w:val="006616BE"/>
    <w:rsid w:val="0068022C"/>
    <w:rsid w:val="00680D18"/>
    <w:rsid w:val="00682A25"/>
    <w:rsid w:val="006863D0"/>
    <w:rsid w:val="00697CB6"/>
    <w:rsid w:val="006A764C"/>
    <w:rsid w:val="006B0CEC"/>
    <w:rsid w:val="006B2EB2"/>
    <w:rsid w:val="006C00DB"/>
    <w:rsid w:val="006E0008"/>
    <w:rsid w:val="006F3B57"/>
    <w:rsid w:val="0071156E"/>
    <w:rsid w:val="0071381F"/>
    <w:rsid w:val="00714C47"/>
    <w:rsid w:val="00726BF9"/>
    <w:rsid w:val="007376E7"/>
    <w:rsid w:val="00762B6E"/>
    <w:rsid w:val="00763560"/>
    <w:rsid w:val="0076578D"/>
    <w:rsid w:val="0078303E"/>
    <w:rsid w:val="00786615"/>
    <w:rsid w:val="007A17A2"/>
    <w:rsid w:val="007A4611"/>
    <w:rsid w:val="007A791C"/>
    <w:rsid w:val="007C3435"/>
    <w:rsid w:val="007C5570"/>
    <w:rsid w:val="007D306A"/>
    <w:rsid w:val="007D42B8"/>
    <w:rsid w:val="007F0624"/>
    <w:rsid w:val="007F2A5B"/>
    <w:rsid w:val="007F30E2"/>
    <w:rsid w:val="008018C5"/>
    <w:rsid w:val="00814DE4"/>
    <w:rsid w:val="008170F0"/>
    <w:rsid w:val="00833540"/>
    <w:rsid w:val="00837879"/>
    <w:rsid w:val="00837A76"/>
    <w:rsid w:val="008522A0"/>
    <w:rsid w:val="008535C7"/>
    <w:rsid w:val="0085472A"/>
    <w:rsid w:val="0085592D"/>
    <w:rsid w:val="008612EC"/>
    <w:rsid w:val="00866553"/>
    <w:rsid w:val="00895B7E"/>
    <w:rsid w:val="008A0E8A"/>
    <w:rsid w:val="008A32DB"/>
    <w:rsid w:val="008B0A0F"/>
    <w:rsid w:val="008C1233"/>
    <w:rsid w:val="008C1A3B"/>
    <w:rsid w:val="008D065E"/>
    <w:rsid w:val="008D26D0"/>
    <w:rsid w:val="008E045B"/>
    <w:rsid w:val="008E3E34"/>
    <w:rsid w:val="008F146A"/>
    <w:rsid w:val="00900B7F"/>
    <w:rsid w:val="009063C0"/>
    <w:rsid w:val="0090708E"/>
    <w:rsid w:val="00907495"/>
    <w:rsid w:val="00914E09"/>
    <w:rsid w:val="00916290"/>
    <w:rsid w:val="00925DB9"/>
    <w:rsid w:val="0094419E"/>
    <w:rsid w:val="0094D39D"/>
    <w:rsid w:val="00952A89"/>
    <w:rsid w:val="0095504B"/>
    <w:rsid w:val="00971C52"/>
    <w:rsid w:val="00972EC0"/>
    <w:rsid w:val="00980D9E"/>
    <w:rsid w:val="009822D1"/>
    <w:rsid w:val="009836F3"/>
    <w:rsid w:val="00990B2F"/>
    <w:rsid w:val="00991B50"/>
    <w:rsid w:val="0099793C"/>
    <w:rsid w:val="009A2719"/>
    <w:rsid w:val="009A39A3"/>
    <w:rsid w:val="009B2260"/>
    <w:rsid w:val="009B2E4E"/>
    <w:rsid w:val="009B3485"/>
    <w:rsid w:val="009B47B4"/>
    <w:rsid w:val="009C25FD"/>
    <w:rsid w:val="009C39C6"/>
    <w:rsid w:val="009C3A2C"/>
    <w:rsid w:val="009D083B"/>
    <w:rsid w:val="009D5DC6"/>
    <w:rsid w:val="009D782E"/>
    <w:rsid w:val="009D7CB7"/>
    <w:rsid w:val="009F4C72"/>
    <w:rsid w:val="009F4DC5"/>
    <w:rsid w:val="009F7539"/>
    <w:rsid w:val="00A0149B"/>
    <w:rsid w:val="00A06F8A"/>
    <w:rsid w:val="00A1272E"/>
    <w:rsid w:val="00A20B71"/>
    <w:rsid w:val="00A237F3"/>
    <w:rsid w:val="00A3154D"/>
    <w:rsid w:val="00A332AC"/>
    <w:rsid w:val="00A35263"/>
    <w:rsid w:val="00A371ED"/>
    <w:rsid w:val="00A45ACB"/>
    <w:rsid w:val="00A66ECC"/>
    <w:rsid w:val="00A87B1D"/>
    <w:rsid w:val="00A906F0"/>
    <w:rsid w:val="00A952D3"/>
    <w:rsid w:val="00A9686E"/>
    <w:rsid w:val="00A976CF"/>
    <w:rsid w:val="00AA3776"/>
    <w:rsid w:val="00AB6B98"/>
    <w:rsid w:val="00AC1AF1"/>
    <w:rsid w:val="00AC4CF6"/>
    <w:rsid w:val="00AD7B93"/>
    <w:rsid w:val="00AF2702"/>
    <w:rsid w:val="00B02341"/>
    <w:rsid w:val="00B06636"/>
    <w:rsid w:val="00B1159D"/>
    <w:rsid w:val="00B22393"/>
    <w:rsid w:val="00B25809"/>
    <w:rsid w:val="00B26540"/>
    <w:rsid w:val="00B267D2"/>
    <w:rsid w:val="00B27333"/>
    <w:rsid w:val="00B27345"/>
    <w:rsid w:val="00B31E73"/>
    <w:rsid w:val="00B34935"/>
    <w:rsid w:val="00B375CD"/>
    <w:rsid w:val="00B46A84"/>
    <w:rsid w:val="00B54251"/>
    <w:rsid w:val="00B54574"/>
    <w:rsid w:val="00B57822"/>
    <w:rsid w:val="00B75ED2"/>
    <w:rsid w:val="00B81019"/>
    <w:rsid w:val="00B901C8"/>
    <w:rsid w:val="00B92149"/>
    <w:rsid w:val="00BB4B81"/>
    <w:rsid w:val="00BC143C"/>
    <w:rsid w:val="00BC4685"/>
    <w:rsid w:val="00BD5162"/>
    <w:rsid w:val="00BD74C3"/>
    <w:rsid w:val="00BE09B2"/>
    <w:rsid w:val="00BE126A"/>
    <w:rsid w:val="00BE75A5"/>
    <w:rsid w:val="00BF7D05"/>
    <w:rsid w:val="00C00E9B"/>
    <w:rsid w:val="00C03CDF"/>
    <w:rsid w:val="00C064FB"/>
    <w:rsid w:val="00C130AC"/>
    <w:rsid w:val="00C25CC0"/>
    <w:rsid w:val="00C334EF"/>
    <w:rsid w:val="00C36305"/>
    <w:rsid w:val="00C42C0B"/>
    <w:rsid w:val="00C42E73"/>
    <w:rsid w:val="00C520FA"/>
    <w:rsid w:val="00C56D6C"/>
    <w:rsid w:val="00C57D66"/>
    <w:rsid w:val="00C611D9"/>
    <w:rsid w:val="00C61685"/>
    <w:rsid w:val="00C6634B"/>
    <w:rsid w:val="00C66DF0"/>
    <w:rsid w:val="00C818B8"/>
    <w:rsid w:val="00C87074"/>
    <w:rsid w:val="00C96096"/>
    <w:rsid w:val="00C96D72"/>
    <w:rsid w:val="00CA1440"/>
    <w:rsid w:val="00CA3AFC"/>
    <w:rsid w:val="00CA420F"/>
    <w:rsid w:val="00CA489F"/>
    <w:rsid w:val="00CB19A5"/>
    <w:rsid w:val="00CC07EA"/>
    <w:rsid w:val="00CC12BA"/>
    <w:rsid w:val="00CC15FE"/>
    <w:rsid w:val="00CC5C47"/>
    <w:rsid w:val="00CD319D"/>
    <w:rsid w:val="00CD5040"/>
    <w:rsid w:val="00CF2026"/>
    <w:rsid w:val="00CF5450"/>
    <w:rsid w:val="00CF7232"/>
    <w:rsid w:val="00D019D7"/>
    <w:rsid w:val="00D04093"/>
    <w:rsid w:val="00D04953"/>
    <w:rsid w:val="00D269C9"/>
    <w:rsid w:val="00D3455C"/>
    <w:rsid w:val="00D34DAB"/>
    <w:rsid w:val="00D357DC"/>
    <w:rsid w:val="00D40E54"/>
    <w:rsid w:val="00D43CE3"/>
    <w:rsid w:val="00D43E38"/>
    <w:rsid w:val="00D44CD5"/>
    <w:rsid w:val="00D513C4"/>
    <w:rsid w:val="00D519C2"/>
    <w:rsid w:val="00D54A9D"/>
    <w:rsid w:val="00D64FAA"/>
    <w:rsid w:val="00D65623"/>
    <w:rsid w:val="00D74683"/>
    <w:rsid w:val="00D74DD3"/>
    <w:rsid w:val="00D7540B"/>
    <w:rsid w:val="00D85856"/>
    <w:rsid w:val="00D878B6"/>
    <w:rsid w:val="00D90200"/>
    <w:rsid w:val="00D91BB2"/>
    <w:rsid w:val="00D924C2"/>
    <w:rsid w:val="00DB1BF1"/>
    <w:rsid w:val="00DB7F49"/>
    <w:rsid w:val="00DC0B4F"/>
    <w:rsid w:val="00DD2B3E"/>
    <w:rsid w:val="00DD5A93"/>
    <w:rsid w:val="00DD7C61"/>
    <w:rsid w:val="00DE157B"/>
    <w:rsid w:val="00DF3D9B"/>
    <w:rsid w:val="00DF61C4"/>
    <w:rsid w:val="00E11EDF"/>
    <w:rsid w:val="00E13473"/>
    <w:rsid w:val="00E13A38"/>
    <w:rsid w:val="00E13C50"/>
    <w:rsid w:val="00E15211"/>
    <w:rsid w:val="00E32317"/>
    <w:rsid w:val="00E36928"/>
    <w:rsid w:val="00E36F4A"/>
    <w:rsid w:val="00E419D4"/>
    <w:rsid w:val="00E42277"/>
    <w:rsid w:val="00E44063"/>
    <w:rsid w:val="00E50256"/>
    <w:rsid w:val="00E57477"/>
    <w:rsid w:val="00E60611"/>
    <w:rsid w:val="00E653B0"/>
    <w:rsid w:val="00E669FB"/>
    <w:rsid w:val="00E74AFE"/>
    <w:rsid w:val="00E759EE"/>
    <w:rsid w:val="00E76235"/>
    <w:rsid w:val="00E80BB9"/>
    <w:rsid w:val="00E83A8D"/>
    <w:rsid w:val="00E97FB7"/>
    <w:rsid w:val="00E99EAA"/>
    <w:rsid w:val="00EB3DE1"/>
    <w:rsid w:val="00EB4970"/>
    <w:rsid w:val="00EB585F"/>
    <w:rsid w:val="00EC46E6"/>
    <w:rsid w:val="00EC4F3A"/>
    <w:rsid w:val="00EE3906"/>
    <w:rsid w:val="00EF0351"/>
    <w:rsid w:val="00EF3FD1"/>
    <w:rsid w:val="00F060AD"/>
    <w:rsid w:val="00F1190D"/>
    <w:rsid w:val="00F1556C"/>
    <w:rsid w:val="00F30EE4"/>
    <w:rsid w:val="00F43262"/>
    <w:rsid w:val="00F455C0"/>
    <w:rsid w:val="00F5359D"/>
    <w:rsid w:val="00F55516"/>
    <w:rsid w:val="00F55FA4"/>
    <w:rsid w:val="00F62C02"/>
    <w:rsid w:val="00F66F7F"/>
    <w:rsid w:val="00F719D2"/>
    <w:rsid w:val="00F72261"/>
    <w:rsid w:val="00F72EB4"/>
    <w:rsid w:val="00F73C03"/>
    <w:rsid w:val="00F75BDD"/>
    <w:rsid w:val="00F76B60"/>
    <w:rsid w:val="00F76C4A"/>
    <w:rsid w:val="00F77D35"/>
    <w:rsid w:val="00F849FD"/>
    <w:rsid w:val="00F84E0C"/>
    <w:rsid w:val="00F9493A"/>
    <w:rsid w:val="00F949AF"/>
    <w:rsid w:val="00FA0CED"/>
    <w:rsid w:val="00FB58AF"/>
    <w:rsid w:val="00FB6D6B"/>
    <w:rsid w:val="00FC187A"/>
    <w:rsid w:val="00FD0784"/>
    <w:rsid w:val="00FE2429"/>
    <w:rsid w:val="00FE2FF0"/>
    <w:rsid w:val="01B7F480"/>
    <w:rsid w:val="02184236"/>
    <w:rsid w:val="032F0300"/>
    <w:rsid w:val="03ED1FD6"/>
    <w:rsid w:val="053F3776"/>
    <w:rsid w:val="05B4F404"/>
    <w:rsid w:val="05D1E6F5"/>
    <w:rsid w:val="05ECB7F0"/>
    <w:rsid w:val="0609600D"/>
    <w:rsid w:val="077275CB"/>
    <w:rsid w:val="07AD5CA0"/>
    <w:rsid w:val="08CDBD0F"/>
    <w:rsid w:val="09D1BD77"/>
    <w:rsid w:val="0A2B061D"/>
    <w:rsid w:val="0BFC88FB"/>
    <w:rsid w:val="105CB077"/>
    <w:rsid w:val="112FF4D2"/>
    <w:rsid w:val="11A51199"/>
    <w:rsid w:val="1351B82A"/>
    <w:rsid w:val="1427D34F"/>
    <w:rsid w:val="14E1F475"/>
    <w:rsid w:val="1643CA85"/>
    <w:rsid w:val="1653B723"/>
    <w:rsid w:val="194E3BEF"/>
    <w:rsid w:val="1B6CBD4C"/>
    <w:rsid w:val="1BC58EAB"/>
    <w:rsid w:val="1D302104"/>
    <w:rsid w:val="1DC78BA6"/>
    <w:rsid w:val="1F7D2477"/>
    <w:rsid w:val="202093F2"/>
    <w:rsid w:val="223F48D0"/>
    <w:rsid w:val="2270F1D3"/>
    <w:rsid w:val="24FBB953"/>
    <w:rsid w:val="26D1061F"/>
    <w:rsid w:val="27581485"/>
    <w:rsid w:val="2884E967"/>
    <w:rsid w:val="28D18836"/>
    <w:rsid w:val="2A98FFBD"/>
    <w:rsid w:val="2B1194F8"/>
    <w:rsid w:val="2BB8A3A8"/>
    <w:rsid w:val="2C089180"/>
    <w:rsid w:val="2C5AFC4C"/>
    <w:rsid w:val="2D29BE4D"/>
    <w:rsid w:val="2E5D3700"/>
    <w:rsid w:val="2EA06547"/>
    <w:rsid w:val="2F226BD6"/>
    <w:rsid w:val="2FB39877"/>
    <w:rsid w:val="30053F3C"/>
    <w:rsid w:val="31E13741"/>
    <w:rsid w:val="31F3A74F"/>
    <w:rsid w:val="3517226A"/>
    <w:rsid w:val="35F7BF5E"/>
    <w:rsid w:val="378FCAF8"/>
    <w:rsid w:val="387AAFBD"/>
    <w:rsid w:val="39A7F6DB"/>
    <w:rsid w:val="3B58AC45"/>
    <w:rsid w:val="3D85274E"/>
    <w:rsid w:val="3D918F9F"/>
    <w:rsid w:val="3FFF6185"/>
    <w:rsid w:val="4023DA13"/>
    <w:rsid w:val="40626998"/>
    <w:rsid w:val="40B54FD5"/>
    <w:rsid w:val="41E68A33"/>
    <w:rsid w:val="42DAD7E7"/>
    <w:rsid w:val="4570E81D"/>
    <w:rsid w:val="46843DA5"/>
    <w:rsid w:val="47317626"/>
    <w:rsid w:val="479CDEBE"/>
    <w:rsid w:val="49BB79C0"/>
    <w:rsid w:val="4AE9444F"/>
    <w:rsid w:val="4B5B319A"/>
    <w:rsid w:val="4B711513"/>
    <w:rsid w:val="4C78CF65"/>
    <w:rsid w:val="4F15E369"/>
    <w:rsid w:val="4F931572"/>
    <w:rsid w:val="535E2423"/>
    <w:rsid w:val="554AB4EE"/>
    <w:rsid w:val="56997F0B"/>
    <w:rsid w:val="5700DC85"/>
    <w:rsid w:val="57CB233F"/>
    <w:rsid w:val="5966133C"/>
    <w:rsid w:val="59D7A5FC"/>
    <w:rsid w:val="5BB4E9F1"/>
    <w:rsid w:val="5BCCC5C4"/>
    <w:rsid w:val="5BD90D85"/>
    <w:rsid w:val="5D01301F"/>
    <w:rsid w:val="60090E8F"/>
    <w:rsid w:val="62E47A58"/>
    <w:rsid w:val="65A09FEE"/>
    <w:rsid w:val="67A6BF37"/>
    <w:rsid w:val="69CDF6B2"/>
    <w:rsid w:val="69F1EB34"/>
    <w:rsid w:val="6A24C965"/>
    <w:rsid w:val="6A34ABDF"/>
    <w:rsid w:val="6D27DC8D"/>
    <w:rsid w:val="6E52FB91"/>
    <w:rsid w:val="6E89D6D8"/>
    <w:rsid w:val="6F87331B"/>
    <w:rsid w:val="6FC04DE2"/>
    <w:rsid w:val="702849E6"/>
    <w:rsid w:val="7105FC9E"/>
    <w:rsid w:val="7123037C"/>
    <w:rsid w:val="71755C4A"/>
    <w:rsid w:val="719006FA"/>
    <w:rsid w:val="746C7182"/>
    <w:rsid w:val="75686281"/>
    <w:rsid w:val="75A1B3D1"/>
    <w:rsid w:val="764A8190"/>
    <w:rsid w:val="7B6E235B"/>
    <w:rsid w:val="7BF8485E"/>
    <w:rsid w:val="7C726815"/>
    <w:rsid w:val="7D5C1DEC"/>
    <w:rsid w:val="7E130C11"/>
    <w:rsid w:val="7F87C685"/>
    <w:rsid w:val="7F8AB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A7BE5CC4-6201-4FEE-BD52-654A89C3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it-IT"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859">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890844317">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2014644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it/il-gruppo/dare-forward-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a1b7c5-b8c1-4ce9-9c46-4e3e9d0e1a10" xsi:nil="true"/>
    <lcf76f155ced4ddcb4097134ff3c332f xmlns="808f055e-7fa6-497b-b6d1-a762257939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CCAE95AD0F04FAB18FF06BB5A7D44" ma:contentTypeVersion="16" ma:contentTypeDescription="Create a new document." ma:contentTypeScope="" ma:versionID="e5f58f70dc5d0633f5304b20166495ae">
  <xsd:schema xmlns:xsd="http://www.w3.org/2001/XMLSchema" xmlns:xs="http://www.w3.org/2001/XMLSchema" xmlns:p="http://schemas.microsoft.com/office/2006/metadata/properties" xmlns:ns2="808f055e-7fa6-497b-b6d1-a762257939c5" xmlns:ns3="4da1b7c5-b8c1-4ce9-9c46-4e3e9d0e1a10" targetNamespace="http://schemas.microsoft.com/office/2006/metadata/properties" ma:root="true" ma:fieldsID="7b3f5af011237bf2efbfe940a0f6ab2b" ns2:_="" ns3:_="">
    <xsd:import namespace="808f055e-7fa6-497b-b6d1-a762257939c5"/>
    <xsd:import namespace="4da1b7c5-b8c1-4ce9-9c46-4e3e9d0e1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f055e-7fa6-497b-b6d1-a7622579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6dc25-1936-44bf-a51b-b7518fff92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a1b7c5-b8c1-4ce9-9c46-4e3e9d0e1a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94e30-5931-40b9-a50d-c9c2a4417a41}" ma:internalName="TaxCatchAll" ma:showField="CatchAllData" ma:web="4da1b7c5-b8c1-4ce9-9c46-4e3e9d0e1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4da1b7c5-b8c1-4ce9-9c46-4e3e9d0e1a10"/>
    <ds:schemaRef ds:uri="808f055e-7fa6-497b-b6d1-a762257939c5"/>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CFB977BA-6344-4220-B32D-BE42F347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f055e-7fa6-497b-b6d1-a762257939c5"/>
    <ds:schemaRef ds:uri="4da1b7c5-b8c1-4ce9-9c46-4e3e9d0e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2299</Words>
  <Characters>13107</Characters>
  <Application>Microsoft Office Word</Application>
  <DocSecurity>0</DocSecurity>
  <Lines>109</Lines>
  <Paragraphs>30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FCA US</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ANGELA CATALDI</cp:lastModifiedBy>
  <cp:revision>13</cp:revision>
  <dcterms:created xsi:type="dcterms:W3CDTF">2023-01-16T11:17:00Z</dcterms:created>
  <dcterms:modified xsi:type="dcterms:W3CDTF">2023-01-16T20:20:00Z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0x0101003E0CCAE95AD0F04FAB18FF06BB5A7D44</vt:lpwstr>
  </property>
  <property fmtid="{D5CDD505-2E9C-101B-9397-08002B2CF9AE}" pid="5" name="MSIP_Label_2fd53d93-3f4c-4b90-b511-bd6bdbb4fba9_Enabled">
    <vt:lpwstr>true</vt:lpwstr>
  </property>
  <property fmtid="{D5CDD505-2E9C-101B-9397-08002B2CF9AE}" pid="6" name="MSIP_Label_2fd53d93-3f4c-4b90-b511-bd6bdbb4fba9_SetDate">
    <vt:lpwstr>2023-01-09T07:25:13Z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b881cb5f-322c-4f50-b4c3-52fe0077d620</vt:lpwstr>
  </property>
  <property fmtid="{D5CDD505-2E9C-101B-9397-08002B2CF9AE}" pid="11" name="MSIP_Label_2fd53d93-3f4c-4b90-b511-bd6bdbb4fba9_ContentBits">
    <vt:lpwstr>0</vt:lpwstr>
  </property>
  <property fmtid="{D5CDD505-2E9C-101B-9397-08002B2CF9AE}" pid="12" name="MediaServiceImageTags">
    <vt:lpwstr/>
  </property>
</Properties>
</file>