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7A5EEB5F" w:rsidR="00D90200" w:rsidRPr="00152BB8" w:rsidRDefault="00587098">
      <w:pPr>
        <w:pBdr>
          <w:top w:val="nil"/>
          <w:left w:val="nil"/>
          <w:bottom w:val="nil"/>
          <w:right w:val="nil"/>
          <w:between w:val="nil"/>
        </w:pBdr>
        <w:spacing w:after="480"/>
        <w:jc w:val="center"/>
        <w:rPr>
          <w:rFonts w:ascii="Arial" w:eastAsia="Arial" w:hAnsi="Arial" w:cs="Arial"/>
          <w:b/>
          <w:color w:val="000000"/>
          <w:sz w:val="28"/>
          <w:szCs w:val="28"/>
        </w:rPr>
      </w:pPr>
      <w:r w:rsidRPr="00152BB8">
        <w:rPr>
          <w:rFonts w:ascii="Arial" w:hAnsi="Arial" w:cs="Arial"/>
          <w:b/>
          <w:color w:val="000000"/>
          <w:sz w:val="28"/>
          <w:szCs w:val="28"/>
        </w:rPr>
        <w:t xml:space="preserve">Stellantis et Terrafame signent un accord d’approvisionnement en sulfate de nickel à faible teneur en carbone pour les batteries des véhicules électriques </w:t>
      </w:r>
    </w:p>
    <w:p w14:paraId="319143FB" w14:textId="076054BE" w:rsidR="00B0647D" w:rsidRPr="00152BB8" w:rsidRDefault="0059488A">
      <w:pPr>
        <w:numPr>
          <w:ilvl w:val="0"/>
          <w:numId w:val="1"/>
        </w:numPr>
        <w:spacing w:after="0"/>
        <w:rPr>
          <w:rFonts w:ascii="Arial" w:eastAsia="Arial" w:hAnsi="Arial" w:cs="Arial"/>
        </w:rPr>
      </w:pPr>
      <w:r w:rsidRPr="00152BB8">
        <w:rPr>
          <w:rFonts w:ascii="Arial" w:hAnsi="Arial" w:cs="Arial"/>
        </w:rPr>
        <w:t xml:space="preserve">Stellantis renforce sa chaîne de valeur pour la production de batteries de véhicules électriques en phase avec les objectifs du Plan Stratégique Dare </w:t>
      </w:r>
      <w:proofErr w:type="spellStart"/>
      <w:r w:rsidRPr="00152BB8">
        <w:rPr>
          <w:rFonts w:ascii="Arial" w:hAnsi="Arial" w:cs="Arial"/>
        </w:rPr>
        <w:t>Forward</w:t>
      </w:r>
      <w:proofErr w:type="spellEnd"/>
      <w:r w:rsidRPr="00152BB8">
        <w:rPr>
          <w:rFonts w:ascii="Arial" w:hAnsi="Arial" w:cs="Arial"/>
        </w:rPr>
        <w:t xml:space="preserve"> 2030 </w:t>
      </w:r>
    </w:p>
    <w:p w14:paraId="159FBB11" w14:textId="59406D7A" w:rsidR="00D12BE3" w:rsidRPr="00152BB8" w:rsidRDefault="00D12BE3" w:rsidP="001A675C">
      <w:pPr>
        <w:numPr>
          <w:ilvl w:val="0"/>
          <w:numId w:val="1"/>
        </w:numPr>
        <w:spacing w:after="0"/>
        <w:rPr>
          <w:rFonts w:ascii="Arial" w:eastAsia="Arial" w:hAnsi="Arial" w:cs="Arial"/>
        </w:rPr>
      </w:pPr>
      <w:r w:rsidRPr="00152BB8">
        <w:rPr>
          <w:rFonts w:ascii="Arial" w:hAnsi="Arial" w:cs="Arial"/>
        </w:rPr>
        <w:t xml:space="preserve">Ce partenariat </w:t>
      </w:r>
      <w:r w:rsidR="007B665E" w:rsidRPr="00152BB8">
        <w:rPr>
          <w:rFonts w:ascii="Arial" w:hAnsi="Arial" w:cs="Arial"/>
        </w:rPr>
        <w:t>conf</w:t>
      </w:r>
      <w:r w:rsidR="003C68CB" w:rsidRPr="00152BB8">
        <w:rPr>
          <w:rFonts w:ascii="Arial" w:hAnsi="Arial" w:cs="Arial"/>
        </w:rPr>
        <w:t>irme</w:t>
      </w:r>
      <w:r w:rsidR="00A568A8" w:rsidRPr="00152BB8">
        <w:rPr>
          <w:rFonts w:ascii="Arial" w:hAnsi="Arial" w:cs="Arial"/>
        </w:rPr>
        <w:t xml:space="preserve"> </w:t>
      </w:r>
      <w:r w:rsidRPr="00152BB8">
        <w:rPr>
          <w:rFonts w:ascii="Arial" w:hAnsi="Arial" w:cs="Arial"/>
        </w:rPr>
        <w:t>le rôle</w:t>
      </w:r>
      <w:r w:rsidR="008F463B" w:rsidRPr="00152BB8">
        <w:rPr>
          <w:rFonts w:ascii="Arial" w:hAnsi="Arial" w:cs="Arial"/>
        </w:rPr>
        <w:t>-clé</w:t>
      </w:r>
      <w:r w:rsidRPr="00152BB8">
        <w:rPr>
          <w:rFonts w:ascii="Arial" w:hAnsi="Arial" w:cs="Arial"/>
        </w:rPr>
        <w:t xml:space="preserve"> de Terrafame comme fournisseur pour la production durable de véhicules électriques </w:t>
      </w:r>
    </w:p>
    <w:p w14:paraId="06355130" w14:textId="48411ACC" w:rsidR="00D90200" w:rsidRPr="00152BB8" w:rsidRDefault="00C21A46">
      <w:pPr>
        <w:numPr>
          <w:ilvl w:val="0"/>
          <w:numId w:val="1"/>
        </w:numPr>
        <w:spacing w:after="0"/>
        <w:rPr>
          <w:rFonts w:ascii="Arial" w:eastAsia="Arial" w:hAnsi="Arial" w:cs="Arial"/>
        </w:rPr>
      </w:pPr>
      <w:r w:rsidRPr="00152BB8">
        <w:rPr>
          <w:rFonts w:ascii="Arial" w:hAnsi="Arial" w:cs="Arial"/>
        </w:rPr>
        <w:t xml:space="preserve">Ce partenariat </w:t>
      </w:r>
      <w:r w:rsidR="008C46ED" w:rsidRPr="00152BB8">
        <w:rPr>
          <w:rFonts w:ascii="Arial" w:hAnsi="Arial" w:cs="Arial"/>
        </w:rPr>
        <w:t xml:space="preserve">marque </w:t>
      </w:r>
      <w:r w:rsidRPr="00152BB8">
        <w:rPr>
          <w:rFonts w:ascii="Arial" w:hAnsi="Arial" w:cs="Arial"/>
        </w:rPr>
        <w:t xml:space="preserve">une étape concrète vers la mise en place d’un </w:t>
      </w:r>
      <w:r w:rsidR="00817161" w:rsidRPr="00152BB8">
        <w:rPr>
          <w:rFonts w:ascii="Arial" w:hAnsi="Arial" w:cs="Arial"/>
        </w:rPr>
        <w:t xml:space="preserve">pôle européen </w:t>
      </w:r>
      <w:r w:rsidRPr="00152BB8">
        <w:rPr>
          <w:rFonts w:ascii="Arial" w:hAnsi="Arial" w:cs="Arial"/>
        </w:rPr>
        <w:t xml:space="preserve">de batteries structuré, transparent et durable </w:t>
      </w:r>
      <w:r w:rsidR="00D12BE3" w:rsidRPr="00152BB8">
        <w:rPr>
          <w:rFonts w:ascii="Arial" w:hAnsi="Arial" w:cs="Arial"/>
        </w:rPr>
        <w:t>pour répondre aux besoins de Stellantis</w:t>
      </w:r>
    </w:p>
    <w:p w14:paraId="4C133752" w14:textId="77777777" w:rsidR="00A568A8" w:rsidRPr="00152BB8" w:rsidRDefault="00A568A8" w:rsidP="00C450D0">
      <w:pPr>
        <w:spacing w:after="0"/>
        <w:ind w:left="720"/>
        <w:rPr>
          <w:rFonts w:ascii="Arial" w:eastAsia="Arial" w:hAnsi="Arial" w:cs="Arial"/>
        </w:rPr>
      </w:pPr>
    </w:p>
    <w:p w14:paraId="7ED52B57" w14:textId="77777777" w:rsidR="00B0647D" w:rsidRPr="00152BB8" w:rsidRDefault="00B0647D" w:rsidP="001A675C">
      <w:pPr>
        <w:shd w:val="clear" w:color="auto" w:fill="FFFFFF"/>
        <w:spacing w:after="0"/>
        <w:ind w:left="720"/>
        <w:rPr>
          <w:rFonts w:ascii="Arial" w:eastAsia="Arial" w:hAnsi="Arial" w:cs="Arial"/>
          <w:sz w:val="18"/>
          <w:szCs w:val="18"/>
        </w:rPr>
      </w:pPr>
    </w:p>
    <w:p w14:paraId="5FA5EF8E" w14:textId="7738D19C" w:rsidR="00044B15" w:rsidRPr="00152BB8" w:rsidRDefault="43426A3B" w:rsidP="001A675C">
      <w:pPr>
        <w:pBdr>
          <w:top w:val="nil"/>
          <w:left w:val="nil"/>
          <w:bottom w:val="nil"/>
          <w:right w:val="nil"/>
          <w:between w:val="nil"/>
        </w:pBdr>
        <w:rPr>
          <w:rFonts w:ascii="Arial" w:eastAsia="Arial" w:hAnsi="Arial" w:cs="Arial"/>
          <w:color w:val="000000"/>
          <w:sz w:val="22"/>
          <w:szCs w:val="22"/>
        </w:rPr>
      </w:pPr>
      <w:r w:rsidRPr="00152BB8">
        <w:rPr>
          <w:rFonts w:ascii="Arial" w:hAnsi="Arial" w:cs="Arial"/>
          <w:b/>
          <w:bCs/>
          <w:color w:val="000000"/>
          <w:sz w:val="22"/>
          <w:szCs w:val="22"/>
        </w:rPr>
        <w:t xml:space="preserve">AMSTERDAM, </w:t>
      </w:r>
      <w:r w:rsidRPr="00152BB8">
        <w:rPr>
          <w:rFonts w:ascii="Arial" w:hAnsi="Arial" w:cs="Arial"/>
          <w:b/>
          <w:color w:val="000000"/>
          <w:sz w:val="22"/>
          <w:szCs w:val="22"/>
        </w:rPr>
        <w:t xml:space="preserve">le </w:t>
      </w:r>
      <w:r w:rsidR="00D12BE3" w:rsidRPr="00152BB8">
        <w:rPr>
          <w:rFonts w:ascii="Arial" w:hAnsi="Arial" w:cs="Arial"/>
          <w:b/>
          <w:color w:val="000000"/>
          <w:sz w:val="22"/>
          <w:szCs w:val="22"/>
        </w:rPr>
        <w:t>18 janvier</w:t>
      </w:r>
      <w:r w:rsidRPr="00152BB8">
        <w:rPr>
          <w:rFonts w:ascii="Arial" w:hAnsi="Arial" w:cs="Arial"/>
          <w:b/>
          <w:color w:val="000000"/>
          <w:sz w:val="22"/>
          <w:szCs w:val="22"/>
        </w:rPr>
        <w:t> 202</w:t>
      </w:r>
      <w:r w:rsidR="00D12BE3" w:rsidRPr="00152BB8">
        <w:rPr>
          <w:rFonts w:ascii="Arial" w:hAnsi="Arial" w:cs="Arial"/>
          <w:b/>
          <w:color w:val="000000"/>
          <w:sz w:val="22"/>
          <w:szCs w:val="22"/>
        </w:rPr>
        <w:t>3</w:t>
      </w:r>
      <w:r w:rsidRPr="00152BB8">
        <w:rPr>
          <w:rFonts w:ascii="Arial" w:hAnsi="Arial" w:cs="Arial"/>
          <w:color w:val="000000"/>
          <w:sz w:val="22"/>
          <w:szCs w:val="22"/>
        </w:rPr>
        <w:t xml:space="preserve"> – </w:t>
      </w:r>
      <w:r w:rsidRPr="00152BB8">
        <w:rPr>
          <w:rFonts w:ascii="Arial" w:hAnsi="Arial" w:cs="Arial"/>
          <w:sz w:val="22"/>
          <w:szCs w:val="22"/>
          <w:shd w:val="clear" w:color="auto" w:fill="FFFFFF"/>
        </w:rPr>
        <w:t xml:space="preserve">Stellantis N.V. </w:t>
      </w:r>
      <w:r w:rsidRPr="00152BB8">
        <w:rPr>
          <w:rFonts w:ascii="Arial" w:hAnsi="Arial" w:cs="Arial"/>
          <w:color w:val="000000"/>
          <w:sz w:val="22"/>
          <w:szCs w:val="22"/>
        </w:rPr>
        <w:t xml:space="preserve">et </w:t>
      </w:r>
      <w:hyperlink r:id="rId11" w:history="1">
        <w:proofErr w:type="spellStart"/>
        <w:r w:rsidRPr="00152BB8">
          <w:rPr>
            <w:rStyle w:val="Hyperlink"/>
            <w:rFonts w:ascii="Arial" w:hAnsi="Arial" w:cs="Arial"/>
            <w:sz w:val="22"/>
            <w:szCs w:val="22"/>
            <w:u w:val="single"/>
          </w:rPr>
          <w:t>Terrafame</w:t>
        </w:r>
        <w:proofErr w:type="spellEnd"/>
      </w:hyperlink>
      <w:r w:rsidR="00296F10">
        <w:rPr>
          <w:rStyle w:val="Hyperlink"/>
          <w:rFonts w:ascii="Arial" w:hAnsi="Arial" w:cs="Arial"/>
          <w:sz w:val="22"/>
          <w:szCs w:val="22"/>
          <w:u w:val="single"/>
        </w:rPr>
        <w:t xml:space="preserve"> </w:t>
      </w:r>
      <w:r w:rsidR="00D12BE3" w:rsidRPr="00152BB8">
        <w:rPr>
          <w:rStyle w:val="Hyperlink"/>
          <w:rFonts w:ascii="Arial" w:hAnsi="Arial" w:cs="Arial"/>
          <w:sz w:val="22"/>
          <w:szCs w:val="22"/>
          <w:u w:val="single"/>
        </w:rPr>
        <w:t>Ltd.</w:t>
      </w:r>
      <w:r w:rsidR="00152BB8">
        <w:rPr>
          <w:rStyle w:val="Hyperlink"/>
          <w:rFonts w:ascii="Arial" w:hAnsi="Arial" w:cs="Arial"/>
          <w:sz w:val="22"/>
          <w:szCs w:val="22"/>
          <w:u w:val="single"/>
        </w:rPr>
        <w:t xml:space="preserve"> </w:t>
      </w:r>
      <w:r w:rsidR="00D12BE3" w:rsidRPr="00152BB8">
        <w:rPr>
          <w:rFonts w:ascii="Arial" w:hAnsi="Arial" w:cs="Arial"/>
          <w:color w:val="000000"/>
          <w:sz w:val="22"/>
          <w:szCs w:val="22"/>
        </w:rPr>
        <w:t>annoncent la signature</w:t>
      </w:r>
      <w:r w:rsidRPr="00152BB8">
        <w:rPr>
          <w:rFonts w:ascii="Arial" w:hAnsi="Arial" w:cs="Arial"/>
          <w:color w:val="000000"/>
          <w:sz w:val="22"/>
          <w:szCs w:val="22"/>
        </w:rPr>
        <w:t xml:space="preserve"> </w:t>
      </w:r>
      <w:r w:rsidR="00D12BE3" w:rsidRPr="00152BB8">
        <w:rPr>
          <w:rFonts w:ascii="Arial" w:hAnsi="Arial" w:cs="Arial"/>
          <w:color w:val="000000"/>
          <w:sz w:val="22"/>
          <w:szCs w:val="22"/>
        </w:rPr>
        <w:t>d’</w:t>
      </w:r>
      <w:r w:rsidRPr="00152BB8">
        <w:rPr>
          <w:rFonts w:ascii="Arial" w:hAnsi="Arial" w:cs="Arial"/>
          <w:color w:val="000000"/>
          <w:sz w:val="22"/>
          <w:szCs w:val="22"/>
        </w:rPr>
        <w:t xml:space="preserve">un accord pour l’approvisionnement en sulfate de nickel destiné aux batteries des véhicules électriques. </w:t>
      </w:r>
      <w:r w:rsidRPr="00152BB8">
        <w:rPr>
          <w:rFonts w:ascii="Arial" w:hAnsi="Arial" w:cs="Arial"/>
          <w:sz w:val="22"/>
          <w:szCs w:val="22"/>
        </w:rPr>
        <w:t>À compter de 2025, l’entreprise finlandaise Terrafame fournira à Stellantis d</w:t>
      </w:r>
      <w:r w:rsidR="00D12BE3" w:rsidRPr="00152BB8">
        <w:rPr>
          <w:rFonts w:ascii="Arial" w:hAnsi="Arial" w:cs="Arial"/>
          <w:sz w:val="22"/>
          <w:szCs w:val="22"/>
        </w:rPr>
        <w:t>u</w:t>
      </w:r>
      <w:r w:rsidRPr="00152BB8">
        <w:rPr>
          <w:rFonts w:ascii="Arial" w:hAnsi="Arial" w:cs="Arial"/>
          <w:sz w:val="22"/>
          <w:szCs w:val="22"/>
        </w:rPr>
        <w:t xml:space="preserve"> sulfate de nickel pour la durée de l’accord, qui est fixée à cinq ans. </w:t>
      </w:r>
      <w:r w:rsidRPr="00152BB8">
        <w:rPr>
          <w:rFonts w:ascii="Arial" w:hAnsi="Arial" w:cs="Arial"/>
          <w:color w:val="000000"/>
          <w:sz w:val="22"/>
          <w:szCs w:val="22"/>
        </w:rPr>
        <w:t xml:space="preserve"> Cet accord avec Terrafame s’inscrit dans le cadre de la </w:t>
      </w:r>
      <w:hyperlink r:id="rId12" w:history="1">
        <w:r w:rsidRPr="00152BB8">
          <w:rPr>
            <w:rStyle w:val="Hyperlink"/>
            <w:rFonts w:ascii="Arial" w:hAnsi="Arial" w:cs="Arial"/>
            <w:sz w:val="22"/>
            <w:szCs w:val="22"/>
            <w:u w:val="single"/>
          </w:rPr>
          <w:t>stratégie d’électrification</w:t>
        </w:r>
      </w:hyperlink>
      <w:r w:rsidRPr="00152BB8">
        <w:rPr>
          <w:rFonts w:ascii="Arial" w:hAnsi="Arial" w:cs="Arial"/>
          <w:sz w:val="22"/>
          <w:szCs w:val="22"/>
        </w:rPr>
        <w:t xml:space="preserve"> </w:t>
      </w:r>
      <w:r w:rsidR="00E41F54" w:rsidRPr="00152BB8">
        <w:rPr>
          <w:rFonts w:ascii="Arial" w:hAnsi="Arial" w:cs="Arial"/>
          <w:color w:val="000000"/>
          <w:sz w:val="22"/>
          <w:szCs w:val="22"/>
        </w:rPr>
        <w:t xml:space="preserve">ambitieuse </w:t>
      </w:r>
      <w:r w:rsidRPr="00152BB8">
        <w:rPr>
          <w:rFonts w:ascii="Arial" w:hAnsi="Arial" w:cs="Arial"/>
          <w:color w:val="000000"/>
          <w:sz w:val="22"/>
          <w:szCs w:val="22"/>
        </w:rPr>
        <w:t xml:space="preserve">de Stellantis, </w:t>
      </w:r>
      <w:r w:rsidR="00D12BE3" w:rsidRPr="00152BB8">
        <w:rPr>
          <w:rFonts w:ascii="Arial" w:hAnsi="Arial" w:cs="Arial"/>
          <w:color w:val="000000"/>
          <w:sz w:val="22"/>
          <w:szCs w:val="22"/>
        </w:rPr>
        <w:t>et</w:t>
      </w:r>
      <w:r w:rsidRPr="00152BB8">
        <w:rPr>
          <w:rFonts w:ascii="Arial" w:hAnsi="Arial" w:cs="Arial"/>
          <w:color w:val="000000"/>
          <w:sz w:val="22"/>
          <w:szCs w:val="22"/>
        </w:rPr>
        <w:t xml:space="preserve"> couvrira </w:t>
      </w:r>
      <w:r w:rsidR="00D12BE3" w:rsidRPr="00152BB8">
        <w:rPr>
          <w:rFonts w:ascii="Arial" w:hAnsi="Arial" w:cs="Arial"/>
          <w:color w:val="000000"/>
          <w:sz w:val="22"/>
          <w:szCs w:val="22"/>
        </w:rPr>
        <w:t xml:space="preserve">une part importante </w:t>
      </w:r>
      <w:r w:rsidRPr="00152BB8">
        <w:rPr>
          <w:rFonts w:ascii="Arial" w:hAnsi="Arial" w:cs="Arial"/>
          <w:color w:val="000000"/>
          <w:sz w:val="22"/>
          <w:szCs w:val="22"/>
        </w:rPr>
        <w:t xml:space="preserve">des besoins en nickel durable produit à l’échelle régionale. </w:t>
      </w:r>
    </w:p>
    <w:p w14:paraId="722C2E5A" w14:textId="3BFF4142" w:rsidR="00F73D57" w:rsidRPr="00152BB8" w:rsidRDefault="00CD6D28" w:rsidP="001A675C">
      <w:pPr>
        <w:shd w:val="clear" w:color="auto" w:fill="FFFFFF"/>
        <w:spacing w:after="0"/>
        <w:rPr>
          <w:rFonts w:ascii="Arial" w:eastAsia="Times New Roman" w:hAnsi="Arial" w:cs="Arial"/>
          <w:color w:val="242424"/>
          <w:sz w:val="22"/>
          <w:szCs w:val="22"/>
        </w:rPr>
      </w:pPr>
      <w:r w:rsidRPr="00152BB8">
        <w:rPr>
          <w:rFonts w:ascii="Arial" w:hAnsi="Arial" w:cs="Arial"/>
          <w:color w:val="242424"/>
          <w:sz w:val="22"/>
          <w:szCs w:val="22"/>
          <w:bdr w:val="none" w:sz="0" w:space="0" w:color="auto" w:frame="1"/>
        </w:rPr>
        <w:t>« Cet accord</w:t>
      </w:r>
      <w:r w:rsidR="00A81F18" w:rsidRPr="00152BB8">
        <w:rPr>
          <w:rFonts w:ascii="Arial" w:hAnsi="Arial" w:cs="Arial"/>
          <w:color w:val="242424"/>
          <w:sz w:val="22"/>
          <w:szCs w:val="22"/>
          <w:bdr w:val="none" w:sz="0" w:space="0" w:color="auto" w:frame="1"/>
        </w:rPr>
        <w:t xml:space="preserve"> d’approvisionnement s’inscrit</w:t>
      </w:r>
      <w:r w:rsidRPr="00152BB8">
        <w:rPr>
          <w:rFonts w:ascii="Arial" w:hAnsi="Arial" w:cs="Arial"/>
          <w:color w:val="242424"/>
          <w:sz w:val="22"/>
          <w:szCs w:val="22"/>
          <w:bdr w:val="none" w:sz="0" w:space="0" w:color="auto" w:frame="1"/>
        </w:rPr>
        <w:t xml:space="preserve"> dans le cadre </w:t>
      </w:r>
      <w:r w:rsidR="00A81F18" w:rsidRPr="00152BB8">
        <w:rPr>
          <w:rFonts w:ascii="Arial" w:hAnsi="Arial" w:cs="Arial"/>
          <w:color w:val="242424"/>
          <w:sz w:val="22"/>
          <w:szCs w:val="22"/>
          <w:bdr w:val="none" w:sz="0" w:space="0" w:color="auto" w:frame="1"/>
        </w:rPr>
        <w:t>de nos besoins en matières premières pour les</w:t>
      </w:r>
      <w:r w:rsidRPr="00152BB8">
        <w:rPr>
          <w:rFonts w:ascii="Arial" w:hAnsi="Arial" w:cs="Arial"/>
          <w:color w:val="242424"/>
          <w:sz w:val="22"/>
          <w:szCs w:val="22"/>
          <w:bdr w:val="none" w:sz="0" w:space="0" w:color="auto" w:frame="1"/>
        </w:rPr>
        <w:t xml:space="preserve"> batteries </w:t>
      </w:r>
      <w:r w:rsidR="00A81F18" w:rsidRPr="00152BB8">
        <w:rPr>
          <w:rFonts w:ascii="Arial" w:hAnsi="Arial" w:cs="Arial"/>
          <w:color w:val="242424"/>
          <w:sz w:val="22"/>
          <w:szCs w:val="22"/>
          <w:bdr w:val="none" w:sz="0" w:space="0" w:color="auto" w:frame="1"/>
        </w:rPr>
        <w:t xml:space="preserve">de nos </w:t>
      </w:r>
      <w:r w:rsidRPr="00152BB8">
        <w:rPr>
          <w:rFonts w:ascii="Arial" w:hAnsi="Arial" w:cs="Arial"/>
          <w:color w:val="242424"/>
          <w:sz w:val="22"/>
          <w:szCs w:val="22"/>
          <w:bdr w:val="none" w:sz="0" w:space="0" w:color="auto" w:frame="1"/>
        </w:rPr>
        <w:t>véhicules électriques », a déclaré Carlos Tavares, CEO de Stellantis. « </w:t>
      </w:r>
      <w:r w:rsidR="008F463B" w:rsidRPr="00152BB8">
        <w:rPr>
          <w:rFonts w:ascii="Arial" w:hAnsi="Arial" w:cs="Arial"/>
          <w:color w:val="242424"/>
          <w:sz w:val="22"/>
          <w:szCs w:val="22"/>
          <w:bdr w:val="none" w:sz="0" w:space="0" w:color="auto" w:frame="1"/>
        </w:rPr>
        <w:t>N</w:t>
      </w:r>
      <w:r w:rsidRPr="00152BB8">
        <w:rPr>
          <w:rFonts w:ascii="Arial" w:hAnsi="Arial" w:cs="Arial"/>
          <w:color w:val="242424"/>
          <w:sz w:val="22"/>
          <w:szCs w:val="22"/>
          <w:bdr w:val="none" w:sz="0" w:space="0" w:color="auto" w:frame="1"/>
        </w:rPr>
        <w:t xml:space="preserve">ous </w:t>
      </w:r>
      <w:r w:rsidR="00A81F18" w:rsidRPr="00152BB8">
        <w:rPr>
          <w:rFonts w:ascii="Arial" w:hAnsi="Arial" w:cs="Arial"/>
          <w:color w:val="242424"/>
          <w:sz w:val="22"/>
          <w:szCs w:val="22"/>
          <w:bdr w:val="none" w:sz="0" w:space="0" w:color="auto" w:frame="1"/>
        </w:rPr>
        <w:t>continuons à développer</w:t>
      </w:r>
      <w:r w:rsidRPr="00152BB8">
        <w:rPr>
          <w:rFonts w:ascii="Arial" w:hAnsi="Arial" w:cs="Arial"/>
          <w:color w:val="242424"/>
          <w:sz w:val="22"/>
          <w:szCs w:val="22"/>
          <w:bdr w:val="none" w:sz="0" w:space="0" w:color="auto" w:frame="1"/>
        </w:rPr>
        <w:t xml:space="preserve"> une nouvelle chaîne de valeur mondiale </w:t>
      </w:r>
      <w:r w:rsidR="00A81F18" w:rsidRPr="00152BB8">
        <w:rPr>
          <w:rFonts w:ascii="Arial" w:hAnsi="Arial" w:cs="Arial"/>
          <w:color w:val="242424"/>
          <w:sz w:val="22"/>
          <w:szCs w:val="22"/>
          <w:bdr w:val="none" w:sz="0" w:space="0" w:color="auto" w:frame="1"/>
        </w:rPr>
        <w:t xml:space="preserve">avec des partenaires de premier ordre, </w:t>
      </w:r>
      <w:r w:rsidRPr="00152BB8">
        <w:rPr>
          <w:rFonts w:ascii="Arial" w:hAnsi="Arial" w:cs="Arial"/>
          <w:color w:val="242424"/>
          <w:sz w:val="22"/>
          <w:szCs w:val="22"/>
          <w:bdr w:val="none" w:sz="0" w:space="0" w:color="auto" w:frame="1"/>
        </w:rPr>
        <w:t xml:space="preserve">afin de soutenir notre stratégie globale et respecter notre engagement : être le champion du secteur en matière </w:t>
      </w:r>
      <w:r w:rsidR="002A2BCC" w:rsidRPr="00152BB8">
        <w:rPr>
          <w:rFonts w:ascii="Arial" w:hAnsi="Arial" w:cs="Arial"/>
          <w:color w:val="242424"/>
          <w:sz w:val="22"/>
          <w:szCs w:val="22"/>
          <w:bdr w:val="none" w:sz="0" w:space="0" w:color="auto" w:frame="1"/>
        </w:rPr>
        <w:t>de lutte contre l</w:t>
      </w:r>
      <w:r w:rsidRPr="00152BB8">
        <w:rPr>
          <w:rFonts w:ascii="Arial" w:hAnsi="Arial" w:cs="Arial"/>
          <w:color w:val="242424"/>
          <w:sz w:val="22"/>
          <w:szCs w:val="22"/>
          <w:bdr w:val="none" w:sz="0" w:space="0" w:color="auto" w:frame="1"/>
        </w:rPr>
        <w:t>es changements climatiques en atteignant</w:t>
      </w:r>
      <w:r w:rsidR="003C73A3" w:rsidRPr="00152BB8">
        <w:rPr>
          <w:rFonts w:ascii="Arial" w:hAnsi="Arial" w:cs="Arial"/>
          <w:color w:val="242424"/>
          <w:sz w:val="22"/>
          <w:szCs w:val="22"/>
          <w:bdr w:val="none" w:sz="0" w:space="0" w:color="auto" w:frame="1"/>
        </w:rPr>
        <w:t xml:space="preserve"> la neutralité carbone</w:t>
      </w:r>
      <w:r w:rsidR="00A568A8" w:rsidRPr="00152BB8">
        <w:rPr>
          <w:rFonts w:ascii="Arial" w:hAnsi="Arial" w:cs="Arial"/>
          <w:color w:val="242424"/>
          <w:sz w:val="22"/>
          <w:szCs w:val="22"/>
          <w:bdr w:val="none" w:sz="0" w:space="0" w:color="auto" w:frame="1"/>
        </w:rPr>
        <w:t xml:space="preserve"> </w:t>
      </w:r>
      <w:r w:rsidRPr="00152BB8">
        <w:rPr>
          <w:rFonts w:ascii="Arial" w:hAnsi="Arial" w:cs="Arial"/>
          <w:color w:val="242424"/>
          <w:sz w:val="22"/>
          <w:szCs w:val="22"/>
          <w:bdr w:val="none" w:sz="0" w:space="0" w:color="auto" w:frame="1"/>
        </w:rPr>
        <w:t xml:space="preserve">d’ici 2038, </w:t>
      </w:r>
      <w:r w:rsidR="003C73A3" w:rsidRPr="00152BB8">
        <w:rPr>
          <w:rFonts w:ascii="Arial" w:hAnsi="Arial" w:cs="Arial"/>
          <w:color w:val="242424"/>
          <w:sz w:val="22"/>
          <w:szCs w:val="22"/>
          <w:bdr w:val="none" w:sz="0" w:space="0" w:color="auto" w:frame="1"/>
        </w:rPr>
        <w:t xml:space="preserve">en avance par rapport à </w:t>
      </w:r>
      <w:r w:rsidR="008F463B" w:rsidRPr="00152BB8">
        <w:rPr>
          <w:rFonts w:ascii="Arial" w:hAnsi="Arial" w:cs="Arial"/>
          <w:color w:val="242424"/>
          <w:sz w:val="22"/>
          <w:szCs w:val="22"/>
          <w:bdr w:val="none" w:sz="0" w:space="0" w:color="auto" w:frame="1"/>
        </w:rPr>
        <w:t>la concurrence</w:t>
      </w:r>
      <w:r w:rsidR="004B680F">
        <w:rPr>
          <w:rFonts w:ascii="Arial" w:hAnsi="Arial" w:cs="Arial"/>
          <w:color w:val="242424"/>
          <w:sz w:val="22"/>
          <w:szCs w:val="22"/>
          <w:bdr w:val="none" w:sz="0" w:space="0" w:color="auto" w:frame="1"/>
        </w:rPr>
        <w:t>.</w:t>
      </w:r>
      <w:r w:rsidR="008F463B" w:rsidRPr="00152BB8">
        <w:rPr>
          <w:rFonts w:ascii="Arial" w:hAnsi="Arial" w:cs="Arial"/>
          <w:color w:val="242424"/>
          <w:sz w:val="22"/>
          <w:szCs w:val="22"/>
          <w:bdr w:val="none" w:sz="0" w:space="0" w:color="auto" w:frame="1"/>
        </w:rPr>
        <w:t> »</w:t>
      </w:r>
      <w:r w:rsidRPr="00152BB8">
        <w:rPr>
          <w:rFonts w:ascii="Arial" w:hAnsi="Arial" w:cs="Arial"/>
          <w:color w:val="242424"/>
          <w:sz w:val="22"/>
          <w:szCs w:val="22"/>
          <w:bdr w:val="none" w:sz="0" w:space="0" w:color="auto" w:frame="1"/>
        </w:rPr>
        <w:t> </w:t>
      </w:r>
    </w:p>
    <w:p w14:paraId="74BD2BD1" w14:textId="77777777" w:rsidR="00F73D57" w:rsidRPr="00152BB8" w:rsidRDefault="00F73D57" w:rsidP="001A675C">
      <w:pPr>
        <w:shd w:val="clear" w:color="auto" w:fill="FFFFFF"/>
        <w:spacing w:after="0"/>
        <w:rPr>
          <w:rFonts w:ascii="Arial" w:eastAsia="Times New Roman" w:hAnsi="Arial" w:cs="Arial"/>
          <w:color w:val="242424"/>
          <w:sz w:val="22"/>
          <w:szCs w:val="22"/>
        </w:rPr>
      </w:pPr>
    </w:p>
    <w:p w14:paraId="2E8CED15" w14:textId="7BFD26DA" w:rsidR="00F73D57" w:rsidRPr="00152BB8" w:rsidRDefault="00DB682B">
      <w:pPr>
        <w:shd w:val="clear" w:color="auto" w:fill="FFFFFF"/>
        <w:spacing w:after="0"/>
        <w:rPr>
          <w:rFonts w:ascii="Arial" w:hAnsi="Arial" w:cs="Arial"/>
          <w:color w:val="000000"/>
          <w:sz w:val="22"/>
          <w:szCs w:val="22"/>
        </w:rPr>
      </w:pPr>
      <w:r w:rsidRPr="00152BB8">
        <w:rPr>
          <w:rFonts w:ascii="Arial" w:hAnsi="Arial" w:cs="Arial"/>
          <w:color w:val="242424"/>
          <w:sz w:val="22"/>
          <w:szCs w:val="22"/>
          <w:bdr w:val="none" w:sz="0" w:space="0" w:color="auto" w:frame="1"/>
        </w:rPr>
        <w:t xml:space="preserve">Dans le cadre de son Plan Stratégique </w:t>
      </w:r>
      <w:hyperlink r:id="rId13" w:history="1">
        <w:r w:rsidRPr="00152BB8">
          <w:rPr>
            <w:rStyle w:val="Hyperlink"/>
            <w:rFonts w:ascii="Arial" w:hAnsi="Arial" w:cs="Arial"/>
            <w:sz w:val="22"/>
            <w:szCs w:val="22"/>
            <w:u w:val="single"/>
          </w:rPr>
          <w:t xml:space="preserve">Dare </w:t>
        </w:r>
        <w:proofErr w:type="spellStart"/>
        <w:r w:rsidRPr="00152BB8">
          <w:rPr>
            <w:rStyle w:val="Hyperlink"/>
            <w:rFonts w:ascii="Arial" w:hAnsi="Arial" w:cs="Arial"/>
            <w:sz w:val="22"/>
            <w:szCs w:val="22"/>
            <w:u w:val="single"/>
          </w:rPr>
          <w:t>Forward</w:t>
        </w:r>
        <w:proofErr w:type="spellEnd"/>
        <w:r w:rsidRPr="00152BB8">
          <w:rPr>
            <w:rStyle w:val="Hyperlink"/>
            <w:rFonts w:ascii="Arial" w:hAnsi="Arial" w:cs="Arial"/>
            <w:sz w:val="22"/>
            <w:szCs w:val="22"/>
            <w:u w:val="single"/>
          </w:rPr>
          <w:t> 2030</w:t>
        </w:r>
      </w:hyperlink>
      <w:r w:rsidRPr="00152BB8">
        <w:rPr>
          <w:rFonts w:ascii="Arial" w:hAnsi="Arial" w:cs="Arial"/>
          <w:sz w:val="22"/>
          <w:szCs w:val="22"/>
        </w:rPr>
        <w:t>,</w:t>
      </w:r>
      <w:r w:rsidRPr="00152BB8">
        <w:rPr>
          <w:rFonts w:ascii="Arial" w:hAnsi="Arial" w:cs="Arial"/>
          <w:color w:val="000000"/>
          <w:sz w:val="22"/>
          <w:szCs w:val="22"/>
        </w:rPr>
        <w:t xml:space="preserve"> Stellantis a annoncé son intention d</w:t>
      </w:r>
      <w:r w:rsidR="004B680F">
        <w:rPr>
          <w:rFonts w:ascii="Arial" w:hAnsi="Arial" w:cs="Arial"/>
          <w:color w:val="000000"/>
          <w:sz w:val="22"/>
          <w:szCs w:val="22"/>
        </w:rPr>
        <w:t>’</w:t>
      </w:r>
      <w:r w:rsidRPr="00152BB8">
        <w:rPr>
          <w:rFonts w:ascii="Arial" w:hAnsi="Arial" w:cs="Arial"/>
          <w:color w:val="000000"/>
          <w:sz w:val="22"/>
          <w:szCs w:val="22"/>
        </w:rPr>
        <w:t xml:space="preserve">atteindre 100 % des ventes de véhicules électriques à batterie (BEV) pour les voitures particulières en Europe et 50 % des ventes de BEV pour les voitures particulières et les </w:t>
      </w:r>
      <w:proofErr w:type="spellStart"/>
      <w:r w:rsidRPr="00152BB8">
        <w:rPr>
          <w:rFonts w:ascii="Arial" w:hAnsi="Arial" w:cs="Arial"/>
          <w:color w:val="000000"/>
          <w:sz w:val="22"/>
          <w:szCs w:val="22"/>
        </w:rPr>
        <w:t>pick</w:t>
      </w:r>
      <w:proofErr w:type="spellEnd"/>
      <w:r w:rsidR="00F634F3" w:rsidRPr="00152BB8">
        <w:rPr>
          <w:rFonts w:ascii="Arial" w:hAnsi="Arial" w:cs="Arial"/>
          <w:color w:val="000000"/>
          <w:sz w:val="22"/>
          <w:szCs w:val="22"/>
        </w:rPr>
        <w:t xml:space="preserve"> </w:t>
      </w:r>
      <w:r w:rsidRPr="00152BB8">
        <w:rPr>
          <w:rFonts w:ascii="Arial" w:hAnsi="Arial" w:cs="Arial"/>
          <w:color w:val="000000"/>
          <w:sz w:val="22"/>
          <w:szCs w:val="22"/>
        </w:rPr>
        <w:t>up aux États-Unis d</w:t>
      </w:r>
      <w:r w:rsidR="004B680F">
        <w:rPr>
          <w:rFonts w:ascii="Arial" w:hAnsi="Arial" w:cs="Arial"/>
          <w:color w:val="000000"/>
          <w:sz w:val="22"/>
          <w:szCs w:val="22"/>
        </w:rPr>
        <w:t>’</w:t>
      </w:r>
      <w:r w:rsidRPr="00152BB8">
        <w:rPr>
          <w:rFonts w:ascii="Arial" w:hAnsi="Arial" w:cs="Arial"/>
          <w:color w:val="000000"/>
          <w:sz w:val="22"/>
          <w:szCs w:val="22"/>
        </w:rPr>
        <w:t xml:space="preserve">ici 2030. Pour offrir à ses clients une liberté de mouvement propre, sûre et abordable, Stellantis </w:t>
      </w:r>
      <w:r w:rsidR="00E7136A" w:rsidRPr="00152BB8">
        <w:rPr>
          <w:rFonts w:ascii="Arial" w:hAnsi="Arial" w:cs="Arial"/>
          <w:color w:val="000000"/>
          <w:sz w:val="22"/>
          <w:szCs w:val="22"/>
        </w:rPr>
        <w:t>prévoit d</w:t>
      </w:r>
      <w:r w:rsidR="00A568A8" w:rsidRPr="00152BB8">
        <w:rPr>
          <w:rFonts w:ascii="Arial" w:hAnsi="Arial" w:cs="Arial"/>
          <w:color w:val="000000"/>
          <w:sz w:val="22"/>
          <w:szCs w:val="22"/>
        </w:rPr>
        <w:t>’</w:t>
      </w:r>
      <w:r w:rsidRPr="00152BB8">
        <w:rPr>
          <w:rFonts w:ascii="Arial" w:hAnsi="Arial" w:cs="Arial"/>
          <w:color w:val="000000"/>
          <w:sz w:val="22"/>
          <w:szCs w:val="22"/>
        </w:rPr>
        <w:t xml:space="preserve">investir plus de 30 milliards d’euros dans l’électrification et le software jusqu’en 2025, tout en maintenant son objectif d’être 30 % plus efficace que </w:t>
      </w:r>
      <w:r w:rsidR="00E7136A" w:rsidRPr="00152BB8">
        <w:rPr>
          <w:rFonts w:ascii="Arial" w:hAnsi="Arial" w:cs="Arial"/>
          <w:color w:val="000000"/>
          <w:sz w:val="22"/>
          <w:szCs w:val="22"/>
        </w:rPr>
        <w:t>ses concurrents</w:t>
      </w:r>
      <w:r w:rsidR="00A568A8" w:rsidRPr="00152BB8">
        <w:rPr>
          <w:rFonts w:ascii="Arial" w:hAnsi="Arial" w:cs="Arial"/>
          <w:color w:val="000000"/>
          <w:sz w:val="22"/>
          <w:szCs w:val="22"/>
        </w:rPr>
        <w:t xml:space="preserve"> </w:t>
      </w:r>
      <w:r w:rsidRPr="00152BB8">
        <w:rPr>
          <w:rFonts w:ascii="Arial" w:hAnsi="Arial" w:cs="Arial"/>
          <w:color w:val="000000"/>
          <w:sz w:val="22"/>
          <w:szCs w:val="22"/>
        </w:rPr>
        <w:t xml:space="preserve">en termes de rapport dépenses en capital et en R&amp;D sur chiffre d’affaires.  </w:t>
      </w:r>
    </w:p>
    <w:p w14:paraId="768328C2" w14:textId="20BFA386" w:rsidR="008F463B" w:rsidRPr="00152BB8" w:rsidRDefault="008F463B">
      <w:pPr>
        <w:shd w:val="clear" w:color="auto" w:fill="FFFFFF"/>
        <w:spacing w:after="0"/>
        <w:rPr>
          <w:rFonts w:ascii="Arial" w:hAnsi="Arial" w:cs="Arial"/>
          <w:color w:val="000000"/>
          <w:sz w:val="22"/>
          <w:szCs w:val="22"/>
        </w:rPr>
      </w:pPr>
    </w:p>
    <w:p w14:paraId="73B21BC3" w14:textId="59EEDAEC" w:rsidR="00F634F3" w:rsidRPr="00152BB8" w:rsidRDefault="008F463B">
      <w:pPr>
        <w:shd w:val="clear" w:color="auto" w:fill="FFFFFF"/>
        <w:spacing w:after="0"/>
        <w:rPr>
          <w:rFonts w:ascii="Arial" w:eastAsia="Arial" w:hAnsi="Arial" w:cs="Arial"/>
          <w:color w:val="000000"/>
          <w:sz w:val="22"/>
          <w:szCs w:val="22"/>
        </w:rPr>
      </w:pPr>
      <w:r w:rsidRPr="00152BB8">
        <w:rPr>
          <w:rFonts w:ascii="Arial" w:eastAsia="Arial" w:hAnsi="Arial" w:cs="Arial"/>
          <w:color w:val="000000"/>
          <w:sz w:val="22"/>
          <w:szCs w:val="22"/>
        </w:rPr>
        <w:t>Terrafame exploite en Finlande l</w:t>
      </w:r>
      <w:r w:rsidR="004B680F">
        <w:rPr>
          <w:rFonts w:ascii="Arial" w:eastAsia="Arial" w:hAnsi="Arial" w:cs="Arial"/>
          <w:color w:val="000000"/>
          <w:sz w:val="22"/>
          <w:szCs w:val="22"/>
        </w:rPr>
        <w:t>’</w:t>
      </w:r>
      <w:r w:rsidRPr="00152BB8">
        <w:rPr>
          <w:rFonts w:ascii="Arial" w:eastAsia="Arial" w:hAnsi="Arial" w:cs="Arial"/>
          <w:color w:val="000000"/>
          <w:sz w:val="22"/>
          <w:szCs w:val="22"/>
        </w:rPr>
        <w:t xml:space="preserve">une des plus grandes usines au monde </w:t>
      </w:r>
      <w:r w:rsidR="00DA4F02" w:rsidRPr="00152BB8">
        <w:rPr>
          <w:rFonts w:ascii="Arial" w:eastAsia="Arial" w:hAnsi="Arial" w:cs="Arial"/>
          <w:color w:val="000000"/>
          <w:sz w:val="22"/>
          <w:szCs w:val="22"/>
        </w:rPr>
        <w:t xml:space="preserve">composants </w:t>
      </w:r>
      <w:r w:rsidRPr="00152BB8">
        <w:rPr>
          <w:rFonts w:ascii="Arial" w:eastAsia="Arial" w:hAnsi="Arial" w:cs="Arial"/>
          <w:color w:val="000000"/>
          <w:sz w:val="22"/>
          <w:szCs w:val="22"/>
        </w:rPr>
        <w:t>chimiques pour batteries de véhicules électriques. Grâce à un processus de production intégré qui commence dans sa propre mine et se termine par des produits pour batteries sur un seul site industriel, la production de Terrafame est entièrement traçable. En outre, grâce à sa technologie de production unique, l</w:t>
      </w:r>
      <w:r w:rsidR="004B680F">
        <w:rPr>
          <w:rFonts w:ascii="Arial" w:eastAsia="Arial" w:hAnsi="Arial" w:cs="Arial"/>
          <w:color w:val="000000"/>
          <w:sz w:val="22"/>
          <w:szCs w:val="22"/>
        </w:rPr>
        <w:t>’</w:t>
      </w:r>
      <w:r w:rsidRPr="00152BB8">
        <w:rPr>
          <w:rFonts w:ascii="Arial" w:eastAsia="Arial" w:hAnsi="Arial" w:cs="Arial"/>
          <w:color w:val="000000"/>
          <w:sz w:val="22"/>
          <w:szCs w:val="22"/>
        </w:rPr>
        <w:t>empreinte carbone du sulfate de nickel produit par Terrafame est parmi les plus faibles du secteur.</w:t>
      </w:r>
    </w:p>
    <w:p w14:paraId="22292582" w14:textId="77777777" w:rsidR="00F634F3" w:rsidRPr="00152BB8" w:rsidRDefault="00F634F3">
      <w:pPr>
        <w:rPr>
          <w:rFonts w:ascii="Arial" w:eastAsia="Arial" w:hAnsi="Arial" w:cs="Arial"/>
          <w:color w:val="000000"/>
          <w:sz w:val="22"/>
          <w:szCs w:val="22"/>
        </w:rPr>
      </w:pPr>
      <w:r w:rsidRPr="00152BB8">
        <w:rPr>
          <w:rFonts w:ascii="Arial" w:eastAsia="Arial" w:hAnsi="Arial" w:cs="Arial"/>
          <w:color w:val="000000"/>
          <w:sz w:val="22"/>
          <w:szCs w:val="22"/>
        </w:rPr>
        <w:br w:type="page"/>
      </w:r>
    </w:p>
    <w:p w14:paraId="4B3E99BC" w14:textId="2EB9C385" w:rsidR="006E04D2" w:rsidRPr="00152BB8" w:rsidRDefault="0032293E" w:rsidP="001A675C">
      <w:pPr>
        <w:shd w:val="clear" w:color="auto" w:fill="FFFFFF"/>
        <w:spacing w:after="0"/>
        <w:rPr>
          <w:rFonts w:ascii="Arial" w:eastAsia="Encode Sans Condensed Condensed" w:hAnsi="Arial" w:cs="Arial"/>
          <w:sz w:val="22"/>
          <w:szCs w:val="22"/>
        </w:rPr>
      </w:pPr>
      <w:r w:rsidRPr="00152BB8">
        <w:rPr>
          <w:rFonts w:ascii="Arial" w:hAnsi="Arial" w:cs="Arial"/>
          <w:sz w:val="22"/>
          <w:szCs w:val="22"/>
        </w:rPr>
        <w:lastRenderedPageBreak/>
        <w:t xml:space="preserve">« Cette collaboration avec </w:t>
      </w:r>
      <w:r w:rsidR="008F463B" w:rsidRPr="00152BB8">
        <w:rPr>
          <w:rFonts w:ascii="Arial" w:hAnsi="Arial" w:cs="Arial"/>
          <w:sz w:val="22"/>
          <w:szCs w:val="22"/>
        </w:rPr>
        <w:t>un leader du secteur</w:t>
      </w:r>
      <w:r w:rsidRPr="00152BB8">
        <w:rPr>
          <w:rFonts w:ascii="Arial" w:hAnsi="Arial" w:cs="Arial"/>
          <w:sz w:val="22"/>
          <w:szCs w:val="22"/>
        </w:rPr>
        <w:t xml:space="preserve"> tel que Stellantis renforce la position de Terrafame en tant que partenaire essentiel de l’approvisionnement en composants de batteries pour l’industrie automobile européenne », a déclaré Joni Lukkaroinen, CEO de Terrafame. « La période difficile que nous vivons actuellement entraîne une forte demande en composants de batteries produits de manière transparente et durable en Europe, pour le marché européen. Nous sommes fiers de contribuer à la décarbonation de la mobilité en Europe et d’accroître l’efficience du secteur automobile européen. » </w:t>
      </w:r>
    </w:p>
    <w:p w14:paraId="4C2B9A0A" w14:textId="77777777" w:rsidR="00086EFF" w:rsidRPr="00152BB8" w:rsidRDefault="00086EFF" w:rsidP="001A675C">
      <w:pPr>
        <w:shd w:val="clear" w:color="auto" w:fill="FFFFFF"/>
        <w:spacing w:after="0"/>
        <w:rPr>
          <w:rFonts w:ascii="Arial" w:eastAsia="Encode Sans Condensed Condensed" w:hAnsi="Arial" w:cs="Arial"/>
          <w:sz w:val="22"/>
          <w:szCs w:val="22"/>
        </w:rPr>
      </w:pPr>
    </w:p>
    <w:p w14:paraId="02C19657" w14:textId="77777777" w:rsidR="006E04D2" w:rsidRPr="00152BB8" w:rsidRDefault="006E04D2" w:rsidP="006E04D2">
      <w:pPr>
        <w:shd w:val="clear" w:color="auto" w:fill="FFFFFF"/>
        <w:spacing w:after="0"/>
        <w:jc w:val="left"/>
        <w:rPr>
          <w:rFonts w:ascii="Arial" w:eastAsia="Encode Sans Condensed Condensed" w:hAnsi="Arial" w:cs="Arial"/>
          <w:color w:val="505050"/>
          <w:sz w:val="22"/>
          <w:szCs w:val="22"/>
        </w:rPr>
      </w:pPr>
    </w:p>
    <w:p w14:paraId="2E5CA74B" w14:textId="7BECE320" w:rsidR="007F0624" w:rsidRPr="00152BB8" w:rsidRDefault="007F0624" w:rsidP="004A5BF0">
      <w:pPr>
        <w:pBdr>
          <w:top w:val="nil"/>
          <w:left w:val="nil"/>
          <w:bottom w:val="nil"/>
          <w:right w:val="nil"/>
          <w:between w:val="nil"/>
        </w:pBdr>
        <w:jc w:val="center"/>
        <w:rPr>
          <w:rFonts w:ascii="Arial" w:eastAsia="Encode Sans" w:hAnsi="Arial" w:cs="Arial"/>
          <w:sz w:val="22"/>
          <w:szCs w:val="22"/>
        </w:rPr>
      </w:pPr>
      <w:r w:rsidRPr="00152BB8">
        <w:rPr>
          <w:rFonts w:ascii="Arial" w:hAnsi="Arial" w:cs="Arial"/>
          <w:sz w:val="22"/>
          <w:szCs w:val="22"/>
        </w:rPr>
        <w:t># # #</w:t>
      </w:r>
    </w:p>
    <w:p w14:paraId="15F7AD6E" w14:textId="77777777" w:rsidR="007A1CD0" w:rsidRPr="00152BB8" w:rsidRDefault="007A1CD0" w:rsidP="00E653B0">
      <w:pPr>
        <w:spacing w:after="0"/>
        <w:rPr>
          <w:rFonts w:ascii="Arial" w:eastAsia="Times New Roman" w:hAnsi="Arial" w:cs="Arial"/>
          <w:b/>
          <w:bCs/>
          <w:sz w:val="22"/>
          <w:szCs w:val="22"/>
        </w:rPr>
      </w:pPr>
      <w:bookmarkStart w:id="0" w:name="_Hlk106354158"/>
    </w:p>
    <w:p w14:paraId="46D4EF33" w14:textId="7C2E441B" w:rsidR="00211BDA" w:rsidRPr="00152BB8" w:rsidRDefault="00211BDA" w:rsidP="00E653B0">
      <w:pPr>
        <w:spacing w:after="0"/>
        <w:rPr>
          <w:rFonts w:ascii="Arial" w:eastAsia="Times New Roman" w:hAnsi="Arial" w:cs="Arial"/>
          <w:b/>
          <w:bCs/>
          <w:sz w:val="22"/>
          <w:szCs w:val="22"/>
        </w:rPr>
      </w:pPr>
      <w:r w:rsidRPr="00152BB8">
        <w:rPr>
          <w:rFonts w:ascii="Arial" w:hAnsi="Arial" w:cs="Arial"/>
          <w:b/>
          <w:bCs/>
          <w:sz w:val="22"/>
          <w:szCs w:val="22"/>
        </w:rPr>
        <w:t>À propos de Stellantis</w:t>
      </w:r>
    </w:p>
    <w:p w14:paraId="71E955B6" w14:textId="6A5FDBCB" w:rsidR="00211BDA" w:rsidRPr="00152BB8" w:rsidRDefault="00211BDA">
      <w:pPr>
        <w:spacing w:after="0"/>
        <w:rPr>
          <w:rFonts w:ascii="Arial" w:eastAsia="Times New Roman" w:hAnsi="Arial" w:cs="Arial"/>
          <w:i/>
          <w:iCs/>
          <w:sz w:val="22"/>
          <w:szCs w:val="22"/>
        </w:rPr>
      </w:pPr>
      <w:bookmarkStart w:id="1" w:name="_Hlk104023212"/>
      <w:r w:rsidRPr="00152BB8">
        <w:rPr>
          <w:rFonts w:ascii="Arial" w:hAnsi="Arial" w:cs="Arial"/>
          <w:i/>
          <w:iCs/>
          <w:sz w:val="22"/>
          <w:szCs w:val="22"/>
        </w:rPr>
        <w:t xml:space="preserve">Stellantis N.V. (NYSE / MTA / Euronext Paris : STLA) fait partie des principaux constructeurs automobiles et fournisseurs de services de mobilité internationaux. </w:t>
      </w:r>
      <w:proofErr w:type="spellStart"/>
      <w:r w:rsidRPr="00152BB8">
        <w:rPr>
          <w:rFonts w:ascii="Arial" w:hAnsi="Arial" w:cs="Arial"/>
          <w:i/>
          <w:iCs/>
          <w:sz w:val="22"/>
          <w:szCs w:val="22"/>
        </w:rPr>
        <w:t>Abarth</w:t>
      </w:r>
      <w:proofErr w:type="spellEnd"/>
      <w:r w:rsidRPr="00152BB8">
        <w:rPr>
          <w:rFonts w:ascii="Arial" w:hAnsi="Arial" w:cs="Arial"/>
          <w:i/>
          <w:iCs/>
          <w:sz w:val="22"/>
          <w:szCs w:val="22"/>
        </w:rPr>
        <w:t xml:space="preserve">, Alfa Romeo, Chrysler, Citroën, Dodge, DS Automobiles, Fiat, Jeep®, Lancia, Maserati, Opel, Peugeot, Ram, Vauxhall, Free2move et </w:t>
      </w:r>
      <w:proofErr w:type="spellStart"/>
      <w:r w:rsidRPr="00152BB8">
        <w:rPr>
          <w:rFonts w:ascii="Arial" w:hAnsi="Arial" w:cs="Arial"/>
          <w:i/>
          <w:iCs/>
          <w:sz w:val="22"/>
          <w:szCs w:val="22"/>
        </w:rPr>
        <w:t>Leasys</w:t>
      </w:r>
      <w:proofErr w:type="spellEnd"/>
      <w:r w:rsidRPr="00152BB8">
        <w:rPr>
          <w:rFonts w:ascii="Arial" w:hAnsi="Arial" w:cs="Arial"/>
          <w:i/>
          <w:iCs/>
          <w:sz w:val="22"/>
          <w:szCs w:val="22"/>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152BB8">
        <w:rPr>
          <w:rFonts w:ascii="Arial" w:hAnsi="Arial" w:cs="Arial"/>
          <w:i/>
          <w:iCs/>
          <w:sz w:val="22"/>
          <w:szCs w:val="22"/>
        </w:rPr>
        <w:t>company</w:t>
      </w:r>
      <w:proofErr w:type="spellEnd"/>
      <w:r w:rsidRPr="00152BB8">
        <w:rPr>
          <w:rFonts w:ascii="Arial" w:hAnsi="Arial" w:cs="Arial"/>
          <w:i/>
          <w:iCs/>
          <w:sz w:val="22"/>
          <w:szCs w:val="22"/>
        </w:rPr>
        <w:t xml:space="preserve"> de mobilité durable, en termes de qualité et non de taille, tout en créant encore plus de valeur pour l’ensemble de nos partenaires et des communautés au sein desquelles nous opérons. Pour en savoir plus, </w:t>
      </w:r>
      <w:hyperlink r:id="rId14" w:history="1">
        <w:r w:rsidR="00E41F54" w:rsidRPr="00152BB8">
          <w:rPr>
            <w:rStyle w:val="Hyperlink"/>
            <w:rFonts w:ascii="Arial" w:hAnsi="Arial" w:cs="Arial"/>
            <w:i/>
            <w:iCs/>
            <w:sz w:val="22"/>
            <w:szCs w:val="22"/>
          </w:rPr>
          <w:t>www.stellantis.com</w:t>
        </w:r>
        <w:bookmarkEnd w:id="1"/>
      </w:hyperlink>
    </w:p>
    <w:bookmarkEnd w:id="0"/>
    <w:p w14:paraId="4B1252EB" w14:textId="466624CF" w:rsidR="009D782E" w:rsidRPr="00152BB8" w:rsidRDefault="009D782E">
      <w:pPr>
        <w:pBdr>
          <w:top w:val="nil"/>
          <w:left w:val="nil"/>
          <w:bottom w:val="nil"/>
          <w:right w:val="nil"/>
          <w:between w:val="nil"/>
        </w:pBdr>
        <w:spacing w:after="0"/>
        <w:jc w:val="left"/>
        <w:rPr>
          <w:rFonts w:ascii="Arial" w:eastAsia="Arial" w:hAnsi="Arial" w:cs="Arial"/>
          <w:iCs/>
          <w:color w:val="000000"/>
          <w:sz w:val="22"/>
          <w:szCs w:val="22"/>
        </w:rPr>
      </w:pPr>
    </w:p>
    <w:p w14:paraId="63216D44" w14:textId="59CE3EBD" w:rsidR="00DF0988" w:rsidRPr="00152BB8" w:rsidRDefault="00DF0988" w:rsidP="00DF0988">
      <w:pPr>
        <w:spacing w:after="0"/>
        <w:jc w:val="left"/>
        <w:rPr>
          <w:rFonts w:ascii="Arial" w:eastAsia="Times New Roman" w:hAnsi="Arial" w:cs="Arial"/>
          <w:sz w:val="22"/>
          <w:szCs w:val="22"/>
        </w:rPr>
      </w:pPr>
      <w:r w:rsidRPr="00152BB8">
        <w:rPr>
          <w:rFonts w:ascii="Arial" w:hAnsi="Arial" w:cs="Arial"/>
          <w:b/>
          <w:bCs/>
          <w:sz w:val="22"/>
          <w:szCs w:val="22"/>
        </w:rPr>
        <w:t xml:space="preserve">À propos de </w:t>
      </w:r>
      <w:proofErr w:type="spellStart"/>
      <w:r w:rsidRPr="00152BB8">
        <w:rPr>
          <w:rFonts w:ascii="Arial" w:hAnsi="Arial" w:cs="Arial"/>
          <w:b/>
          <w:bCs/>
          <w:sz w:val="22"/>
          <w:szCs w:val="22"/>
        </w:rPr>
        <w:t>Terrafame</w:t>
      </w:r>
      <w:proofErr w:type="spellEnd"/>
      <w:r w:rsidRPr="00152BB8">
        <w:rPr>
          <w:rFonts w:ascii="Arial" w:hAnsi="Arial" w:cs="Arial"/>
          <w:b/>
          <w:bCs/>
          <w:sz w:val="22"/>
          <w:szCs w:val="22"/>
        </w:rPr>
        <w:t xml:space="preserve"> Ltd</w:t>
      </w:r>
      <w:r w:rsidR="00296F10">
        <w:rPr>
          <w:rFonts w:ascii="Arial" w:hAnsi="Arial" w:cs="Arial"/>
          <w:b/>
          <w:bCs/>
          <w:sz w:val="22"/>
          <w:szCs w:val="22"/>
        </w:rPr>
        <w:t>.</w:t>
      </w:r>
    </w:p>
    <w:p w14:paraId="00B1E7CD" w14:textId="167B894F" w:rsidR="004214E6" w:rsidRPr="00152BB8" w:rsidRDefault="004214E6" w:rsidP="004214E6">
      <w:pPr>
        <w:spacing w:after="0"/>
        <w:rPr>
          <w:rFonts w:ascii="Arial" w:eastAsia="Times New Roman" w:hAnsi="Arial" w:cs="Arial"/>
          <w:i/>
          <w:iCs/>
          <w:sz w:val="22"/>
          <w:szCs w:val="22"/>
        </w:rPr>
      </w:pPr>
      <w:r w:rsidRPr="00296F10">
        <w:rPr>
          <w:rFonts w:ascii="Arial" w:hAnsi="Arial" w:cs="Arial"/>
          <w:i/>
          <w:iCs/>
          <w:sz w:val="22"/>
          <w:szCs w:val="22"/>
        </w:rPr>
        <w:t>Terrafame</w:t>
      </w:r>
      <w:r w:rsidRPr="00152BB8">
        <w:rPr>
          <w:rFonts w:ascii="Arial" w:hAnsi="Arial" w:cs="Arial"/>
          <w:b/>
          <w:bCs/>
          <w:i/>
          <w:iCs/>
          <w:sz w:val="22"/>
          <w:szCs w:val="22"/>
        </w:rPr>
        <w:t> </w:t>
      </w:r>
      <w:r w:rsidR="008C46ED" w:rsidRPr="00152BB8">
        <w:rPr>
          <w:rFonts w:ascii="Arial" w:hAnsi="Arial" w:cs="Arial"/>
          <w:i/>
          <w:iCs/>
          <w:sz w:val="22"/>
          <w:szCs w:val="22"/>
        </w:rPr>
        <w:t>améliore la mobilité à faible émission de carbone</w:t>
      </w:r>
      <w:r w:rsidR="008C46ED" w:rsidRPr="00152BB8" w:rsidDel="008C46ED">
        <w:rPr>
          <w:rFonts w:ascii="Arial" w:hAnsi="Arial" w:cs="Arial"/>
          <w:i/>
          <w:iCs/>
          <w:sz w:val="22"/>
          <w:szCs w:val="22"/>
        </w:rPr>
        <w:t xml:space="preserve"> </w:t>
      </w:r>
      <w:r w:rsidRPr="00152BB8">
        <w:rPr>
          <w:rFonts w:ascii="Arial" w:hAnsi="Arial" w:cs="Arial"/>
          <w:i/>
          <w:iCs/>
          <w:sz w:val="22"/>
          <w:szCs w:val="22"/>
        </w:rPr>
        <w:t>en proposant des composants produits de manière responsable à l’industrie mondiale des batteries électriques. Le site industriel de Terrafame accueille l’une des plus grandes lignes de production au monde de composants chimiques destinés aux batteries des véhicules électriques. L’usine est capable de produire du sulfate de nickel pour environ 1 million de véhicules électriques chaque année. L’empreinte carbone du sulfate de nickel produit par Terrafame fait partie des plus faibles du secteur.</w:t>
      </w:r>
    </w:p>
    <w:p w14:paraId="369B51B9" w14:textId="77777777" w:rsidR="00D2739F" w:rsidRPr="00152BB8" w:rsidRDefault="00D2739F" w:rsidP="004214E6">
      <w:pPr>
        <w:spacing w:after="0"/>
        <w:rPr>
          <w:rFonts w:ascii="Arial" w:eastAsia="Times New Roman" w:hAnsi="Arial" w:cs="Arial"/>
          <w:i/>
          <w:iCs/>
          <w:sz w:val="22"/>
          <w:szCs w:val="22"/>
        </w:rPr>
      </w:pPr>
    </w:p>
    <w:p w14:paraId="44165D51" w14:textId="65B6F329" w:rsidR="004214E6" w:rsidRPr="00152BB8" w:rsidRDefault="004214E6" w:rsidP="004214E6">
      <w:pPr>
        <w:spacing w:after="0"/>
        <w:rPr>
          <w:rFonts w:ascii="Arial" w:eastAsia="Times New Roman" w:hAnsi="Arial" w:cs="Arial"/>
          <w:i/>
          <w:iCs/>
          <w:sz w:val="22"/>
          <w:szCs w:val="22"/>
        </w:rPr>
      </w:pPr>
      <w:r w:rsidRPr="00152BB8">
        <w:rPr>
          <w:rFonts w:ascii="Arial" w:hAnsi="Arial" w:cs="Arial"/>
          <w:i/>
          <w:iCs/>
          <w:sz w:val="22"/>
          <w:szCs w:val="22"/>
        </w:rPr>
        <w:t>Unique et économe en énergie, le processus de production intégré de Terrafame est implanté sur un seul et même site industriel, de la mine jusqu’aux composants de batteries. Il permet à l’entreprise d’offrir à ses clients une chaîne d’approvisionnement en composants de batteries transparente, traçable et 100 % européenne.</w:t>
      </w:r>
    </w:p>
    <w:p w14:paraId="778047FC" w14:textId="77777777" w:rsidR="00D2739F" w:rsidRPr="00152BB8" w:rsidRDefault="00D2739F" w:rsidP="004214E6">
      <w:pPr>
        <w:spacing w:after="0"/>
        <w:rPr>
          <w:rFonts w:ascii="Arial" w:eastAsia="Times New Roman" w:hAnsi="Arial" w:cs="Arial"/>
          <w:i/>
          <w:iCs/>
          <w:sz w:val="22"/>
          <w:szCs w:val="22"/>
        </w:rPr>
      </w:pPr>
    </w:p>
    <w:p w14:paraId="2906CEF6" w14:textId="5A28737B" w:rsidR="00F634F3" w:rsidRPr="00152BB8" w:rsidRDefault="004214E6" w:rsidP="004214E6">
      <w:pPr>
        <w:spacing w:after="0"/>
        <w:rPr>
          <w:rFonts w:ascii="Arial" w:hAnsi="Arial" w:cs="Arial"/>
          <w:i/>
          <w:iCs/>
          <w:sz w:val="22"/>
          <w:szCs w:val="22"/>
        </w:rPr>
      </w:pPr>
      <w:r w:rsidRPr="00152BB8">
        <w:rPr>
          <w:rFonts w:ascii="Arial" w:hAnsi="Arial" w:cs="Arial"/>
          <w:i/>
          <w:iCs/>
          <w:sz w:val="22"/>
          <w:szCs w:val="22"/>
        </w:rPr>
        <w:t>Terrafame Ltd a été fondée en 2015. En 2021, les ventes nettes de l’entreprise ont atteint 378 millions d’euros. Environ 1 500 personnes travaillent sur le site industriel de Terrafame, dont la moitié en tant qu’employés d’entreprises partenaires.</w:t>
      </w:r>
    </w:p>
    <w:p w14:paraId="5CE32A58" w14:textId="77777777" w:rsidR="00F634F3" w:rsidRPr="00152BB8" w:rsidRDefault="00F634F3">
      <w:pPr>
        <w:rPr>
          <w:rFonts w:ascii="Arial" w:hAnsi="Arial" w:cs="Arial"/>
          <w:i/>
          <w:iCs/>
          <w:sz w:val="22"/>
          <w:szCs w:val="22"/>
        </w:rPr>
      </w:pPr>
      <w:r w:rsidRPr="00152BB8">
        <w:rPr>
          <w:rFonts w:ascii="Arial" w:hAnsi="Arial" w:cs="Arial"/>
          <w:i/>
          <w:iCs/>
          <w:sz w:val="22"/>
          <w:szCs w:val="22"/>
        </w:rPr>
        <w:br w:type="page"/>
      </w:r>
    </w:p>
    <w:p w14:paraId="09667F5E" w14:textId="77777777" w:rsidR="00211BDA" w:rsidRPr="00152BB8" w:rsidRDefault="00211BDA" w:rsidP="00211BDA">
      <w:pPr>
        <w:spacing w:after="0"/>
        <w:rPr>
          <w:rFonts w:ascii="Arial" w:eastAsia="Arial" w:hAnsi="Arial" w:cs="Arial"/>
          <w:b/>
          <w:sz w:val="22"/>
          <w:szCs w:val="22"/>
        </w:rPr>
      </w:pPr>
      <w:bookmarkStart w:id="2" w:name="_heading=h.gjdgxs"/>
      <w:bookmarkEnd w:id="2"/>
      <w:r w:rsidRPr="00152BB8">
        <w:rPr>
          <w:rFonts w:ascii="Arial" w:hAnsi="Arial" w:cs="Arial"/>
          <w:b/>
          <w:sz w:val="22"/>
          <w:szCs w:val="22"/>
        </w:rPr>
        <w:lastRenderedPageBreak/>
        <w:t>Contacts :</w:t>
      </w:r>
    </w:p>
    <w:p w14:paraId="3C30E1AF" w14:textId="77777777" w:rsidR="00211BDA" w:rsidRPr="00152BB8" w:rsidRDefault="00211BDA" w:rsidP="00211BDA">
      <w:pPr>
        <w:spacing w:after="0"/>
        <w:rPr>
          <w:rFonts w:ascii="Arial" w:eastAsiaTheme="minorEastAsia" w:hAnsi="Arial" w:cs="Arial"/>
          <w:sz w:val="20"/>
          <w:szCs w:val="20"/>
        </w:rPr>
      </w:pPr>
    </w:p>
    <w:p w14:paraId="7ED2C733" w14:textId="77777777" w:rsidR="00211BDA" w:rsidRPr="00152BB8" w:rsidRDefault="00211BDA" w:rsidP="00211BDA">
      <w:pPr>
        <w:spacing w:after="0"/>
        <w:rPr>
          <w:rFonts w:ascii="Arial" w:hAnsi="Arial" w:cs="Arial"/>
          <w:b/>
          <w:bCs/>
          <w:sz w:val="22"/>
          <w:szCs w:val="22"/>
        </w:rPr>
      </w:pPr>
      <w:bookmarkStart w:id="3" w:name="_Hlk115941120"/>
      <w:r w:rsidRPr="00152BB8">
        <w:rPr>
          <w:rFonts w:ascii="Arial" w:hAnsi="Arial" w:cs="Arial"/>
          <w:b/>
          <w:bCs/>
          <w:sz w:val="22"/>
          <w:szCs w:val="22"/>
        </w:rPr>
        <w:t>Stellantis</w:t>
      </w:r>
    </w:p>
    <w:p w14:paraId="7730F5DF" w14:textId="77777777" w:rsidR="00211BDA" w:rsidRPr="00152BB8" w:rsidRDefault="00211BDA" w:rsidP="00211BDA">
      <w:pPr>
        <w:spacing w:after="0"/>
        <w:rPr>
          <w:rFonts w:ascii="Arial" w:hAnsi="Arial" w:cs="Arial"/>
          <w:sz w:val="20"/>
          <w:szCs w:val="20"/>
        </w:rPr>
      </w:pPr>
    </w:p>
    <w:p w14:paraId="2C556014" w14:textId="77777777" w:rsidR="00211BDA" w:rsidRPr="00152BB8" w:rsidRDefault="00211BDA" w:rsidP="00211BDA">
      <w:pPr>
        <w:tabs>
          <w:tab w:val="left" w:pos="2592"/>
        </w:tabs>
        <w:spacing w:after="0"/>
        <w:rPr>
          <w:rFonts w:ascii="Arial" w:eastAsia="Arial" w:hAnsi="Arial" w:cs="Arial"/>
          <w:b/>
          <w:bCs/>
          <w:sz w:val="22"/>
          <w:szCs w:val="22"/>
        </w:rPr>
      </w:pPr>
      <w:proofErr w:type="spellStart"/>
      <w:r w:rsidRPr="00152BB8">
        <w:rPr>
          <w:rFonts w:ascii="Arial" w:hAnsi="Arial" w:cs="Arial"/>
          <w:b/>
          <w:bCs/>
          <w:sz w:val="22"/>
          <w:szCs w:val="22"/>
        </w:rPr>
        <w:t>Fernão</w:t>
      </w:r>
      <w:proofErr w:type="spellEnd"/>
      <w:r w:rsidRPr="00152BB8">
        <w:rPr>
          <w:rFonts w:ascii="Arial" w:hAnsi="Arial" w:cs="Arial"/>
          <w:b/>
          <w:bCs/>
          <w:sz w:val="22"/>
          <w:szCs w:val="22"/>
        </w:rPr>
        <w:t xml:space="preserve"> Silveira </w:t>
      </w:r>
    </w:p>
    <w:p w14:paraId="6253A0AD" w14:textId="0CC05163" w:rsidR="00211BDA" w:rsidRPr="00152BB8" w:rsidRDefault="00211BDA" w:rsidP="00211BDA">
      <w:pPr>
        <w:tabs>
          <w:tab w:val="left" w:pos="2592"/>
        </w:tabs>
        <w:spacing w:after="0"/>
        <w:rPr>
          <w:rFonts w:ascii="Arial" w:eastAsia="Arial" w:hAnsi="Arial" w:cs="Arial"/>
          <w:sz w:val="22"/>
          <w:szCs w:val="22"/>
        </w:rPr>
      </w:pPr>
      <w:r w:rsidRPr="00152BB8">
        <w:rPr>
          <w:rFonts w:ascii="Arial" w:hAnsi="Arial" w:cs="Arial"/>
          <w:sz w:val="22"/>
          <w:szCs w:val="22"/>
        </w:rPr>
        <w:t xml:space="preserve">Global Communications </w:t>
      </w:r>
    </w:p>
    <w:p w14:paraId="367451AF" w14:textId="77777777" w:rsidR="008E1ACE" w:rsidRPr="001126E0" w:rsidRDefault="008E1ACE" w:rsidP="00211BDA">
      <w:pPr>
        <w:tabs>
          <w:tab w:val="left" w:pos="2592"/>
        </w:tabs>
        <w:spacing w:after="0"/>
        <w:rPr>
          <w:rFonts w:ascii="Arial" w:eastAsia="Arial" w:hAnsi="Arial" w:cs="Arial"/>
          <w:sz w:val="22"/>
          <w:szCs w:val="22"/>
        </w:rPr>
      </w:pPr>
      <w:r w:rsidRPr="001126E0">
        <w:rPr>
          <w:rFonts w:ascii="Arial" w:hAnsi="Arial" w:cs="Arial"/>
          <w:sz w:val="22"/>
          <w:szCs w:val="22"/>
        </w:rPr>
        <w:t>+31 6 43 25 43 41</w:t>
      </w:r>
    </w:p>
    <w:p w14:paraId="3D47FCA4" w14:textId="2471A283" w:rsidR="00211BDA" w:rsidRPr="001126E0" w:rsidRDefault="00211BDA" w:rsidP="00211BDA">
      <w:pPr>
        <w:tabs>
          <w:tab w:val="left" w:pos="2592"/>
        </w:tabs>
        <w:spacing w:after="0"/>
        <w:rPr>
          <w:rFonts w:ascii="Arial" w:eastAsia="Arial" w:hAnsi="Arial" w:cs="Arial"/>
          <w:sz w:val="22"/>
          <w:szCs w:val="22"/>
        </w:rPr>
      </w:pPr>
      <w:r w:rsidRPr="001126E0">
        <w:rPr>
          <w:rFonts w:ascii="Arial" w:hAnsi="Arial" w:cs="Arial"/>
          <w:sz w:val="22"/>
          <w:szCs w:val="22"/>
        </w:rPr>
        <w:t xml:space="preserve">fernao.silveira@stellantis.com </w:t>
      </w:r>
    </w:p>
    <w:p w14:paraId="4C7FCF06" w14:textId="3F40B032" w:rsidR="00211BDA" w:rsidRPr="001126E0" w:rsidRDefault="00211BDA" w:rsidP="00211BDA">
      <w:pPr>
        <w:tabs>
          <w:tab w:val="left" w:pos="2592"/>
        </w:tabs>
        <w:spacing w:after="0"/>
        <w:rPr>
          <w:rFonts w:ascii="Arial" w:eastAsia="Arial" w:hAnsi="Arial" w:cs="Arial"/>
          <w:sz w:val="22"/>
          <w:szCs w:val="22"/>
        </w:rPr>
      </w:pPr>
    </w:p>
    <w:p w14:paraId="2050AF72" w14:textId="7657A87F" w:rsidR="00D013CE" w:rsidRPr="001126E0" w:rsidRDefault="00D013CE" w:rsidP="00D013CE">
      <w:pPr>
        <w:tabs>
          <w:tab w:val="left" w:pos="2592"/>
        </w:tabs>
        <w:spacing w:after="0"/>
        <w:rPr>
          <w:rFonts w:ascii="Arial" w:eastAsia="Arial" w:hAnsi="Arial" w:cs="Arial"/>
          <w:b/>
          <w:bCs/>
          <w:sz w:val="22"/>
          <w:szCs w:val="22"/>
        </w:rPr>
      </w:pPr>
      <w:r w:rsidRPr="001126E0">
        <w:rPr>
          <w:rFonts w:ascii="Arial" w:hAnsi="Arial" w:cs="Arial"/>
          <w:b/>
          <w:bCs/>
          <w:sz w:val="22"/>
          <w:szCs w:val="22"/>
        </w:rPr>
        <w:t>Valérie G</w:t>
      </w:r>
      <w:r w:rsidR="008C46ED" w:rsidRPr="001126E0">
        <w:rPr>
          <w:rFonts w:ascii="Arial" w:hAnsi="Arial" w:cs="Arial"/>
          <w:b/>
          <w:bCs/>
          <w:sz w:val="22"/>
          <w:szCs w:val="22"/>
        </w:rPr>
        <w:t>illot</w:t>
      </w:r>
    </w:p>
    <w:p w14:paraId="52677B6F" w14:textId="77777777" w:rsidR="00D013CE" w:rsidRPr="001126E0" w:rsidRDefault="00D013CE" w:rsidP="00D013CE">
      <w:pPr>
        <w:tabs>
          <w:tab w:val="left" w:pos="2592"/>
        </w:tabs>
        <w:spacing w:after="0"/>
        <w:rPr>
          <w:rFonts w:ascii="Arial" w:eastAsia="Arial" w:hAnsi="Arial" w:cs="Arial"/>
          <w:sz w:val="22"/>
          <w:szCs w:val="22"/>
        </w:rPr>
      </w:pPr>
      <w:r w:rsidRPr="001126E0">
        <w:rPr>
          <w:rFonts w:ascii="Arial" w:hAnsi="Arial" w:cs="Arial"/>
          <w:sz w:val="22"/>
          <w:szCs w:val="22"/>
        </w:rPr>
        <w:t>+33 6 83 92 92 96</w:t>
      </w:r>
    </w:p>
    <w:p w14:paraId="536B4C35" w14:textId="66F7350D" w:rsidR="00D013CE" w:rsidRPr="001126E0" w:rsidRDefault="00D013CE" w:rsidP="00D013CE">
      <w:pPr>
        <w:tabs>
          <w:tab w:val="left" w:pos="2592"/>
        </w:tabs>
        <w:spacing w:after="0"/>
        <w:rPr>
          <w:rFonts w:ascii="Arial" w:eastAsia="Arial" w:hAnsi="Arial" w:cs="Arial"/>
          <w:sz w:val="22"/>
          <w:szCs w:val="22"/>
        </w:rPr>
      </w:pPr>
      <w:r w:rsidRPr="001126E0">
        <w:rPr>
          <w:rFonts w:ascii="Arial" w:hAnsi="Arial" w:cs="Arial"/>
          <w:sz w:val="22"/>
          <w:szCs w:val="22"/>
        </w:rPr>
        <w:t>valerie.gillot@stellantis.com</w:t>
      </w:r>
    </w:p>
    <w:bookmarkEnd w:id="3"/>
    <w:p w14:paraId="75764EB8" w14:textId="77777777" w:rsidR="00D013CE" w:rsidRPr="001126E0" w:rsidRDefault="00D013CE" w:rsidP="00211BDA">
      <w:pPr>
        <w:tabs>
          <w:tab w:val="left" w:pos="2592"/>
        </w:tabs>
        <w:spacing w:after="0"/>
        <w:rPr>
          <w:rFonts w:ascii="Arial" w:eastAsia="Arial" w:hAnsi="Arial" w:cs="Arial"/>
          <w:b/>
          <w:bCs/>
          <w:sz w:val="22"/>
          <w:szCs w:val="22"/>
        </w:rPr>
      </w:pPr>
    </w:p>
    <w:p w14:paraId="6DDAF8DD" w14:textId="77777777" w:rsidR="00D013CE" w:rsidRPr="001126E0" w:rsidRDefault="00D013CE" w:rsidP="00D013CE">
      <w:pPr>
        <w:tabs>
          <w:tab w:val="left" w:pos="2592"/>
        </w:tabs>
        <w:spacing w:after="0"/>
        <w:rPr>
          <w:rFonts w:ascii="Arial" w:eastAsia="Arial" w:hAnsi="Arial" w:cs="Arial"/>
          <w:sz w:val="22"/>
          <w:szCs w:val="22"/>
        </w:rPr>
      </w:pPr>
      <w:r w:rsidRPr="001126E0">
        <w:rPr>
          <w:rFonts w:ascii="Arial" w:hAnsi="Arial" w:cs="Arial"/>
          <w:sz w:val="22"/>
          <w:szCs w:val="22"/>
        </w:rPr>
        <w:t>communications@stellantis.com</w:t>
      </w:r>
    </w:p>
    <w:p w14:paraId="35BC2B40" w14:textId="0AA18D56" w:rsidR="00D013CE" w:rsidRPr="001126E0" w:rsidRDefault="00296F10" w:rsidP="00D013CE">
      <w:pPr>
        <w:tabs>
          <w:tab w:val="left" w:pos="2592"/>
        </w:tabs>
        <w:spacing w:after="0"/>
        <w:rPr>
          <w:rFonts w:ascii="Arial" w:eastAsia="Arial" w:hAnsi="Arial" w:cs="Arial"/>
          <w:sz w:val="22"/>
          <w:szCs w:val="22"/>
        </w:rPr>
      </w:pPr>
      <w:hyperlink r:id="rId15" w:history="1">
        <w:r w:rsidR="007031C1" w:rsidRPr="001126E0">
          <w:rPr>
            <w:rStyle w:val="Hyperlink"/>
            <w:rFonts w:ascii="Arial" w:hAnsi="Arial" w:cs="Arial"/>
            <w:color w:val="auto"/>
            <w:sz w:val="22"/>
            <w:szCs w:val="22"/>
          </w:rPr>
          <w:t>www.stellantis.com</w:t>
        </w:r>
      </w:hyperlink>
    </w:p>
    <w:p w14:paraId="62FF7A91" w14:textId="77777777" w:rsidR="00B07E73" w:rsidRPr="001126E0" w:rsidRDefault="00B07E73" w:rsidP="00211BDA">
      <w:pPr>
        <w:tabs>
          <w:tab w:val="left" w:pos="2592"/>
        </w:tabs>
        <w:spacing w:after="0"/>
        <w:rPr>
          <w:rFonts w:ascii="Arial" w:eastAsia="Arial" w:hAnsi="Arial" w:cs="Arial"/>
          <w:b/>
          <w:bCs/>
          <w:sz w:val="22"/>
          <w:szCs w:val="22"/>
        </w:rPr>
      </w:pPr>
    </w:p>
    <w:p w14:paraId="34853F97" w14:textId="0E476948" w:rsidR="00C202F5" w:rsidRPr="001126E0" w:rsidRDefault="003A6AD1" w:rsidP="00211BDA">
      <w:pPr>
        <w:tabs>
          <w:tab w:val="left" w:pos="2592"/>
        </w:tabs>
        <w:spacing w:after="0"/>
        <w:rPr>
          <w:rFonts w:ascii="Arial" w:eastAsia="Arial" w:hAnsi="Arial" w:cs="Arial"/>
          <w:b/>
          <w:bCs/>
          <w:sz w:val="22"/>
          <w:szCs w:val="22"/>
          <w:lang w:val="it-IT"/>
        </w:rPr>
      </w:pPr>
      <w:r w:rsidRPr="001126E0">
        <w:rPr>
          <w:rFonts w:ascii="Arial" w:hAnsi="Arial" w:cs="Arial"/>
          <w:b/>
          <w:bCs/>
          <w:sz w:val="22"/>
          <w:szCs w:val="22"/>
          <w:lang w:val="it-IT"/>
        </w:rPr>
        <w:t>Terrafame Ltd.</w:t>
      </w:r>
    </w:p>
    <w:p w14:paraId="791A6BA4" w14:textId="77777777" w:rsidR="00D013CE" w:rsidRPr="001126E0" w:rsidRDefault="00D013CE" w:rsidP="00D013CE">
      <w:pPr>
        <w:tabs>
          <w:tab w:val="left" w:pos="2592"/>
        </w:tabs>
        <w:spacing w:after="0"/>
        <w:rPr>
          <w:rFonts w:ascii="Arial" w:eastAsia="Arial" w:hAnsi="Arial" w:cs="Arial"/>
          <w:b/>
          <w:bCs/>
          <w:sz w:val="20"/>
          <w:szCs w:val="20"/>
          <w:lang w:val="it-IT"/>
        </w:rPr>
      </w:pPr>
    </w:p>
    <w:p w14:paraId="7DB90884" w14:textId="77777777" w:rsidR="00E37BBD" w:rsidRPr="00152BB8" w:rsidRDefault="00E37BBD" w:rsidP="00D013CE">
      <w:pPr>
        <w:tabs>
          <w:tab w:val="left" w:pos="2592"/>
        </w:tabs>
        <w:spacing w:after="0"/>
        <w:rPr>
          <w:rFonts w:ascii="Arial" w:eastAsia="Arial" w:hAnsi="Arial" w:cs="Arial"/>
          <w:b/>
          <w:bCs/>
          <w:sz w:val="22"/>
          <w:szCs w:val="22"/>
        </w:rPr>
      </w:pPr>
      <w:bookmarkStart w:id="4" w:name="_Hlk121922878"/>
      <w:r w:rsidRPr="00152BB8">
        <w:rPr>
          <w:rFonts w:ascii="Arial" w:hAnsi="Arial" w:cs="Arial"/>
          <w:b/>
          <w:bCs/>
          <w:sz w:val="22"/>
          <w:szCs w:val="22"/>
        </w:rPr>
        <w:t>Joni Lukkaroinen</w:t>
      </w:r>
    </w:p>
    <w:bookmarkEnd w:id="4"/>
    <w:p w14:paraId="48DFB5C7" w14:textId="77777777" w:rsidR="00AB71F9" w:rsidRPr="00152BB8" w:rsidRDefault="00AB71F9" w:rsidP="00CE19E5">
      <w:pPr>
        <w:tabs>
          <w:tab w:val="left" w:pos="2592"/>
        </w:tabs>
        <w:spacing w:after="0"/>
        <w:rPr>
          <w:rFonts w:ascii="Arial" w:eastAsia="Arial" w:hAnsi="Arial" w:cs="Arial"/>
          <w:sz w:val="22"/>
          <w:szCs w:val="22"/>
        </w:rPr>
      </w:pPr>
      <w:r w:rsidRPr="00152BB8">
        <w:rPr>
          <w:rFonts w:ascii="Arial" w:hAnsi="Arial" w:cs="Arial"/>
          <w:sz w:val="22"/>
          <w:szCs w:val="22"/>
        </w:rPr>
        <w:t>CEO</w:t>
      </w:r>
    </w:p>
    <w:p w14:paraId="61AA0D8F" w14:textId="3E867FC0" w:rsidR="00D013CE" w:rsidRPr="00152BB8" w:rsidRDefault="00CE19E5" w:rsidP="00CE19E5">
      <w:pPr>
        <w:tabs>
          <w:tab w:val="left" w:pos="2592"/>
        </w:tabs>
        <w:spacing w:after="0"/>
        <w:rPr>
          <w:rFonts w:ascii="Arial" w:eastAsia="Arial" w:hAnsi="Arial" w:cs="Arial"/>
          <w:sz w:val="22"/>
          <w:szCs w:val="22"/>
        </w:rPr>
      </w:pPr>
      <w:proofErr w:type="spellStart"/>
      <w:r w:rsidRPr="00152BB8">
        <w:rPr>
          <w:rFonts w:ascii="Arial" w:hAnsi="Arial" w:cs="Arial"/>
          <w:sz w:val="22"/>
          <w:szCs w:val="22"/>
        </w:rPr>
        <w:t>Tuhkakylä</w:t>
      </w:r>
      <w:proofErr w:type="spellEnd"/>
      <w:r w:rsidRPr="00152BB8">
        <w:rPr>
          <w:rFonts w:ascii="Arial" w:hAnsi="Arial" w:cs="Arial"/>
          <w:sz w:val="22"/>
          <w:szCs w:val="22"/>
        </w:rPr>
        <w:t xml:space="preserve">, Finlande </w:t>
      </w:r>
    </w:p>
    <w:p w14:paraId="410D7402" w14:textId="73080A7C" w:rsidR="00D013CE" w:rsidRPr="00152BB8" w:rsidRDefault="00137D92" w:rsidP="00D013CE">
      <w:pPr>
        <w:tabs>
          <w:tab w:val="left" w:pos="2592"/>
        </w:tabs>
        <w:spacing w:after="0"/>
        <w:rPr>
          <w:rFonts w:ascii="Arial" w:eastAsia="Arial" w:hAnsi="Arial" w:cs="Arial"/>
          <w:sz w:val="22"/>
          <w:szCs w:val="22"/>
        </w:rPr>
      </w:pPr>
      <w:r w:rsidRPr="00152BB8">
        <w:rPr>
          <w:rFonts w:ascii="Arial" w:hAnsi="Arial" w:cs="Arial"/>
          <w:sz w:val="22"/>
          <w:szCs w:val="22"/>
        </w:rPr>
        <w:t>+358 20 713 0890</w:t>
      </w:r>
    </w:p>
    <w:p w14:paraId="5C1B94B6" w14:textId="155DF572" w:rsidR="00D013CE" w:rsidRPr="00152BB8" w:rsidRDefault="005B2829" w:rsidP="00D013CE">
      <w:pPr>
        <w:tabs>
          <w:tab w:val="left" w:pos="2592"/>
        </w:tabs>
        <w:spacing w:after="0"/>
        <w:rPr>
          <w:rFonts w:ascii="Arial" w:eastAsia="Arial" w:hAnsi="Arial" w:cs="Arial"/>
          <w:sz w:val="22"/>
          <w:szCs w:val="22"/>
          <w:lang w:val="en-US"/>
        </w:rPr>
      </w:pPr>
      <w:r w:rsidRPr="00152BB8">
        <w:rPr>
          <w:rFonts w:ascii="Arial" w:hAnsi="Arial" w:cs="Arial"/>
          <w:sz w:val="22"/>
          <w:szCs w:val="22"/>
          <w:lang w:val="en-US"/>
        </w:rPr>
        <w:t>joni.lukkaroinen@terrafame.fi</w:t>
      </w:r>
    </w:p>
    <w:p w14:paraId="4C0194D8" w14:textId="77777777" w:rsidR="00086EFF" w:rsidRPr="00152BB8" w:rsidRDefault="00086EFF" w:rsidP="00CE6BDB">
      <w:pPr>
        <w:tabs>
          <w:tab w:val="left" w:pos="2592"/>
        </w:tabs>
        <w:spacing w:after="0"/>
        <w:rPr>
          <w:rFonts w:ascii="Arial" w:eastAsia="Arial" w:hAnsi="Arial" w:cs="Arial"/>
          <w:b/>
          <w:bCs/>
          <w:sz w:val="22"/>
          <w:szCs w:val="22"/>
          <w:lang w:val="en-US"/>
        </w:rPr>
      </w:pPr>
    </w:p>
    <w:p w14:paraId="4F908E7D" w14:textId="5F57F291" w:rsidR="00CE6BDB" w:rsidRPr="00152BB8" w:rsidRDefault="00CE6BDB" w:rsidP="00CE6BDB">
      <w:pPr>
        <w:tabs>
          <w:tab w:val="left" w:pos="2592"/>
        </w:tabs>
        <w:spacing w:after="0"/>
        <w:rPr>
          <w:rFonts w:ascii="Arial" w:eastAsia="Arial" w:hAnsi="Arial" w:cs="Arial"/>
          <w:b/>
          <w:bCs/>
          <w:sz w:val="22"/>
          <w:szCs w:val="22"/>
          <w:lang w:val="en-US"/>
        </w:rPr>
      </w:pPr>
      <w:proofErr w:type="spellStart"/>
      <w:r w:rsidRPr="00152BB8">
        <w:rPr>
          <w:rFonts w:ascii="Arial" w:hAnsi="Arial" w:cs="Arial"/>
          <w:b/>
          <w:bCs/>
          <w:sz w:val="22"/>
          <w:szCs w:val="22"/>
          <w:lang w:val="en-US"/>
        </w:rPr>
        <w:t>Veli</w:t>
      </w:r>
      <w:proofErr w:type="spellEnd"/>
      <w:r w:rsidRPr="00152BB8">
        <w:rPr>
          <w:rFonts w:ascii="Arial" w:hAnsi="Arial" w:cs="Arial"/>
          <w:b/>
          <w:bCs/>
          <w:sz w:val="22"/>
          <w:szCs w:val="22"/>
          <w:lang w:val="en-US"/>
        </w:rPr>
        <w:t xml:space="preserve">-Matti </w:t>
      </w:r>
      <w:proofErr w:type="spellStart"/>
      <w:r w:rsidRPr="00152BB8">
        <w:rPr>
          <w:rFonts w:ascii="Arial" w:hAnsi="Arial" w:cs="Arial"/>
          <w:b/>
          <w:bCs/>
          <w:sz w:val="22"/>
          <w:szCs w:val="22"/>
          <w:lang w:val="en-US"/>
        </w:rPr>
        <w:t>Hilla</w:t>
      </w:r>
      <w:proofErr w:type="spellEnd"/>
    </w:p>
    <w:p w14:paraId="47E95498" w14:textId="77777777" w:rsidR="00CE6BDB" w:rsidRPr="00152BB8" w:rsidRDefault="00CE6BDB" w:rsidP="00CE6BDB">
      <w:pPr>
        <w:tabs>
          <w:tab w:val="left" w:pos="2592"/>
        </w:tabs>
        <w:spacing w:after="0"/>
        <w:rPr>
          <w:rFonts w:ascii="Arial" w:eastAsia="Arial" w:hAnsi="Arial" w:cs="Arial"/>
          <w:sz w:val="22"/>
          <w:szCs w:val="22"/>
          <w:lang w:val="en-US"/>
        </w:rPr>
      </w:pPr>
      <w:r w:rsidRPr="00152BB8">
        <w:rPr>
          <w:rFonts w:ascii="Arial" w:hAnsi="Arial" w:cs="Arial"/>
          <w:sz w:val="22"/>
          <w:szCs w:val="22"/>
          <w:lang w:val="en-US"/>
        </w:rPr>
        <w:t>Chief Sustainability Officer</w:t>
      </w:r>
    </w:p>
    <w:p w14:paraId="5D5F38D6" w14:textId="42987416" w:rsidR="00CE6BDB" w:rsidRPr="00152BB8" w:rsidRDefault="00CE6BDB" w:rsidP="00CE6BDB">
      <w:pPr>
        <w:tabs>
          <w:tab w:val="left" w:pos="2592"/>
        </w:tabs>
        <w:spacing w:after="0"/>
        <w:rPr>
          <w:rFonts w:ascii="Arial" w:eastAsia="Arial" w:hAnsi="Arial" w:cs="Arial"/>
          <w:sz w:val="22"/>
          <w:szCs w:val="22"/>
          <w:lang w:val="en-US"/>
        </w:rPr>
      </w:pPr>
      <w:proofErr w:type="spellStart"/>
      <w:r w:rsidRPr="00152BB8">
        <w:rPr>
          <w:rFonts w:ascii="Arial" w:hAnsi="Arial" w:cs="Arial"/>
          <w:sz w:val="22"/>
          <w:szCs w:val="22"/>
          <w:lang w:val="en-US"/>
        </w:rPr>
        <w:t>Tuhkakylä</w:t>
      </w:r>
      <w:proofErr w:type="spellEnd"/>
      <w:r w:rsidRPr="00152BB8">
        <w:rPr>
          <w:rFonts w:ascii="Arial" w:hAnsi="Arial" w:cs="Arial"/>
          <w:sz w:val="22"/>
          <w:szCs w:val="22"/>
          <w:lang w:val="en-US"/>
        </w:rPr>
        <w:t xml:space="preserve">, </w:t>
      </w:r>
      <w:proofErr w:type="spellStart"/>
      <w:r w:rsidRPr="00152BB8">
        <w:rPr>
          <w:rFonts w:ascii="Arial" w:hAnsi="Arial" w:cs="Arial"/>
          <w:sz w:val="22"/>
          <w:szCs w:val="22"/>
          <w:lang w:val="en-US"/>
        </w:rPr>
        <w:t>Finlande</w:t>
      </w:r>
      <w:proofErr w:type="spellEnd"/>
    </w:p>
    <w:p w14:paraId="29145FFB" w14:textId="77777777" w:rsidR="00CE6BDB" w:rsidRPr="00152BB8" w:rsidRDefault="00CE6BDB" w:rsidP="00CE6BDB">
      <w:pPr>
        <w:tabs>
          <w:tab w:val="left" w:pos="2592"/>
        </w:tabs>
        <w:spacing w:after="0"/>
        <w:rPr>
          <w:rFonts w:ascii="Arial" w:eastAsia="Arial" w:hAnsi="Arial" w:cs="Arial"/>
          <w:sz w:val="22"/>
          <w:szCs w:val="22"/>
          <w:lang w:val="en-US"/>
        </w:rPr>
      </w:pPr>
      <w:r w:rsidRPr="00152BB8">
        <w:rPr>
          <w:rFonts w:ascii="Arial" w:hAnsi="Arial" w:cs="Arial"/>
          <w:sz w:val="22"/>
          <w:szCs w:val="22"/>
          <w:lang w:val="en-US"/>
        </w:rPr>
        <w:t>+358 40 569 9906</w:t>
      </w:r>
    </w:p>
    <w:p w14:paraId="32BA51A6" w14:textId="240C626D" w:rsidR="005B2829" w:rsidRPr="00152BB8" w:rsidRDefault="00CE6BDB" w:rsidP="00CE6BDB">
      <w:pPr>
        <w:tabs>
          <w:tab w:val="left" w:pos="2592"/>
        </w:tabs>
        <w:spacing w:after="0"/>
        <w:rPr>
          <w:rFonts w:ascii="Arial" w:eastAsia="Arial" w:hAnsi="Arial" w:cs="Arial"/>
          <w:sz w:val="22"/>
          <w:szCs w:val="22"/>
          <w:lang w:val="en-US"/>
        </w:rPr>
      </w:pPr>
      <w:r w:rsidRPr="00152BB8">
        <w:rPr>
          <w:rFonts w:ascii="Arial" w:hAnsi="Arial" w:cs="Arial"/>
          <w:sz w:val="22"/>
          <w:szCs w:val="22"/>
          <w:lang w:val="en-US"/>
        </w:rPr>
        <w:t>veli-matti.hilla@terrafame.fi</w:t>
      </w:r>
    </w:p>
    <w:p w14:paraId="0B8AB122" w14:textId="77777777" w:rsidR="00CE6BDB" w:rsidRPr="00152BB8" w:rsidRDefault="00CE6BDB" w:rsidP="00D013CE">
      <w:pPr>
        <w:tabs>
          <w:tab w:val="left" w:pos="2592"/>
        </w:tabs>
        <w:spacing w:after="0"/>
        <w:rPr>
          <w:rFonts w:ascii="Arial" w:eastAsia="Arial" w:hAnsi="Arial" w:cs="Arial"/>
          <w:sz w:val="22"/>
          <w:szCs w:val="22"/>
          <w:lang w:val="en-US"/>
        </w:rPr>
      </w:pPr>
    </w:p>
    <w:p w14:paraId="56CA7677" w14:textId="27629213" w:rsidR="005B2829" w:rsidRPr="00152BB8" w:rsidRDefault="0086303D" w:rsidP="00D013CE">
      <w:pPr>
        <w:tabs>
          <w:tab w:val="left" w:pos="2592"/>
        </w:tabs>
        <w:spacing w:after="0"/>
        <w:rPr>
          <w:rFonts w:ascii="Arial" w:eastAsia="Arial" w:hAnsi="Arial" w:cs="Arial"/>
          <w:sz w:val="22"/>
          <w:szCs w:val="22"/>
          <w:lang w:val="en-US"/>
        </w:rPr>
      </w:pPr>
      <w:r w:rsidRPr="00152BB8">
        <w:rPr>
          <w:rFonts w:ascii="Arial" w:hAnsi="Arial" w:cs="Arial"/>
          <w:sz w:val="22"/>
          <w:szCs w:val="22"/>
          <w:lang w:val="en-US"/>
        </w:rPr>
        <w:t>press@terrafame.fi</w:t>
      </w:r>
    </w:p>
    <w:p w14:paraId="22DD4712" w14:textId="502241B9" w:rsidR="0086303D" w:rsidRPr="00152BB8" w:rsidRDefault="0086303D" w:rsidP="00D013CE">
      <w:pPr>
        <w:tabs>
          <w:tab w:val="left" w:pos="2592"/>
        </w:tabs>
        <w:spacing w:after="0"/>
        <w:rPr>
          <w:rFonts w:ascii="Arial" w:eastAsia="Arial" w:hAnsi="Arial" w:cs="Arial"/>
          <w:sz w:val="22"/>
          <w:szCs w:val="22"/>
        </w:rPr>
      </w:pPr>
      <w:r w:rsidRPr="00152BB8">
        <w:rPr>
          <w:rFonts w:ascii="Arial" w:hAnsi="Arial" w:cs="Arial"/>
          <w:sz w:val="22"/>
          <w:szCs w:val="22"/>
        </w:rPr>
        <w:t>+358 20 7130 800</w:t>
      </w:r>
    </w:p>
    <w:p w14:paraId="4C09DE7E" w14:textId="77777777" w:rsidR="005B2829" w:rsidRPr="00152BB8" w:rsidRDefault="005B2829" w:rsidP="00D013CE">
      <w:pPr>
        <w:tabs>
          <w:tab w:val="left" w:pos="2592"/>
        </w:tabs>
        <w:spacing w:after="0"/>
        <w:rPr>
          <w:rFonts w:ascii="Arial" w:eastAsia="Arial" w:hAnsi="Arial" w:cs="Arial"/>
          <w:sz w:val="22"/>
          <w:szCs w:val="22"/>
        </w:rPr>
      </w:pPr>
    </w:p>
    <w:p w14:paraId="7A5206EC" w14:textId="77777777" w:rsidR="00152BB8" w:rsidRDefault="00152BB8">
      <w:pPr>
        <w:rPr>
          <w:rFonts w:ascii="Arial" w:hAnsi="Arial" w:cs="Arial"/>
          <w:b/>
          <w:bCs/>
          <w:sz w:val="18"/>
          <w:szCs w:val="18"/>
        </w:rPr>
      </w:pPr>
      <w:r>
        <w:rPr>
          <w:rFonts w:ascii="Arial" w:hAnsi="Arial" w:cs="Arial"/>
          <w:b/>
          <w:bCs/>
          <w:sz w:val="18"/>
          <w:szCs w:val="18"/>
        </w:rPr>
        <w:br w:type="page"/>
      </w:r>
    </w:p>
    <w:p w14:paraId="1486F7E1" w14:textId="2BCAEF73" w:rsidR="00211BDA" w:rsidRPr="00152BB8" w:rsidRDefault="00152BB8" w:rsidP="00914E09">
      <w:pPr>
        <w:rPr>
          <w:rFonts w:ascii="Arial" w:hAnsi="Arial" w:cs="Arial"/>
          <w:b/>
          <w:bCs/>
          <w:sz w:val="18"/>
          <w:szCs w:val="18"/>
        </w:rPr>
      </w:pPr>
      <w:r>
        <w:rPr>
          <w:rFonts w:ascii="Arial" w:hAnsi="Arial" w:cs="Arial"/>
          <w:b/>
          <w:bCs/>
          <w:sz w:val="18"/>
          <w:szCs w:val="18"/>
        </w:rPr>
        <w:lastRenderedPageBreak/>
        <w:t xml:space="preserve">STELLANTIS </w:t>
      </w:r>
      <w:r w:rsidR="00211BDA" w:rsidRPr="00152BB8">
        <w:rPr>
          <w:rFonts w:ascii="Arial" w:hAnsi="Arial" w:cs="Arial"/>
          <w:b/>
          <w:bCs/>
          <w:sz w:val="18"/>
          <w:szCs w:val="18"/>
        </w:rPr>
        <w:t>DÉCLARATIONS PROSPECTIVES</w:t>
      </w:r>
    </w:p>
    <w:p w14:paraId="18E03D4B" w14:textId="77777777" w:rsidR="00211BDA" w:rsidRPr="00152BB8" w:rsidRDefault="00211BDA" w:rsidP="00211BDA">
      <w:pPr>
        <w:spacing w:before="240"/>
        <w:rPr>
          <w:rFonts w:ascii="Arial" w:eastAsia="Encode Sans" w:hAnsi="Arial" w:cs="Arial"/>
          <w:i/>
          <w:sz w:val="18"/>
          <w:szCs w:val="18"/>
        </w:rPr>
      </w:pPr>
      <w:r w:rsidRPr="00152BB8">
        <w:rPr>
          <w:rFonts w:ascii="Arial" w:hAnsi="Arial" w:cs="Arial"/>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sidRPr="00152BB8">
        <w:rPr>
          <w:rFonts w:ascii="Arial" w:hAnsi="Arial" w:cs="Arial"/>
          <w:i/>
          <w:sz w:val="18"/>
          <w:szCs w:val="18"/>
        </w:rPr>
        <w:t>suite à</w:t>
      </w:r>
      <w:proofErr w:type="gramEnd"/>
      <w:r w:rsidRPr="00152BB8">
        <w:rPr>
          <w:rFonts w:ascii="Arial" w:hAnsi="Arial" w:cs="Arial"/>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futures vis-à-vis d’événements à venir, et </w:t>
      </w:r>
      <w:proofErr w:type="gramStart"/>
      <w:r w:rsidRPr="00152BB8">
        <w:rPr>
          <w:rFonts w:ascii="Arial" w:hAnsi="Arial" w:cs="Arial"/>
          <w:i/>
          <w:sz w:val="18"/>
          <w:szCs w:val="18"/>
        </w:rPr>
        <w:t>de par</w:t>
      </w:r>
      <w:proofErr w:type="gramEnd"/>
      <w:r w:rsidRPr="00152BB8">
        <w:rPr>
          <w:rFonts w:ascii="Arial" w:hAnsi="Arial" w:cs="Arial"/>
          <w:i/>
          <w:sz w:val="18"/>
          <w:szCs w:val="18"/>
        </w:rPr>
        <w:t xml:space="preserve">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6D9C35D1" w14:textId="77777777" w:rsidR="00211BDA" w:rsidRPr="00152BB8" w:rsidRDefault="00211BDA" w:rsidP="00211BDA">
      <w:pPr>
        <w:spacing w:before="240"/>
        <w:rPr>
          <w:rFonts w:ascii="Arial" w:eastAsia="Encode Sans" w:hAnsi="Arial" w:cs="Arial"/>
          <w:i/>
          <w:sz w:val="18"/>
          <w:szCs w:val="18"/>
        </w:rPr>
      </w:pPr>
      <w:r w:rsidRPr="00152BB8">
        <w:rPr>
          <w:rFonts w:ascii="Arial" w:hAnsi="Arial" w:cs="Arial"/>
          <w:i/>
          <w:sz w:val="18"/>
          <w:szCs w:val="18"/>
        </w:rPr>
        <w:t>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p>
    <w:p w14:paraId="5D67444A" w14:textId="206B0CB1" w:rsidR="00D90200" w:rsidRPr="00152BB8" w:rsidRDefault="00211BDA" w:rsidP="00044E26">
      <w:pPr>
        <w:spacing w:before="240"/>
        <w:rPr>
          <w:rFonts w:ascii="Arial" w:hAnsi="Arial" w:cs="Arial"/>
          <w:b/>
          <w:i/>
          <w:sz w:val="16"/>
          <w:szCs w:val="16"/>
        </w:rPr>
      </w:pPr>
      <w:r w:rsidRPr="00152BB8">
        <w:rPr>
          <w:rFonts w:ascii="Arial" w:hAnsi="Arial" w:cs="Arial"/>
          <w:i/>
          <w:sz w:val="18"/>
          <w:szCs w:val="18"/>
        </w:rPr>
        <w:t>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sectPr w:rsidR="00D90200" w:rsidRPr="00152BB8" w:rsidSect="004A5BF0">
      <w:footerReference w:type="default" r:id="rId16"/>
      <w:headerReference w:type="first" r:id="rId17"/>
      <w:pgSz w:w="12242" w:h="15842"/>
      <w:pgMar w:top="862" w:right="1928" w:bottom="810"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DB92" w14:textId="77777777" w:rsidR="00DD7380" w:rsidRDefault="00DD7380">
      <w:pPr>
        <w:spacing w:after="0"/>
      </w:pPr>
      <w:r>
        <w:separator/>
      </w:r>
    </w:p>
  </w:endnote>
  <w:endnote w:type="continuationSeparator" w:id="0">
    <w:p w14:paraId="59070402" w14:textId="77777777" w:rsidR="00DD7380" w:rsidRDefault="00DD7380">
      <w:pPr>
        <w:spacing w:after="0"/>
      </w:pPr>
      <w:r>
        <w:continuationSeparator/>
      </w:r>
    </w:p>
  </w:endnote>
  <w:endnote w:type="continuationNotice" w:id="1">
    <w:p w14:paraId="72992321" w14:textId="77777777" w:rsidR="00DD7380" w:rsidRDefault="00DD73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Expanded">
    <w:altName w:val="Times New Roman"/>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Condensed Condensed">
    <w:altName w:val="Cambria"/>
    <w:panose1 w:val="00000000000000000000"/>
    <w:charset w:val="00"/>
    <w:family w:val="roman"/>
    <w:notTrueType/>
    <w:pitch w:val="default"/>
  </w:font>
  <w:font w:name="Encode Sans">
    <w:panose1 w:val="00000000000000000000"/>
    <w:charset w:val="00"/>
    <w:family w:val="auto"/>
    <w:pitch w:val="variable"/>
    <w:sig w:usb0="A00000FF" w:usb1="4000207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3783" w14:textId="77777777" w:rsidR="00DD7380" w:rsidRDefault="00DD7380">
      <w:pPr>
        <w:spacing w:after="0"/>
      </w:pPr>
      <w:r>
        <w:separator/>
      </w:r>
    </w:p>
  </w:footnote>
  <w:footnote w:type="continuationSeparator" w:id="0">
    <w:p w14:paraId="441582A7" w14:textId="77777777" w:rsidR="00DD7380" w:rsidRDefault="00DD7380">
      <w:pPr>
        <w:spacing w:after="0"/>
      </w:pPr>
      <w:r>
        <w:continuationSeparator/>
      </w:r>
    </w:p>
  </w:footnote>
  <w:footnote w:type="continuationNotice" w:id="1">
    <w:p w14:paraId="6BA0B7A7" w14:textId="77777777" w:rsidR="00DD7380" w:rsidRDefault="00DD73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92BB" w14:textId="3C5048B8" w:rsidR="00D90200" w:rsidRPr="004E387D" w:rsidRDefault="00C67889" w:rsidP="004E387D">
    <w:pPr>
      <w:pStyle w:val="Header"/>
    </w:pPr>
    <w:r>
      <w:rPr>
        <w:noProof/>
      </w:rPr>
      <w:drawing>
        <wp:anchor distT="0" distB="0" distL="114300" distR="114300" simplePos="0" relativeHeight="251658240" behindDoc="1" locked="0" layoutInCell="1" allowOverlap="1" wp14:anchorId="18D3748D" wp14:editId="209D3374">
          <wp:simplePos x="0" y="0"/>
          <wp:positionH relativeFrom="column">
            <wp:posOffset>3709670</wp:posOffset>
          </wp:positionH>
          <wp:positionV relativeFrom="paragraph">
            <wp:posOffset>82550</wp:posOffset>
          </wp:positionV>
          <wp:extent cx="1590675" cy="325755"/>
          <wp:effectExtent l="0" t="0" r="9525" b="0"/>
          <wp:wrapThrough wrapText="bothSides">
            <wp:wrapPolygon edited="0">
              <wp:start x="0" y="0"/>
              <wp:lineTo x="0" y="20211"/>
              <wp:lineTo x="21471" y="20211"/>
              <wp:lineTo x="21471" y="0"/>
              <wp:lineTo x="0" y="0"/>
            </wp:wrapPolygon>
          </wp:wrapThrough>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675" cy="325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FD8E7FB" wp14:editId="71A5D3C2">
          <wp:extent cx="3467100" cy="628650"/>
          <wp:effectExtent l="0" t="0" r="0" b="0"/>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44717" r="34892" b="43477"/>
                  <a:stretch/>
                </pic:blipFill>
                <pic:spPr bwMode="auto">
                  <a:xfrm>
                    <a:off x="0" y="0"/>
                    <a:ext cx="3467100" cy="628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2726"/>
    <w:rsid w:val="00010A1D"/>
    <w:rsid w:val="000127F3"/>
    <w:rsid w:val="00013215"/>
    <w:rsid w:val="00017047"/>
    <w:rsid w:val="00020A0F"/>
    <w:rsid w:val="0003367D"/>
    <w:rsid w:val="000403C6"/>
    <w:rsid w:val="00044B15"/>
    <w:rsid w:val="00044E26"/>
    <w:rsid w:val="00045A5A"/>
    <w:rsid w:val="00056B8E"/>
    <w:rsid w:val="0006441F"/>
    <w:rsid w:val="00071264"/>
    <w:rsid w:val="000776B4"/>
    <w:rsid w:val="0008041C"/>
    <w:rsid w:val="000833E0"/>
    <w:rsid w:val="00084404"/>
    <w:rsid w:val="00086EFF"/>
    <w:rsid w:val="00097416"/>
    <w:rsid w:val="000A3BAE"/>
    <w:rsid w:val="000A46FC"/>
    <w:rsid w:val="000A53F3"/>
    <w:rsid w:val="000B0968"/>
    <w:rsid w:val="000B1942"/>
    <w:rsid w:val="000B2E42"/>
    <w:rsid w:val="000B7B5A"/>
    <w:rsid w:val="000C4945"/>
    <w:rsid w:val="000C5A52"/>
    <w:rsid w:val="000D0AC3"/>
    <w:rsid w:val="000D586F"/>
    <w:rsid w:val="000E0483"/>
    <w:rsid w:val="000F7479"/>
    <w:rsid w:val="00100E33"/>
    <w:rsid w:val="00101707"/>
    <w:rsid w:val="00101F9C"/>
    <w:rsid w:val="001126E0"/>
    <w:rsid w:val="0011344A"/>
    <w:rsid w:val="00115CA3"/>
    <w:rsid w:val="00123307"/>
    <w:rsid w:val="001341E7"/>
    <w:rsid w:val="00134F8D"/>
    <w:rsid w:val="00137D92"/>
    <w:rsid w:val="00152BB8"/>
    <w:rsid w:val="0016045E"/>
    <w:rsid w:val="00162B39"/>
    <w:rsid w:val="00171DA0"/>
    <w:rsid w:val="00172B2C"/>
    <w:rsid w:val="00181E50"/>
    <w:rsid w:val="0019432C"/>
    <w:rsid w:val="00195133"/>
    <w:rsid w:val="001A14C2"/>
    <w:rsid w:val="001A3B61"/>
    <w:rsid w:val="001A49D1"/>
    <w:rsid w:val="001A675C"/>
    <w:rsid w:val="001B7F90"/>
    <w:rsid w:val="001C1D40"/>
    <w:rsid w:val="001C4F97"/>
    <w:rsid w:val="001D1045"/>
    <w:rsid w:val="001D10B3"/>
    <w:rsid w:val="001D2376"/>
    <w:rsid w:val="001E0D01"/>
    <w:rsid w:val="001E145E"/>
    <w:rsid w:val="001F6585"/>
    <w:rsid w:val="00202659"/>
    <w:rsid w:val="00206526"/>
    <w:rsid w:val="002074AC"/>
    <w:rsid w:val="00211BDA"/>
    <w:rsid w:val="00214934"/>
    <w:rsid w:val="002232A1"/>
    <w:rsid w:val="00226208"/>
    <w:rsid w:val="002307FF"/>
    <w:rsid w:val="00247709"/>
    <w:rsid w:val="0025678C"/>
    <w:rsid w:val="00261D36"/>
    <w:rsid w:val="00263AD6"/>
    <w:rsid w:val="0027721C"/>
    <w:rsid w:val="002817CF"/>
    <w:rsid w:val="002831B9"/>
    <w:rsid w:val="00287CED"/>
    <w:rsid w:val="00296F10"/>
    <w:rsid w:val="002A2BCC"/>
    <w:rsid w:val="002B72BF"/>
    <w:rsid w:val="002C77BE"/>
    <w:rsid w:val="002D1821"/>
    <w:rsid w:val="002D2E9F"/>
    <w:rsid w:val="002D43AD"/>
    <w:rsid w:val="002D67E6"/>
    <w:rsid w:val="002D6E8E"/>
    <w:rsid w:val="002E3C8F"/>
    <w:rsid w:val="002E4F2C"/>
    <w:rsid w:val="002E6E98"/>
    <w:rsid w:val="003011A4"/>
    <w:rsid w:val="003062BC"/>
    <w:rsid w:val="00306BC9"/>
    <w:rsid w:val="00307F94"/>
    <w:rsid w:val="0032293E"/>
    <w:rsid w:val="0032603B"/>
    <w:rsid w:val="0034475B"/>
    <w:rsid w:val="00374A19"/>
    <w:rsid w:val="00374F28"/>
    <w:rsid w:val="0037579C"/>
    <w:rsid w:val="003A6AD1"/>
    <w:rsid w:val="003C0EBE"/>
    <w:rsid w:val="003C68CB"/>
    <w:rsid w:val="003C73A3"/>
    <w:rsid w:val="003D05C0"/>
    <w:rsid w:val="003D21DF"/>
    <w:rsid w:val="003D756D"/>
    <w:rsid w:val="003F6B14"/>
    <w:rsid w:val="00401F74"/>
    <w:rsid w:val="0040B023"/>
    <w:rsid w:val="00412B0F"/>
    <w:rsid w:val="004214E6"/>
    <w:rsid w:val="00435017"/>
    <w:rsid w:val="00435BC7"/>
    <w:rsid w:val="00474A17"/>
    <w:rsid w:val="00492DDE"/>
    <w:rsid w:val="004A5BF0"/>
    <w:rsid w:val="004A6B33"/>
    <w:rsid w:val="004B1F83"/>
    <w:rsid w:val="004B38E2"/>
    <w:rsid w:val="004B680F"/>
    <w:rsid w:val="004B6A45"/>
    <w:rsid w:val="004C37B7"/>
    <w:rsid w:val="004C48ED"/>
    <w:rsid w:val="004D7F51"/>
    <w:rsid w:val="004E2911"/>
    <w:rsid w:val="004E29EF"/>
    <w:rsid w:val="004E387D"/>
    <w:rsid w:val="004E3DDE"/>
    <w:rsid w:val="004F0A2C"/>
    <w:rsid w:val="004F2150"/>
    <w:rsid w:val="004F3BE9"/>
    <w:rsid w:val="004F3F15"/>
    <w:rsid w:val="004F5CE6"/>
    <w:rsid w:val="004F7329"/>
    <w:rsid w:val="005062F7"/>
    <w:rsid w:val="005073F1"/>
    <w:rsid w:val="005105F7"/>
    <w:rsid w:val="00512922"/>
    <w:rsid w:val="0051441A"/>
    <w:rsid w:val="00515F0D"/>
    <w:rsid w:val="00516057"/>
    <w:rsid w:val="00525726"/>
    <w:rsid w:val="00526E04"/>
    <w:rsid w:val="00547AF9"/>
    <w:rsid w:val="00550F17"/>
    <w:rsid w:val="0055767E"/>
    <w:rsid w:val="00572D4A"/>
    <w:rsid w:val="0058367F"/>
    <w:rsid w:val="00587098"/>
    <w:rsid w:val="00587F07"/>
    <w:rsid w:val="0059248F"/>
    <w:rsid w:val="0059448A"/>
    <w:rsid w:val="0059488A"/>
    <w:rsid w:val="005B0E86"/>
    <w:rsid w:val="005B2829"/>
    <w:rsid w:val="005C2AD7"/>
    <w:rsid w:val="005D4352"/>
    <w:rsid w:val="005D74B7"/>
    <w:rsid w:val="005E4EB5"/>
    <w:rsid w:val="00603BD5"/>
    <w:rsid w:val="00603F18"/>
    <w:rsid w:val="0061766E"/>
    <w:rsid w:val="00625C11"/>
    <w:rsid w:val="006262D2"/>
    <w:rsid w:val="0063093F"/>
    <w:rsid w:val="00631BCB"/>
    <w:rsid w:val="006368A5"/>
    <w:rsid w:val="00647E26"/>
    <w:rsid w:val="0065726C"/>
    <w:rsid w:val="006616BE"/>
    <w:rsid w:val="00673AC9"/>
    <w:rsid w:val="00677729"/>
    <w:rsid w:val="00680D18"/>
    <w:rsid w:val="006863D0"/>
    <w:rsid w:val="00691D49"/>
    <w:rsid w:val="006A51FC"/>
    <w:rsid w:val="006B0CEC"/>
    <w:rsid w:val="006B2EB2"/>
    <w:rsid w:val="006C23FA"/>
    <w:rsid w:val="006C306B"/>
    <w:rsid w:val="006C43AE"/>
    <w:rsid w:val="006C4B73"/>
    <w:rsid w:val="006C5FAB"/>
    <w:rsid w:val="006E04D2"/>
    <w:rsid w:val="007031C1"/>
    <w:rsid w:val="0071156E"/>
    <w:rsid w:val="0071381F"/>
    <w:rsid w:val="00713FC7"/>
    <w:rsid w:val="00736A7D"/>
    <w:rsid w:val="007376E7"/>
    <w:rsid w:val="007556C7"/>
    <w:rsid w:val="00756533"/>
    <w:rsid w:val="007610AC"/>
    <w:rsid w:val="00761A17"/>
    <w:rsid w:val="0076578D"/>
    <w:rsid w:val="00772358"/>
    <w:rsid w:val="00786615"/>
    <w:rsid w:val="007A17A2"/>
    <w:rsid w:val="007A1CD0"/>
    <w:rsid w:val="007A320E"/>
    <w:rsid w:val="007B665E"/>
    <w:rsid w:val="007B698C"/>
    <w:rsid w:val="007B7791"/>
    <w:rsid w:val="007C1297"/>
    <w:rsid w:val="007C5570"/>
    <w:rsid w:val="007D673A"/>
    <w:rsid w:val="007D7847"/>
    <w:rsid w:val="007F0624"/>
    <w:rsid w:val="007F30E2"/>
    <w:rsid w:val="007F6826"/>
    <w:rsid w:val="008018C5"/>
    <w:rsid w:val="00802BD4"/>
    <w:rsid w:val="00810FF4"/>
    <w:rsid w:val="00811A61"/>
    <w:rsid w:val="00815A1A"/>
    <w:rsid w:val="008170F0"/>
    <w:rsid w:val="00817161"/>
    <w:rsid w:val="00824112"/>
    <w:rsid w:val="00837A76"/>
    <w:rsid w:val="0084489E"/>
    <w:rsid w:val="008516CC"/>
    <w:rsid w:val="008535C7"/>
    <w:rsid w:val="00854923"/>
    <w:rsid w:val="0086303D"/>
    <w:rsid w:val="00865295"/>
    <w:rsid w:val="00881AB2"/>
    <w:rsid w:val="00882141"/>
    <w:rsid w:val="00890AD8"/>
    <w:rsid w:val="00896FE4"/>
    <w:rsid w:val="008A0E8A"/>
    <w:rsid w:val="008A49E8"/>
    <w:rsid w:val="008B0A0F"/>
    <w:rsid w:val="008B20C7"/>
    <w:rsid w:val="008B45FD"/>
    <w:rsid w:val="008C46ED"/>
    <w:rsid w:val="008D26D0"/>
    <w:rsid w:val="008E1ACE"/>
    <w:rsid w:val="008E4A1A"/>
    <w:rsid w:val="008E526B"/>
    <w:rsid w:val="008F2625"/>
    <w:rsid w:val="008F463B"/>
    <w:rsid w:val="00904293"/>
    <w:rsid w:val="009053A4"/>
    <w:rsid w:val="00907495"/>
    <w:rsid w:val="00914E09"/>
    <w:rsid w:val="00915CE3"/>
    <w:rsid w:val="00925DB9"/>
    <w:rsid w:val="009333BE"/>
    <w:rsid w:val="009443D9"/>
    <w:rsid w:val="00945F1A"/>
    <w:rsid w:val="0096312D"/>
    <w:rsid w:val="00967C88"/>
    <w:rsid w:val="009718F5"/>
    <w:rsid w:val="0097612A"/>
    <w:rsid w:val="00980D9E"/>
    <w:rsid w:val="00990BE3"/>
    <w:rsid w:val="00991B50"/>
    <w:rsid w:val="0099413A"/>
    <w:rsid w:val="009951CD"/>
    <w:rsid w:val="00996297"/>
    <w:rsid w:val="0099793C"/>
    <w:rsid w:val="009A2719"/>
    <w:rsid w:val="009A367F"/>
    <w:rsid w:val="009A5024"/>
    <w:rsid w:val="009B2260"/>
    <w:rsid w:val="009B3485"/>
    <w:rsid w:val="009B7CAE"/>
    <w:rsid w:val="009C2BCE"/>
    <w:rsid w:val="009C39C6"/>
    <w:rsid w:val="009C7B6D"/>
    <w:rsid w:val="009D083B"/>
    <w:rsid w:val="009D5DC6"/>
    <w:rsid w:val="009D782E"/>
    <w:rsid w:val="009D7CB7"/>
    <w:rsid w:val="009E2ABF"/>
    <w:rsid w:val="009E2F4A"/>
    <w:rsid w:val="009E64C6"/>
    <w:rsid w:val="009F4780"/>
    <w:rsid w:val="00A10523"/>
    <w:rsid w:val="00A10846"/>
    <w:rsid w:val="00A1710C"/>
    <w:rsid w:val="00A237F3"/>
    <w:rsid w:val="00A23AEB"/>
    <w:rsid w:val="00A37715"/>
    <w:rsid w:val="00A568A8"/>
    <w:rsid w:val="00A57321"/>
    <w:rsid w:val="00A61578"/>
    <w:rsid w:val="00A63C25"/>
    <w:rsid w:val="00A7069F"/>
    <w:rsid w:val="00A70AB9"/>
    <w:rsid w:val="00A7799C"/>
    <w:rsid w:val="00A816C8"/>
    <w:rsid w:val="00A81F18"/>
    <w:rsid w:val="00A906F0"/>
    <w:rsid w:val="00A92050"/>
    <w:rsid w:val="00A9686E"/>
    <w:rsid w:val="00A976CF"/>
    <w:rsid w:val="00AA4E0C"/>
    <w:rsid w:val="00AB0FFA"/>
    <w:rsid w:val="00AB71F9"/>
    <w:rsid w:val="00AC307A"/>
    <w:rsid w:val="00AD7B93"/>
    <w:rsid w:val="00AE0DC9"/>
    <w:rsid w:val="00AE34AF"/>
    <w:rsid w:val="00AE7B0F"/>
    <w:rsid w:val="00AF5DF3"/>
    <w:rsid w:val="00B05C55"/>
    <w:rsid w:val="00B0647D"/>
    <w:rsid w:val="00B07E73"/>
    <w:rsid w:val="00B10902"/>
    <w:rsid w:val="00B272C1"/>
    <w:rsid w:val="00B27345"/>
    <w:rsid w:val="00B31E73"/>
    <w:rsid w:val="00B46A84"/>
    <w:rsid w:val="00B523FB"/>
    <w:rsid w:val="00B54574"/>
    <w:rsid w:val="00B57822"/>
    <w:rsid w:val="00B57F1A"/>
    <w:rsid w:val="00B75B51"/>
    <w:rsid w:val="00B76ED2"/>
    <w:rsid w:val="00B901C8"/>
    <w:rsid w:val="00BA6DDA"/>
    <w:rsid w:val="00BC1025"/>
    <w:rsid w:val="00BC1474"/>
    <w:rsid w:val="00BC4685"/>
    <w:rsid w:val="00BD74C3"/>
    <w:rsid w:val="00BE126A"/>
    <w:rsid w:val="00BE1EE4"/>
    <w:rsid w:val="00BE75A5"/>
    <w:rsid w:val="00C00E9B"/>
    <w:rsid w:val="00C131A2"/>
    <w:rsid w:val="00C202F5"/>
    <w:rsid w:val="00C21A46"/>
    <w:rsid w:val="00C24901"/>
    <w:rsid w:val="00C334EF"/>
    <w:rsid w:val="00C35BE9"/>
    <w:rsid w:val="00C42C0B"/>
    <w:rsid w:val="00C450D0"/>
    <w:rsid w:val="00C520FA"/>
    <w:rsid w:val="00C566C4"/>
    <w:rsid w:val="00C61685"/>
    <w:rsid w:val="00C657FA"/>
    <w:rsid w:val="00C67889"/>
    <w:rsid w:val="00C710D2"/>
    <w:rsid w:val="00C818B8"/>
    <w:rsid w:val="00CA2013"/>
    <w:rsid w:val="00CA3AFC"/>
    <w:rsid w:val="00CA420F"/>
    <w:rsid w:val="00CB19A5"/>
    <w:rsid w:val="00CB5A2E"/>
    <w:rsid w:val="00CB6B33"/>
    <w:rsid w:val="00CC15FE"/>
    <w:rsid w:val="00CC5C47"/>
    <w:rsid w:val="00CC771A"/>
    <w:rsid w:val="00CD319D"/>
    <w:rsid w:val="00CD6D28"/>
    <w:rsid w:val="00CE19E5"/>
    <w:rsid w:val="00CE6BDB"/>
    <w:rsid w:val="00D013CE"/>
    <w:rsid w:val="00D019D7"/>
    <w:rsid w:val="00D0297A"/>
    <w:rsid w:val="00D12BE3"/>
    <w:rsid w:val="00D1480F"/>
    <w:rsid w:val="00D2376A"/>
    <w:rsid w:val="00D2739F"/>
    <w:rsid w:val="00D33C7E"/>
    <w:rsid w:val="00D3455C"/>
    <w:rsid w:val="00D40E54"/>
    <w:rsid w:val="00D41FFA"/>
    <w:rsid w:val="00D42394"/>
    <w:rsid w:val="00D44B20"/>
    <w:rsid w:val="00D4524A"/>
    <w:rsid w:val="00D452B7"/>
    <w:rsid w:val="00D75607"/>
    <w:rsid w:val="00D75D41"/>
    <w:rsid w:val="00D84E19"/>
    <w:rsid w:val="00D878B6"/>
    <w:rsid w:val="00D90200"/>
    <w:rsid w:val="00D932AE"/>
    <w:rsid w:val="00DA44D2"/>
    <w:rsid w:val="00DA4F02"/>
    <w:rsid w:val="00DB682B"/>
    <w:rsid w:val="00DB7F49"/>
    <w:rsid w:val="00DD645C"/>
    <w:rsid w:val="00DD7380"/>
    <w:rsid w:val="00DD7E13"/>
    <w:rsid w:val="00DF0988"/>
    <w:rsid w:val="00DF5A74"/>
    <w:rsid w:val="00DF61C4"/>
    <w:rsid w:val="00E02EDF"/>
    <w:rsid w:val="00E11EDF"/>
    <w:rsid w:val="00E13473"/>
    <w:rsid w:val="00E15211"/>
    <w:rsid w:val="00E16A57"/>
    <w:rsid w:val="00E173EE"/>
    <w:rsid w:val="00E326FC"/>
    <w:rsid w:val="00E36F4A"/>
    <w:rsid w:val="00E37BBD"/>
    <w:rsid w:val="00E41F54"/>
    <w:rsid w:val="00E434ED"/>
    <w:rsid w:val="00E45B1C"/>
    <w:rsid w:val="00E653B0"/>
    <w:rsid w:val="00E669FB"/>
    <w:rsid w:val="00E7136A"/>
    <w:rsid w:val="00E759EE"/>
    <w:rsid w:val="00E76235"/>
    <w:rsid w:val="00E84FA5"/>
    <w:rsid w:val="00E877EC"/>
    <w:rsid w:val="00E90A9E"/>
    <w:rsid w:val="00E97FB7"/>
    <w:rsid w:val="00EB585F"/>
    <w:rsid w:val="00EC46E6"/>
    <w:rsid w:val="00EC4F3A"/>
    <w:rsid w:val="00EE3906"/>
    <w:rsid w:val="00EE6EE6"/>
    <w:rsid w:val="00EF0351"/>
    <w:rsid w:val="00EF6944"/>
    <w:rsid w:val="00F01E27"/>
    <w:rsid w:val="00F10026"/>
    <w:rsid w:val="00F10857"/>
    <w:rsid w:val="00F1190D"/>
    <w:rsid w:val="00F1317B"/>
    <w:rsid w:val="00F14F43"/>
    <w:rsid w:val="00F17269"/>
    <w:rsid w:val="00F24424"/>
    <w:rsid w:val="00F26A86"/>
    <w:rsid w:val="00F332C0"/>
    <w:rsid w:val="00F36DFF"/>
    <w:rsid w:val="00F430AA"/>
    <w:rsid w:val="00F455C0"/>
    <w:rsid w:val="00F52921"/>
    <w:rsid w:val="00F5359D"/>
    <w:rsid w:val="00F557CF"/>
    <w:rsid w:val="00F55FA4"/>
    <w:rsid w:val="00F62C02"/>
    <w:rsid w:val="00F634F3"/>
    <w:rsid w:val="00F67BDE"/>
    <w:rsid w:val="00F72EB4"/>
    <w:rsid w:val="00F73D57"/>
    <w:rsid w:val="00F75BDD"/>
    <w:rsid w:val="00F76B60"/>
    <w:rsid w:val="00F76C4A"/>
    <w:rsid w:val="00F77D35"/>
    <w:rsid w:val="00F801FE"/>
    <w:rsid w:val="00F80DBE"/>
    <w:rsid w:val="00F9493A"/>
    <w:rsid w:val="00FA1577"/>
    <w:rsid w:val="00FB2162"/>
    <w:rsid w:val="00FB40A5"/>
    <w:rsid w:val="00FB58AF"/>
    <w:rsid w:val="00FB76A6"/>
    <w:rsid w:val="00FD6363"/>
    <w:rsid w:val="00FE2429"/>
    <w:rsid w:val="00FF2E76"/>
    <w:rsid w:val="00FF36CE"/>
    <w:rsid w:val="0B983C8C"/>
    <w:rsid w:val="140985CA"/>
    <w:rsid w:val="24E99F9C"/>
    <w:rsid w:val="27AD5F80"/>
    <w:rsid w:val="2AFB6618"/>
    <w:rsid w:val="38C61763"/>
    <w:rsid w:val="399C9078"/>
    <w:rsid w:val="43426A3B"/>
    <w:rsid w:val="5752C3F2"/>
    <w:rsid w:val="61B36CE9"/>
    <w:rsid w:val="7294AA9C"/>
    <w:rsid w:val="7308FA98"/>
    <w:rsid w:val="7378C4C6"/>
    <w:rsid w:val="7840663C"/>
    <w:rsid w:val="7C0C0A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AB3ED29F-3560-4797-87A4-386AB4CD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Mentionnonrsolue1">
    <w:name w:val="Mention non résolue1"/>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 w:type="character" w:styleId="UnresolvedMention">
    <w:name w:val="Unresolved Mention"/>
    <w:basedOn w:val="DefaultParagraphFont"/>
    <w:uiPriority w:val="99"/>
    <w:semiHidden/>
    <w:unhideWhenUsed/>
    <w:rsid w:val="00E41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49721">
      <w:bodyDiv w:val="1"/>
      <w:marLeft w:val="0"/>
      <w:marRight w:val="0"/>
      <w:marTop w:val="0"/>
      <w:marBottom w:val="0"/>
      <w:divBdr>
        <w:top w:val="none" w:sz="0" w:space="0" w:color="auto"/>
        <w:left w:val="none" w:sz="0" w:space="0" w:color="auto"/>
        <w:bottom w:val="none" w:sz="0" w:space="0" w:color="auto"/>
        <w:right w:val="none" w:sz="0" w:space="0" w:color="auto"/>
      </w:divBdr>
    </w:div>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946692911">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fr/groupe/dare-forward-20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fr/finance/evenements/ev-day-2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rrafame.com/" TargetMode="External"/><Relationship Id="rId5" Type="http://schemas.openxmlformats.org/officeDocument/2006/relationships/numbering" Target="numbering.xml"/><Relationship Id="rId15" Type="http://schemas.openxmlformats.org/officeDocument/2006/relationships/hyperlink" Target="http://www.stellanti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4" ma:contentTypeDescription="Crée un document." ma:contentTypeScope="" ma:versionID="f2e756aa3829626c13470fa849f41011">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e5fe74a4843ecc44ace360f75dc7c39b"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67CDCD-D3C5-437C-9836-48506191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9831</Characters>
  <Application>Microsoft Office Word</Application>
  <DocSecurity>0</DocSecurity>
  <Lines>192</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kevin.frazier@fcagroup.com</dc:creator>
  <cp:keywords/>
  <cp:lastModifiedBy>PAUL CRAIG JOHNSTON</cp:lastModifiedBy>
  <cp:revision>3</cp:revision>
  <dcterms:created xsi:type="dcterms:W3CDTF">2023-01-17T13:18:00Z</dcterms:created>
  <dcterms:modified xsi:type="dcterms:W3CDTF">2023-01-18T06:23:00Z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0x010100D1AB943AC203684599DF6BB292D4C1A7</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ies>
</file>