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2639" w14:textId="7A5EEB5F" w:rsidR="00D90200" w:rsidRPr="005D1A97" w:rsidRDefault="00587098">
      <w:pPr>
        <w:pBdr>
          <w:top w:val="nil"/>
          <w:left w:val="nil"/>
          <w:bottom w:val="nil"/>
          <w:right w:val="nil"/>
          <w:between w:val="nil"/>
        </w:pBdr>
        <w:spacing w:after="480"/>
        <w:jc w:val="center"/>
        <w:rPr>
          <w:rFonts w:ascii="Arial" w:eastAsia="Arial" w:hAnsi="Arial" w:cs="Arial"/>
          <w:b/>
          <w:color w:val="000000"/>
          <w:sz w:val="28"/>
          <w:szCs w:val="28"/>
        </w:rPr>
      </w:pPr>
      <w:r w:rsidRPr="005D1A97">
        <w:rPr>
          <w:rFonts w:ascii="Arial" w:hAnsi="Arial" w:cs="Arial"/>
          <w:b/>
          <w:color w:val="000000"/>
          <w:sz w:val="28"/>
          <w:szCs w:val="28"/>
        </w:rPr>
        <w:t xml:space="preserve">Accordo tra Stellantis e Terrafame per la fornitura di solfato di nichel a basso contenuto di carbonio per le batterie dei veicoli elettrici </w:t>
      </w:r>
    </w:p>
    <w:p w14:paraId="319143FB" w14:textId="49259E77" w:rsidR="00B0647D" w:rsidRPr="005D1A97" w:rsidRDefault="0059488A" w:rsidP="00B0647D">
      <w:pPr>
        <w:numPr>
          <w:ilvl w:val="0"/>
          <w:numId w:val="1"/>
        </w:numPr>
        <w:spacing w:after="0"/>
        <w:jc w:val="left"/>
        <w:rPr>
          <w:rFonts w:ascii="Arial" w:eastAsia="Arial" w:hAnsi="Arial" w:cs="Arial"/>
        </w:rPr>
      </w:pPr>
      <w:r w:rsidRPr="005D1A97">
        <w:rPr>
          <w:rFonts w:ascii="Arial" w:hAnsi="Arial" w:cs="Arial"/>
        </w:rPr>
        <w:t xml:space="preserve">Stellantis rafforza la value chain per la produzione di batterie destinate ai veicoli elettrici supportando i target del piano strategico Dare Forward 2030 </w:t>
      </w:r>
    </w:p>
    <w:p w14:paraId="433D2148" w14:textId="2E41C601" w:rsidR="006C3B6C" w:rsidRPr="005D1A97" w:rsidRDefault="006C3B6C" w:rsidP="00B0647D">
      <w:pPr>
        <w:numPr>
          <w:ilvl w:val="0"/>
          <w:numId w:val="1"/>
        </w:numPr>
        <w:spacing w:after="0"/>
        <w:jc w:val="left"/>
        <w:rPr>
          <w:rFonts w:ascii="Arial" w:eastAsia="Arial" w:hAnsi="Arial" w:cs="Arial"/>
        </w:rPr>
      </w:pPr>
      <w:r w:rsidRPr="005D1A97">
        <w:rPr>
          <w:rFonts w:ascii="Arial" w:eastAsia="Arial" w:hAnsi="Arial" w:cs="Arial"/>
        </w:rPr>
        <w:t>La partnership rafforza il ruolo di Terrafame come fornitore accreditato per la produzione di veicoli elettrici sostenibili</w:t>
      </w:r>
    </w:p>
    <w:p w14:paraId="06355130" w14:textId="4A4D37F9" w:rsidR="00D90200" w:rsidRPr="005D1A97" w:rsidRDefault="00C21A46" w:rsidP="00B0647D">
      <w:pPr>
        <w:numPr>
          <w:ilvl w:val="0"/>
          <w:numId w:val="1"/>
        </w:numPr>
        <w:spacing w:after="0"/>
        <w:jc w:val="left"/>
        <w:rPr>
          <w:rFonts w:ascii="Arial" w:eastAsia="Arial" w:hAnsi="Arial" w:cs="Arial"/>
        </w:rPr>
      </w:pPr>
      <w:r w:rsidRPr="005D1A97">
        <w:rPr>
          <w:rFonts w:ascii="Arial" w:hAnsi="Arial" w:cs="Arial"/>
        </w:rPr>
        <w:t xml:space="preserve">La partnership rappresenta un passo concreto verso la realizzazione di un </w:t>
      </w:r>
      <w:r w:rsidR="006B46DF" w:rsidRPr="005D1A97">
        <w:rPr>
          <w:rFonts w:ascii="Arial" w:hAnsi="Arial" w:cs="Arial"/>
        </w:rPr>
        <w:t xml:space="preserve">cluster </w:t>
      </w:r>
      <w:r w:rsidRPr="005D1A97">
        <w:rPr>
          <w:rFonts w:ascii="Arial" w:hAnsi="Arial" w:cs="Arial"/>
        </w:rPr>
        <w:t xml:space="preserve">europeo delle batterie ben strutturato, trasparente e sostenibile </w:t>
      </w:r>
      <w:r w:rsidR="00517B28" w:rsidRPr="005D1A97">
        <w:rPr>
          <w:rFonts w:ascii="Arial" w:hAnsi="Arial" w:cs="Arial"/>
        </w:rPr>
        <w:t>per soddisfare le esigenze di Stellantis</w:t>
      </w:r>
    </w:p>
    <w:p w14:paraId="7ED52B57" w14:textId="77777777" w:rsidR="00B0647D" w:rsidRPr="005D1A97" w:rsidRDefault="00B0647D" w:rsidP="00B0647D">
      <w:pPr>
        <w:shd w:val="clear" w:color="auto" w:fill="FFFFFF"/>
        <w:spacing w:after="0"/>
        <w:ind w:left="720"/>
        <w:jc w:val="left"/>
        <w:rPr>
          <w:rFonts w:ascii="Arial" w:eastAsia="Arial" w:hAnsi="Arial" w:cs="Arial"/>
          <w:sz w:val="18"/>
          <w:szCs w:val="18"/>
        </w:rPr>
      </w:pPr>
    </w:p>
    <w:p w14:paraId="5FA5EF8E" w14:textId="5995863C" w:rsidR="00044B15" w:rsidRPr="005D1A97" w:rsidRDefault="43426A3B" w:rsidP="00435017">
      <w:pPr>
        <w:pBdr>
          <w:top w:val="nil"/>
          <w:left w:val="nil"/>
          <w:bottom w:val="nil"/>
          <w:right w:val="nil"/>
          <w:between w:val="nil"/>
        </w:pBdr>
        <w:jc w:val="left"/>
        <w:rPr>
          <w:rFonts w:ascii="Arial" w:eastAsia="Arial" w:hAnsi="Arial" w:cs="Arial"/>
          <w:color w:val="000000"/>
          <w:sz w:val="22"/>
          <w:szCs w:val="22"/>
        </w:rPr>
      </w:pPr>
      <w:r w:rsidRPr="005D1A97">
        <w:rPr>
          <w:rFonts w:ascii="Arial" w:hAnsi="Arial" w:cs="Arial"/>
          <w:b/>
          <w:bCs/>
          <w:color w:val="000000"/>
          <w:sz w:val="22"/>
          <w:szCs w:val="22"/>
        </w:rPr>
        <w:t xml:space="preserve">AMSTERDAM, </w:t>
      </w:r>
      <w:r w:rsidR="006C3B6C" w:rsidRPr="005D1A97">
        <w:rPr>
          <w:rFonts w:ascii="Arial" w:hAnsi="Arial" w:cs="Arial"/>
          <w:b/>
          <w:color w:val="000000"/>
          <w:sz w:val="22"/>
          <w:szCs w:val="22"/>
        </w:rPr>
        <w:t>18 gennaio 2023</w:t>
      </w:r>
      <w:r w:rsidRPr="005D1A97">
        <w:rPr>
          <w:rFonts w:ascii="Arial" w:hAnsi="Arial" w:cs="Arial"/>
          <w:color w:val="000000"/>
          <w:sz w:val="22"/>
          <w:szCs w:val="22"/>
        </w:rPr>
        <w:t xml:space="preserve"> – </w:t>
      </w:r>
      <w:r w:rsidRPr="005D1A97">
        <w:rPr>
          <w:rFonts w:ascii="Arial" w:hAnsi="Arial" w:cs="Arial"/>
          <w:sz w:val="22"/>
          <w:szCs w:val="22"/>
          <w:shd w:val="clear" w:color="auto" w:fill="FFFFFF"/>
        </w:rPr>
        <w:t xml:space="preserve">Stellantis N.V. </w:t>
      </w:r>
      <w:r w:rsidRPr="005D1A97">
        <w:rPr>
          <w:rFonts w:ascii="Arial" w:hAnsi="Arial" w:cs="Arial"/>
          <w:color w:val="000000"/>
          <w:sz w:val="22"/>
          <w:szCs w:val="22"/>
        </w:rPr>
        <w:t xml:space="preserve">e </w:t>
      </w:r>
      <w:hyperlink r:id="rId11" w:history="1">
        <w:proofErr w:type="spellStart"/>
        <w:r w:rsidRPr="005D1A97">
          <w:rPr>
            <w:rStyle w:val="Hyperlink"/>
            <w:rFonts w:ascii="Arial" w:hAnsi="Arial" w:cs="Arial"/>
            <w:sz w:val="22"/>
            <w:szCs w:val="22"/>
            <w:u w:val="single"/>
          </w:rPr>
          <w:t>Terrafam</w:t>
        </w:r>
        <w:proofErr w:type="spellEnd"/>
        <w:r w:rsidR="00021874">
          <w:rPr>
            <w:rStyle w:val="Hyperlink"/>
            <w:rFonts w:ascii="Arial" w:hAnsi="Arial" w:cs="Arial"/>
            <w:sz w:val="22"/>
            <w:szCs w:val="22"/>
            <w:u w:val="single"/>
          </w:rPr>
          <w:t xml:space="preserve"> Ltd.</w:t>
        </w:r>
      </w:hyperlink>
      <w:r w:rsidR="006C3B6C" w:rsidRPr="005D1A97">
        <w:rPr>
          <w:rFonts w:ascii="Arial" w:eastAsia="Arial" w:hAnsi="Arial" w:cs="Arial"/>
          <w:color w:val="000000"/>
          <w:sz w:val="22"/>
          <w:szCs w:val="22"/>
        </w:rPr>
        <w:t xml:space="preserve"> </w:t>
      </w:r>
      <w:r w:rsidRPr="005D1A97">
        <w:rPr>
          <w:rFonts w:ascii="Arial" w:hAnsi="Arial" w:cs="Arial"/>
          <w:color w:val="000000"/>
          <w:sz w:val="22"/>
          <w:szCs w:val="22"/>
        </w:rPr>
        <w:t xml:space="preserve">hanno </w:t>
      </w:r>
      <w:r w:rsidR="006C3B6C" w:rsidRPr="005D1A97">
        <w:rPr>
          <w:rFonts w:ascii="Arial" w:hAnsi="Arial" w:cs="Arial"/>
          <w:color w:val="000000"/>
          <w:sz w:val="22"/>
          <w:szCs w:val="22"/>
        </w:rPr>
        <w:t>annunciato oggi</w:t>
      </w:r>
      <w:r w:rsidR="00426A45" w:rsidRPr="005D1A97">
        <w:rPr>
          <w:rFonts w:ascii="Arial" w:hAnsi="Arial" w:cs="Arial"/>
          <w:color w:val="000000"/>
          <w:sz w:val="22"/>
          <w:szCs w:val="22"/>
        </w:rPr>
        <w:t xml:space="preserve"> la firma di un accordo</w:t>
      </w:r>
      <w:r w:rsidR="006B46DF" w:rsidRPr="005D1A97">
        <w:rPr>
          <w:rFonts w:ascii="Arial" w:hAnsi="Arial" w:cs="Arial"/>
          <w:color w:val="000000"/>
          <w:sz w:val="22"/>
          <w:szCs w:val="22"/>
        </w:rPr>
        <w:t xml:space="preserve"> </w:t>
      </w:r>
      <w:r w:rsidRPr="005D1A97">
        <w:rPr>
          <w:rFonts w:ascii="Arial" w:hAnsi="Arial" w:cs="Arial"/>
          <w:color w:val="000000"/>
          <w:sz w:val="22"/>
          <w:szCs w:val="22"/>
        </w:rPr>
        <w:t xml:space="preserve">per la fornitura di solfato di nichel per la produzione delle batterie per i veicoli elettrici (EV). </w:t>
      </w:r>
      <w:r w:rsidRPr="005D1A97">
        <w:rPr>
          <w:rFonts w:ascii="Arial" w:hAnsi="Arial" w:cs="Arial"/>
          <w:sz w:val="22"/>
          <w:szCs w:val="22"/>
        </w:rPr>
        <w:t>Nell’ambito dell’accordo quinquennale</w:t>
      </w:r>
      <w:r w:rsidRPr="005D1A97">
        <w:rPr>
          <w:rFonts w:ascii="Arial" w:hAnsi="Arial" w:cs="Arial"/>
          <w:color w:val="000000"/>
          <w:sz w:val="22"/>
          <w:szCs w:val="22"/>
        </w:rPr>
        <w:t xml:space="preserve">, a partire dal 2025 la finlandese Terrafame fornirà a Stellantis </w:t>
      </w:r>
      <w:r w:rsidR="00F06F5D" w:rsidRPr="005D1A97">
        <w:rPr>
          <w:rFonts w:ascii="Arial" w:hAnsi="Arial" w:cs="Arial"/>
          <w:color w:val="000000"/>
          <w:sz w:val="22"/>
          <w:szCs w:val="22"/>
        </w:rPr>
        <w:t>il</w:t>
      </w:r>
      <w:r w:rsidRPr="005D1A97">
        <w:rPr>
          <w:rFonts w:ascii="Arial" w:hAnsi="Arial" w:cs="Arial"/>
          <w:color w:val="000000"/>
          <w:sz w:val="22"/>
          <w:szCs w:val="22"/>
        </w:rPr>
        <w:t xml:space="preserve"> solfato di nichel.</w:t>
      </w:r>
      <w:r w:rsidRPr="005D1A97">
        <w:rPr>
          <w:rFonts w:ascii="Arial" w:hAnsi="Arial" w:cs="Arial"/>
          <w:sz w:val="22"/>
          <w:szCs w:val="22"/>
        </w:rPr>
        <w:t xml:space="preserve"> </w:t>
      </w:r>
      <w:r w:rsidRPr="005D1A97">
        <w:rPr>
          <w:rFonts w:ascii="Arial" w:hAnsi="Arial" w:cs="Arial"/>
          <w:color w:val="000000"/>
          <w:sz w:val="22"/>
          <w:szCs w:val="22"/>
        </w:rPr>
        <w:t>L’accordo con Terrafame rientra nell</w:t>
      </w:r>
      <w:r w:rsidR="00741E9B" w:rsidRPr="005D1A97">
        <w:rPr>
          <w:rFonts w:ascii="Arial" w:hAnsi="Arial" w:cs="Arial"/>
          <w:color w:val="000000"/>
          <w:sz w:val="22"/>
          <w:szCs w:val="22"/>
        </w:rPr>
        <w:t xml:space="preserve">’aggressiva </w:t>
      </w:r>
      <w:hyperlink r:id="rId12" w:history="1">
        <w:r w:rsidRPr="005D1A97">
          <w:rPr>
            <w:rStyle w:val="Hyperlink"/>
            <w:rFonts w:ascii="Arial" w:hAnsi="Arial" w:cs="Arial"/>
            <w:sz w:val="22"/>
            <w:szCs w:val="22"/>
            <w:u w:val="single"/>
          </w:rPr>
          <w:t>strategia di elettrificazione</w:t>
        </w:r>
      </w:hyperlink>
      <w:r w:rsidRPr="005D1A97">
        <w:rPr>
          <w:rFonts w:ascii="Arial" w:hAnsi="Arial" w:cs="Arial"/>
          <w:color w:val="000000"/>
          <w:sz w:val="22"/>
          <w:szCs w:val="22"/>
        </w:rPr>
        <w:t xml:space="preserve"> di Stellantis, che consentirà di coprire </w:t>
      </w:r>
      <w:r w:rsidR="00741E9B" w:rsidRPr="005D1A97">
        <w:rPr>
          <w:rFonts w:ascii="Arial" w:hAnsi="Arial" w:cs="Arial"/>
          <w:color w:val="000000"/>
          <w:sz w:val="22"/>
          <w:szCs w:val="22"/>
        </w:rPr>
        <w:t>una significativa parte</w:t>
      </w:r>
      <w:r w:rsidRPr="005D1A97">
        <w:rPr>
          <w:rFonts w:ascii="Arial" w:hAnsi="Arial" w:cs="Arial"/>
          <w:color w:val="000000"/>
          <w:sz w:val="22"/>
          <w:szCs w:val="22"/>
        </w:rPr>
        <w:t xml:space="preserve"> del fabbisogno di nichel sostenibile prodotto nella regione. </w:t>
      </w:r>
    </w:p>
    <w:p w14:paraId="722C2E5A" w14:textId="5D7C85E7" w:rsidR="00F73D57" w:rsidRPr="005D1A97" w:rsidRDefault="00CD6D28" w:rsidP="00F73D57">
      <w:pPr>
        <w:shd w:val="clear" w:color="auto" w:fill="FFFFFF"/>
        <w:spacing w:after="0"/>
        <w:jc w:val="left"/>
        <w:rPr>
          <w:rFonts w:ascii="Arial" w:eastAsia="Times New Roman" w:hAnsi="Arial" w:cs="Arial"/>
          <w:color w:val="242424"/>
          <w:sz w:val="22"/>
          <w:szCs w:val="22"/>
        </w:rPr>
      </w:pPr>
      <w:r w:rsidRPr="005D1A97">
        <w:rPr>
          <w:rFonts w:ascii="Arial" w:hAnsi="Arial" w:cs="Arial"/>
          <w:color w:val="242424"/>
          <w:sz w:val="22"/>
          <w:szCs w:val="22"/>
          <w:bdr w:val="none" w:sz="0" w:space="0" w:color="auto" w:frame="1"/>
        </w:rPr>
        <w:t xml:space="preserve">“Questo accordo fa parte della strategia di approvvigionamento di di materie prime essenziali per </w:t>
      </w:r>
      <w:r w:rsidR="003B27CC" w:rsidRPr="005D1A97">
        <w:rPr>
          <w:rFonts w:ascii="Arial" w:hAnsi="Arial" w:cs="Arial"/>
          <w:color w:val="242424"/>
          <w:sz w:val="22"/>
          <w:szCs w:val="22"/>
          <w:bdr w:val="none" w:sz="0" w:space="0" w:color="auto" w:frame="1"/>
        </w:rPr>
        <w:t xml:space="preserve">soddisfare le nostre esigenze </w:t>
      </w:r>
      <w:r w:rsidRPr="005D1A97">
        <w:rPr>
          <w:rFonts w:ascii="Arial" w:hAnsi="Arial" w:cs="Arial"/>
          <w:color w:val="242424"/>
          <w:sz w:val="22"/>
          <w:szCs w:val="22"/>
          <w:bdr w:val="none" w:sz="0" w:space="0" w:color="auto" w:frame="1"/>
        </w:rPr>
        <w:t xml:space="preserve">la produzione dei pacchi batteria per i veicoli elettrici” ha affermato </w:t>
      </w:r>
      <w:r w:rsidR="000761A8" w:rsidRPr="005D1A97">
        <w:rPr>
          <w:rFonts w:ascii="Arial" w:hAnsi="Arial" w:cs="Arial"/>
          <w:color w:val="242424"/>
          <w:sz w:val="22"/>
          <w:szCs w:val="22"/>
          <w:bdr w:val="none" w:sz="0" w:space="0" w:color="auto" w:frame="1"/>
        </w:rPr>
        <w:t xml:space="preserve">Carlos Tavares, </w:t>
      </w:r>
      <w:r w:rsidRPr="005D1A97">
        <w:rPr>
          <w:rFonts w:ascii="Arial" w:hAnsi="Arial" w:cs="Arial"/>
          <w:color w:val="242424"/>
          <w:sz w:val="22"/>
          <w:szCs w:val="22"/>
          <w:bdr w:val="none" w:sz="0" w:space="0" w:color="auto" w:frame="1"/>
        </w:rPr>
        <w:t>CEO di Stellantis. “</w:t>
      </w:r>
      <w:r w:rsidR="003B27CC" w:rsidRPr="005D1A97">
        <w:rPr>
          <w:rFonts w:ascii="Arial" w:hAnsi="Arial" w:cs="Arial"/>
          <w:color w:val="242424"/>
          <w:sz w:val="22"/>
          <w:szCs w:val="22"/>
          <w:bdr w:val="none" w:sz="0" w:space="0" w:color="auto" w:frame="1"/>
        </w:rPr>
        <w:t>Continuiamo a costruire</w:t>
      </w:r>
      <w:r w:rsidRPr="005D1A97">
        <w:rPr>
          <w:rFonts w:ascii="Arial" w:hAnsi="Arial" w:cs="Arial"/>
          <w:color w:val="242424"/>
          <w:sz w:val="22"/>
          <w:szCs w:val="22"/>
          <w:bdr w:val="none" w:sz="0" w:space="0" w:color="auto" w:frame="1"/>
        </w:rPr>
        <w:t xml:space="preserve"> una nuova value chain globale insieme a partner </w:t>
      </w:r>
      <w:r w:rsidR="003B27CC" w:rsidRPr="005D1A97">
        <w:rPr>
          <w:rFonts w:ascii="Arial" w:hAnsi="Arial" w:cs="Arial"/>
          <w:color w:val="242424"/>
          <w:sz w:val="22"/>
          <w:szCs w:val="22"/>
          <w:bdr w:val="none" w:sz="0" w:space="0" w:color="auto" w:frame="1"/>
        </w:rPr>
        <w:t>di prima categoria</w:t>
      </w:r>
      <w:r w:rsidRPr="005D1A97">
        <w:rPr>
          <w:rFonts w:ascii="Arial" w:hAnsi="Arial" w:cs="Arial"/>
          <w:color w:val="242424"/>
          <w:sz w:val="22"/>
          <w:szCs w:val="22"/>
          <w:bdr w:val="none" w:sz="0" w:space="0" w:color="auto" w:frame="1"/>
        </w:rPr>
        <w:t xml:space="preserve">, per sostenere la nostra strategia globale e portare avanti il nostro impegno a diventare il punto di riferimento nel settore nel contrasto al cambiamento climatico, con l’obiettivo di azzerare le emissioni nette entro il 2038, </w:t>
      </w:r>
      <w:r w:rsidR="003B27CC" w:rsidRPr="005D1A97">
        <w:rPr>
          <w:rFonts w:ascii="Arial" w:hAnsi="Arial" w:cs="Arial"/>
          <w:color w:val="242424"/>
          <w:sz w:val="22"/>
          <w:szCs w:val="22"/>
          <w:bdr w:val="none" w:sz="0" w:space="0" w:color="auto" w:frame="1"/>
        </w:rPr>
        <w:t>in anticipo rispetto alla concorrenza</w:t>
      </w:r>
      <w:r w:rsidRPr="005D1A97">
        <w:rPr>
          <w:rFonts w:ascii="Arial" w:hAnsi="Arial" w:cs="Arial"/>
          <w:color w:val="242424"/>
          <w:sz w:val="22"/>
          <w:szCs w:val="22"/>
          <w:bdr w:val="none" w:sz="0" w:space="0" w:color="auto" w:frame="1"/>
        </w:rPr>
        <w:t>.” </w:t>
      </w:r>
    </w:p>
    <w:p w14:paraId="74BD2BD1" w14:textId="77777777" w:rsidR="00F73D57" w:rsidRPr="005D1A97" w:rsidRDefault="00F73D57" w:rsidP="00F73D57">
      <w:pPr>
        <w:shd w:val="clear" w:color="auto" w:fill="FFFFFF"/>
        <w:spacing w:after="0"/>
        <w:jc w:val="left"/>
        <w:rPr>
          <w:rFonts w:ascii="Arial" w:eastAsia="Times New Roman" w:hAnsi="Arial" w:cs="Arial"/>
          <w:color w:val="242424"/>
          <w:sz w:val="22"/>
          <w:szCs w:val="22"/>
        </w:rPr>
      </w:pPr>
    </w:p>
    <w:p w14:paraId="2E8CED15" w14:textId="3962989B" w:rsidR="00F73D57" w:rsidRPr="005D1A97" w:rsidRDefault="00DB682B" w:rsidP="00F73D57">
      <w:pPr>
        <w:shd w:val="clear" w:color="auto" w:fill="FFFFFF"/>
        <w:spacing w:after="0"/>
        <w:jc w:val="left"/>
        <w:rPr>
          <w:rFonts w:ascii="Arial" w:hAnsi="Arial" w:cs="Arial"/>
          <w:color w:val="000000"/>
          <w:sz w:val="22"/>
          <w:szCs w:val="22"/>
        </w:rPr>
      </w:pPr>
      <w:r w:rsidRPr="005D1A97">
        <w:rPr>
          <w:rFonts w:ascii="Arial" w:hAnsi="Arial" w:cs="Arial"/>
          <w:color w:val="000000"/>
          <w:sz w:val="22"/>
          <w:szCs w:val="22"/>
        </w:rPr>
        <w:t xml:space="preserve">Nell’ambito del piano strategico </w:t>
      </w:r>
      <w:hyperlink r:id="rId13" w:history="1">
        <w:r w:rsidRPr="005D1A97">
          <w:rPr>
            <w:rStyle w:val="Hyperlink"/>
            <w:rFonts w:ascii="Arial" w:hAnsi="Arial" w:cs="Arial"/>
            <w:sz w:val="22"/>
            <w:szCs w:val="22"/>
            <w:u w:val="single"/>
          </w:rPr>
          <w:t>Dare Forward 2030</w:t>
        </w:r>
      </w:hyperlink>
      <w:r w:rsidRPr="005D1A97">
        <w:rPr>
          <w:rFonts w:ascii="Arial" w:hAnsi="Arial" w:cs="Arial"/>
        </w:rPr>
        <w:t xml:space="preserve">, </w:t>
      </w:r>
      <w:r w:rsidRPr="005D1A97">
        <w:rPr>
          <w:rFonts w:ascii="Arial" w:hAnsi="Arial" w:cs="Arial"/>
          <w:color w:val="000000"/>
          <w:sz w:val="22"/>
          <w:szCs w:val="22"/>
        </w:rPr>
        <w:t xml:space="preserve">Stellantis ha annunciato l’obiettivo di </w:t>
      </w:r>
      <w:r w:rsidR="008D1296" w:rsidRPr="005D1A97">
        <w:rPr>
          <w:rFonts w:ascii="Arial" w:hAnsi="Arial" w:cs="Arial"/>
          <w:color w:val="000000"/>
          <w:sz w:val="22"/>
          <w:szCs w:val="22"/>
        </w:rPr>
        <w:t xml:space="preserve">raggiungere </w:t>
      </w:r>
      <w:r w:rsidRPr="005D1A97">
        <w:rPr>
          <w:rFonts w:ascii="Arial" w:hAnsi="Arial" w:cs="Arial"/>
          <w:color w:val="000000"/>
          <w:sz w:val="22"/>
          <w:szCs w:val="22"/>
        </w:rPr>
        <w:t xml:space="preserve">entro il 2030 il 100% del mix di vendite con autovetture elettriche a batteria (BEV) in Europa e il 50% con autovetture e </w:t>
      </w:r>
      <w:r w:rsidR="008D1296" w:rsidRPr="005D1A97">
        <w:rPr>
          <w:rFonts w:ascii="Arial" w:hAnsi="Arial" w:cs="Arial"/>
          <w:color w:val="000000"/>
          <w:sz w:val="22"/>
          <w:szCs w:val="22"/>
        </w:rPr>
        <w:t xml:space="preserve">veicoli commerciali </w:t>
      </w:r>
      <w:r w:rsidRPr="005D1A97">
        <w:rPr>
          <w:rFonts w:ascii="Arial" w:hAnsi="Arial" w:cs="Arial"/>
          <w:color w:val="000000"/>
          <w:sz w:val="22"/>
          <w:szCs w:val="22"/>
        </w:rPr>
        <w:t>leggeri BEV negli Stati Uniti. Al fine di offrire ai propri clienti una mobilità pulita, sicura e accessibile, Stellantis prevede di investire oltre 30 miliardi di euro entro il 2025 nell’elettrificazione e nello sviluppo software e punta a</w:t>
      </w:r>
      <w:r w:rsidR="008D1296" w:rsidRPr="005D1A97">
        <w:rPr>
          <w:rFonts w:ascii="Arial" w:hAnsi="Arial" w:cs="Arial"/>
          <w:color w:val="000000"/>
          <w:sz w:val="22"/>
          <w:szCs w:val="22"/>
        </w:rPr>
        <w:t>d essere</w:t>
      </w:r>
      <w:r w:rsidRPr="005D1A97">
        <w:rPr>
          <w:rFonts w:ascii="Arial" w:hAnsi="Arial" w:cs="Arial"/>
          <w:color w:val="000000"/>
          <w:sz w:val="22"/>
          <w:szCs w:val="22"/>
        </w:rPr>
        <w:t xml:space="preserve"> il 30% </w:t>
      </w:r>
      <w:r w:rsidR="008D1296" w:rsidRPr="005D1A97">
        <w:rPr>
          <w:rFonts w:ascii="Arial" w:hAnsi="Arial" w:cs="Arial"/>
          <w:color w:val="000000"/>
          <w:sz w:val="22"/>
          <w:szCs w:val="22"/>
        </w:rPr>
        <w:t xml:space="preserve">più efficiente </w:t>
      </w:r>
      <w:r w:rsidRPr="005D1A97">
        <w:rPr>
          <w:rFonts w:ascii="Arial" w:hAnsi="Arial" w:cs="Arial"/>
          <w:color w:val="000000"/>
          <w:sz w:val="22"/>
          <w:szCs w:val="22"/>
        </w:rPr>
        <w:t xml:space="preserve">rispetto alla media del settore nel rapporto tra la spesa totale di R&amp;S e </w:t>
      </w:r>
      <w:r w:rsidR="008D1296" w:rsidRPr="005D1A97">
        <w:rPr>
          <w:rFonts w:ascii="Arial" w:hAnsi="Arial" w:cs="Arial"/>
          <w:color w:val="000000"/>
          <w:sz w:val="22"/>
          <w:szCs w:val="22"/>
        </w:rPr>
        <w:t>Capex</w:t>
      </w:r>
      <w:r w:rsidRPr="005D1A97">
        <w:rPr>
          <w:rFonts w:ascii="Arial" w:hAnsi="Arial" w:cs="Arial"/>
          <w:color w:val="000000"/>
          <w:sz w:val="22"/>
          <w:szCs w:val="22"/>
        </w:rPr>
        <w:t xml:space="preserve"> rispetto ai ricavi.  </w:t>
      </w:r>
    </w:p>
    <w:p w14:paraId="1586FFFF" w14:textId="771799EC" w:rsidR="003B27CC" w:rsidRPr="005D1A97" w:rsidRDefault="003B27CC" w:rsidP="00F73D57">
      <w:pPr>
        <w:shd w:val="clear" w:color="auto" w:fill="FFFFFF"/>
        <w:spacing w:after="0"/>
        <w:jc w:val="left"/>
        <w:rPr>
          <w:rFonts w:ascii="Arial" w:hAnsi="Arial" w:cs="Arial"/>
          <w:color w:val="000000"/>
          <w:sz w:val="22"/>
          <w:szCs w:val="22"/>
        </w:rPr>
      </w:pPr>
    </w:p>
    <w:p w14:paraId="096E8B74" w14:textId="799B6387" w:rsidR="003B27CC" w:rsidRPr="005D1A97" w:rsidRDefault="003B27CC" w:rsidP="003B27CC">
      <w:pPr>
        <w:shd w:val="clear" w:color="auto" w:fill="FFFFFF"/>
        <w:spacing w:after="0"/>
        <w:jc w:val="left"/>
        <w:rPr>
          <w:rFonts w:ascii="Arial" w:eastAsia="Arial" w:hAnsi="Arial" w:cs="Arial"/>
          <w:color w:val="000000"/>
          <w:sz w:val="22"/>
          <w:szCs w:val="22"/>
        </w:rPr>
      </w:pPr>
      <w:r w:rsidRPr="005D1A97">
        <w:rPr>
          <w:rFonts w:ascii="Arial" w:eastAsia="Arial" w:hAnsi="Arial" w:cs="Arial"/>
          <w:color w:val="000000"/>
          <w:sz w:val="22"/>
          <w:szCs w:val="22"/>
        </w:rPr>
        <w:t>Terrafame in Finlandia gestisce uno dei più grandi impianti chimici per batterie EV del mondo. Con un processo di produzione integrato che parte dalla sua miniera e termina con i componenti chimici per batterie in un unico sito industriale, la produzione di Terrafame è completamente tracciabile. Inoltre, grazie all</w:t>
      </w:r>
      <w:r w:rsidR="00F85785">
        <w:rPr>
          <w:rFonts w:ascii="Arial" w:eastAsia="Arial" w:hAnsi="Arial" w:cs="Arial"/>
          <w:color w:val="000000"/>
          <w:sz w:val="22"/>
          <w:szCs w:val="22"/>
        </w:rPr>
        <w:t>’</w:t>
      </w:r>
      <w:r w:rsidRPr="005D1A97">
        <w:rPr>
          <w:rFonts w:ascii="Arial" w:eastAsia="Arial" w:hAnsi="Arial" w:cs="Arial"/>
          <w:color w:val="000000"/>
          <w:sz w:val="22"/>
          <w:szCs w:val="22"/>
        </w:rPr>
        <w:t>esclusiva tecnologia di produzione, le emissioni di carbonio del solfato di nichel prodotto da Terrafame sono tra le più ridotte del settore.</w:t>
      </w:r>
    </w:p>
    <w:p w14:paraId="70E88D6C" w14:textId="77777777" w:rsidR="003B27CC" w:rsidRPr="005D1A97" w:rsidRDefault="003B27CC" w:rsidP="003B27CC">
      <w:pPr>
        <w:shd w:val="clear" w:color="auto" w:fill="FFFFFF"/>
        <w:spacing w:after="0"/>
        <w:jc w:val="left"/>
        <w:rPr>
          <w:rFonts w:ascii="Arial" w:eastAsia="Arial" w:hAnsi="Arial" w:cs="Arial"/>
          <w:color w:val="000000"/>
          <w:sz w:val="22"/>
          <w:szCs w:val="22"/>
        </w:rPr>
      </w:pPr>
    </w:p>
    <w:p w14:paraId="4B3E99BC" w14:textId="79841835" w:rsidR="006E04D2" w:rsidRPr="005D1A97" w:rsidRDefault="0032293E" w:rsidP="00F73D57">
      <w:pPr>
        <w:shd w:val="clear" w:color="auto" w:fill="FFFFFF"/>
        <w:spacing w:after="0"/>
        <w:jc w:val="left"/>
        <w:rPr>
          <w:rFonts w:ascii="Arial" w:eastAsia="Encode Sans Condensed Condensed" w:hAnsi="Arial" w:cs="Arial"/>
          <w:sz w:val="22"/>
          <w:szCs w:val="22"/>
        </w:rPr>
      </w:pPr>
      <w:r w:rsidRPr="005D1A97">
        <w:rPr>
          <w:rFonts w:ascii="Arial" w:hAnsi="Arial" w:cs="Arial"/>
          <w:sz w:val="22"/>
          <w:szCs w:val="22"/>
        </w:rPr>
        <w:t xml:space="preserve">“La </w:t>
      </w:r>
      <w:r w:rsidR="008D1296" w:rsidRPr="005D1A97">
        <w:rPr>
          <w:rFonts w:ascii="Arial" w:hAnsi="Arial" w:cs="Arial"/>
          <w:sz w:val="22"/>
          <w:szCs w:val="22"/>
        </w:rPr>
        <w:t xml:space="preserve">collaborazione </w:t>
      </w:r>
      <w:r w:rsidRPr="005D1A97">
        <w:rPr>
          <w:rFonts w:ascii="Arial" w:hAnsi="Arial" w:cs="Arial"/>
          <w:sz w:val="22"/>
          <w:szCs w:val="22"/>
        </w:rPr>
        <w:t xml:space="preserve">con </w:t>
      </w:r>
      <w:r w:rsidR="003B27CC" w:rsidRPr="005D1A97">
        <w:rPr>
          <w:rFonts w:ascii="Arial" w:hAnsi="Arial" w:cs="Arial"/>
          <w:sz w:val="22"/>
          <w:szCs w:val="22"/>
        </w:rPr>
        <w:t xml:space="preserve">leader </w:t>
      </w:r>
      <w:r w:rsidRPr="005D1A97">
        <w:rPr>
          <w:rFonts w:ascii="Arial" w:hAnsi="Arial" w:cs="Arial"/>
          <w:sz w:val="22"/>
          <w:szCs w:val="22"/>
        </w:rPr>
        <w:t xml:space="preserve">del settore come Stellantis rafforza la posizione di Terrafame come importante partner per la fornitura di </w:t>
      </w:r>
      <w:r w:rsidR="008D1296" w:rsidRPr="005D1A97">
        <w:rPr>
          <w:rFonts w:ascii="Arial" w:hAnsi="Arial" w:cs="Arial"/>
          <w:sz w:val="22"/>
          <w:szCs w:val="22"/>
        </w:rPr>
        <w:t xml:space="preserve">componenti </w:t>
      </w:r>
      <w:r w:rsidRPr="005D1A97">
        <w:rPr>
          <w:rFonts w:ascii="Arial" w:hAnsi="Arial" w:cs="Arial"/>
          <w:sz w:val="22"/>
          <w:szCs w:val="22"/>
        </w:rPr>
        <w:t>chimic</w:t>
      </w:r>
      <w:r w:rsidR="008D1296" w:rsidRPr="005D1A97">
        <w:rPr>
          <w:rFonts w:ascii="Arial" w:hAnsi="Arial" w:cs="Arial"/>
          <w:sz w:val="22"/>
          <w:szCs w:val="22"/>
        </w:rPr>
        <w:t>i</w:t>
      </w:r>
      <w:r w:rsidRPr="005D1A97">
        <w:rPr>
          <w:rFonts w:ascii="Arial" w:hAnsi="Arial" w:cs="Arial"/>
          <w:sz w:val="22"/>
          <w:szCs w:val="22"/>
        </w:rPr>
        <w:t xml:space="preserve"> per batterie per l’industria automobilistica europea” ha dichiarato il CEO di Terrafame Joni </w:t>
      </w:r>
      <w:r w:rsidRPr="005D1A97">
        <w:rPr>
          <w:rFonts w:ascii="Arial" w:hAnsi="Arial" w:cs="Arial"/>
          <w:sz w:val="22"/>
          <w:szCs w:val="22"/>
        </w:rPr>
        <w:lastRenderedPageBreak/>
        <w:t xml:space="preserve">Lukkaroinen. “In questo periodo così difficile si avverte una forte domanda di </w:t>
      </w:r>
      <w:r w:rsidR="008D1296" w:rsidRPr="005D1A97">
        <w:rPr>
          <w:rFonts w:ascii="Arial" w:hAnsi="Arial" w:cs="Arial"/>
          <w:sz w:val="22"/>
          <w:szCs w:val="22"/>
        </w:rPr>
        <w:t xml:space="preserve">componenti </w:t>
      </w:r>
      <w:r w:rsidRPr="005D1A97">
        <w:rPr>
          <w:rFonts w:ascii="Arial" w:hAnsi="Arial" w:cs="Arial"/>
          <w:sz w:val="22"/>
          <w:szCs w:val="22"/>
        </w:rPr>
        <w:t>chimic</w:t>
      </w:r>
      <w:r w:rsidR="008D1296" w:rsidRPr="005D1A97">
        <w:rPr>
          <w:rFonts w:ascii="Arial" w:hAnsi="Arial" w:cs="Arial"/>
          <w:sz w:val="22"/>
          <w:szCs w:val="22"/>
        </w:rPr>
        <w:t>i</w:t>
      </w:r>
      <w:r w:rsidRPr="005D1A97">
        <w:rPr>
          <w:rFonts w:ascii="Arial" w:hAnsi="Arial" w:cs="Arial"/>
          <w:sz w:val="22"/>
          <w:szCs w:val="22"/>
        </w:rPr>
        <w:t xml:space="preserve"> per batterie prodotte in modo sostenibile e trasparente in Europa, per l’Europa. Siamo orgogliosi di contribuire a decarbonizzare la mobilità europea e a rendere più efficiente l’industria dell’automobile del continente.” </w:t>
      </w:r>
    </w:p>
    <w:p w14:paraId="4C2B9A0A" w14:textId="77777777" w:rsidR="00086EFF" w:rsidRPr="005D1A97" w:rsidRDefault="00086EFF" w:rsidP="00F73D57">
      <w:pPr>
        <w:shd w:val="clear" w:color="auto" w:fill="FFFFFF"/>
        <w:spacing w:after="0"/>
        <w:jc w:val="left"/>
        <w:rPr>
          <w:rFonts w:ascii="Arial" w:eastAsia="Encode Sans Condensed Condensed" w:hAnsi="Arial" w:cs="Arial"/>
          <w:sz w:val="22"/>
          <w:szCs w:val="22"/>
        </w:rPr>
      </w:pPr>
    </w:p>
    <w:p w14:paraId="02C19657" w14:textId="77777777" w:rsidR="006E04D2" w:rsidRPr="005D1A97" w:rsidRDefault="006E04D2" w:rsidP="006E04D2">
      <w:pPr>
        <w:shd w:val="clear" w:color="auto" w:fill="FFFFFF"/>
        <w:spacing w:after="0"/>
        <w:jc w:val="left"/>
        <w:rPr>
          <w:rFonts w:ascii="Arial" w:eastAsia="Encode Sans Condensed Condensed" w:hAnsi="Arial" w:cs="Arial"/>
          <w:color w:val="505050"/>
          <w:sz w:val="22"/>
          <w:szCs w:val="22"/>
        </w:rPr>
      </w:pPr>
    </w:p>
    <w:p w14:paraId="2E5CA74B" w14:textId="7BECE320" w:rsidR="007F0624" w:rsidRPr="005D1A97" w:rsidRDefault="007F0624" w:rsidP="004A5BF0">
      <w:pPr>
        <w:pBdr>
          <w:top w:val="nil"/>
          <w:left w:val="nil"/>
          <w:bottom w:val="nil"/>
          <w:right w:val="nil"/>
          <w:between w:val="nil"/>
        </w:pBdr>
        <w:jc w:val="center"/>
        <w:rPr>
          <w:rFonts w:ascii="Arial" w:eastAsia="Encode Sans" w:hAnsi="Arial" w:cs="Arial"/>
          <w:sz w:val="22"/>
          <w:szCs w:val="22"/>
        </w:rPr>
      </w:pPr>
      <w:r w:rsidRPr="005D1A97">
        <w:rPr>
          <w:rFonts w:ascii="Arial" w:hAnsi="Arial" w:cs="Arial"/>
          <w:sz w:val="22"/>
          <w:szCs w:val="22"/>
        </w:rPr>
        <w:t># # #</w:t>
      </w:r>
    </w:p>
    <w:p w14:paraId="15F7AD6E" w14:textId="77777777" w:rsidR="007A1CD0" w:rsidRPr="005D1A97" w:rsidRDefault="007A1CD0" w:rsidP="00E653B0">
      <w:pPr>
        <w:spacing w:after="0"/>
        <w:rPr>
          <w:rFonts w:ascii="Arial" w:eastAsia="Times New Roman" w:hAnsi="Arial" w:cs="Arial"/>
          <w:b/>
          <w:bCs/>
          <w:sz w:val="22"/>
          <w:szCs w:val="22"/>
        </w:rPr>
      </w:pPr>
      <w:bookmarkStart w:id="0" w:name="_Hlk106354158"/>
    </w:p>
    <w:p w14:paraId="46D4EF33" w14:textId="7C2E441B" w:rsidR="00211BDA" w:rsidRPr="005D1A97" w:rsidRDefault="00211BDA" w:rsidP="00E653B0">
      <w:pPr>
        <w:spacing w:after="0"/>
        <w:rPr>
          <w:rFonts w:ascii="Arial" w:eastAsia="Times New Roman" w:hAnsi="Arial" w:cs="Arial"/>
          <w:b/>
          <w:bCs/>
          <w:sz w:val="22"/>
          <w:szCs w:val="22"/>
        </w:rPr>
      </w:pPr>
      <w:r w:rsidRPr="005D1A97">
        <w:rPr>
          <w:rFonts w:ascii="Arial" w:hAnsi="Arial" w:cs="Arial"/>
          <w:b/>
          <w:bCs/>
          <w:sz w:val="22"/>
          <w:szCs w:val="22"/>
        </w:rPr>
        <w:t>Stellantis</w:t>
      </w:r>
    </w:p>
    <w:p w14:paraId="71E955B6" w14:textId="77777777" w:rsidR="00211BDA" w:rsidRPr="005D1A97" w:rsidRDefault="00211BDA">
      <w:pPr>
        <w:spacing w:after="0"/>
        <w:rPr>
          <w:rFonts w:ascii="Arial" w:eastAsia="Times New Roman" w:hAnsi="Arial" w:cs="Arial"/>
          <w:i/>
          <w:iCs/>
          <w:sz w:val="22"/>
          <w:szCs w:val="22"/>
        </w:rPr>
      </w:pPr>
      <w:bookmarkStart w:id="1" w:name="_Hlk104023212"/>
      <w:r w:rsidRPr="005D1A97">
        <w:rPr>
          <w:rFonts w:ascii="Arial" w:hAnsi="Arial" w:cs="Arial"/>
          <w:i/>
          <w:iCs/>
          <w:sz w:val="22"/>
          <w:szCs w:val="22"/>
        </w:rPr>
        <w:t>Stellantis N.V. (NYSE / MTA / Euronext Parigi: STLA) è leader a livello mondiale nella produzione di veicoli e fornitore di mobilità. I suoi marchi iconici e ricchi di storia – Abarth, Alfa Romeo, Chrysler, Citroën, Dodge, DS Automobiles, Fiat, Jeep®, Lancia, Maserati, Opel, Peugeot, Ram, Vauxhall, Free2move e Leasys – danno forma concreta alla passione dei loro fondatori e dei nostri clienti offrendo prodotti e servizi innovativi. Grazie alla diversità che ci alimenta, guidiamo il modo in cui il mondo si muove, aspirando a diventare la migliore mobility tech company sostenibile, non la più grande, creando al contempo valore aggiunto per tutti gli stakeholder nonché per le community in cui opera. Per maggiori informazioni, visitare www.stellantis.com.</w:t>
      </w:r>
      <w:bookmarkEnd w:id="1"/>
    </w:p>
    <w:bookmarkEnd w:id="0"/>
    <w:p w14:paraId="4B1252EB" w14:textId="466624CF" w:rsidR="009D782E" w:rsidRPr="005D1A97" w:rsidRDefault="009D782E">
      <w:pPr>
        <w:pBdr>
          <w:top w:val="nil"/>
          <w:left w:val="nil"/>
          <w:bottom w:val="nil"/>
          <w:right w:val="nil"/>
          <w:between w:val="nil"/>
        </w:pBdr>
        <w:spacing w:after="0"/>
        <w:jc w:val="left"/>
        <w:rPr>
          <w:rFonts w:ascii="Arial" w:eastAsia="Arial" w:hAnsi="Arial" w:cs="Arial"/>
          <w:iCs/>
          <w:color w:val="000000"/>
          <w:sz w:val="22"/>
          <w:szCs w:val="22"/>
        </w:rPr>
      </w:pPr>
    </w:p>
    <w:p w14:paraId="63216D44" w14:textId="584BA242" w:rsidR="00DF0988" w:rsidRPr="005D1A97" w:rsidRDefault="00DF0988" w:rsidP="00DF0988">
      <w:pPr>
        <w:spacing w:after="0"/>
        <w:jc w:val="left"/>
        <w:rPr>
          <w:rFonts w:ascii="Arial" w:eastAsia="Times New Roman" w:hAnsi="Arial" w:cs="Arial"/>
          <w:sz w:val="22"/>
          <w:szCs w:val="22"/>
        </w:rPr>
      </w:pPr>
      <w:proofErr w:type="spellStart"/>
      <w:r w:rsidRPr="005D1A97">
        <w:rPr>
          <w:rFonts w:ascii="Arial" w:hAnsi="Arial" w:cs="Arial"/>
          <w:b/>
          <w:bCs/>
          <w:sz w:val="22"/>
          <w:szCs w:val="22"/>
        </w:rPr>
        <w:t>Terrafame</w:t>
      </w:r>
      <w:proofErr w:type="spellEnd"/>
      <w:r w:rsidRPr="005D1A97">
        <w:rPr>
          <w:rFonts w:ascii="Arial" w:hAnsi="Arial" w:cs="Arial"/>
          <w:b/>
          <w:bCs/>
          <w:sz w:val="22"/>
          <w:szCs w:val="22"/>
        </w:rPr>
        <w:t xml:space="preserve"> Ltd</w:t>
      </w:r>
      <w:r w:rsidR="00021874">
        <w:rPr>
          <w:rFonts w:ascii="Arial" w:hAnsi="Arial" w:cs="Arial"/>
          <w:b/>
          <w:bCs/>
          <w:sz w:val="22"/>
          <w:szCs w:val="22"/>
        </w:rPr>
        <w:t>.</w:t>
      </w:r>
    </w:p>
    <w:p w14:paraId="00B1E7CD" w14:textId="55A43936" w:rsidR="004214E6" w:rsidRPr="005D1A97" w:rsidRDefault="004214E6" w:rsidP="004214E6">
      <w:pPr>
        <w:spacing w:after="0"/>
        <w:rPr>
          <w:rFonts w:ascii="Arial" w:eastAsia="Times New Roman" w:hAnsi="Arial" w:cs="Arial"/>
          <w:i/>
          <w:iCs/>
          <w:sz w:val="22"/>
          <w:szCs w:val="22"/>
        </w:rPr>
      </w:pPr>
      <w:r w:rsidRPr="00021874">
        <w:rPr>
          <w:rFonts w:ascii="Arial" w:hAnsi="Arial" w:cs="Arial"/>
          <w:i/>
          <w:iCs/>
          <w:sz w:val="22"/>
          <w:szCs w:val="22"/>
        </w:rPr>
        <w:t>Terrafame</w:t>
      </w:r>
      <w:r w:rsidRPr="005D1A97">
        <w:rPr>
          <w:rFonts w:ascii="Arial" w:hAnsi="Arial" w:cs="Arial"/>
          <w:i/>
          <w:iCs/>
          <w:sz w:val="22"/>
          <w:szCs w:val="22"/>
        </w:rPr>
        <w:t xml:space="preserve"> promuove la mobilità </w:t>
      </w:r>
      <w:r w:rsidR="00402D24" w:rsidRPr="005D1A97">
        <w:rPr>
          <w:rFonts w:ascii="Arial" w:hAnsi="Arial" w:cs="Arial"/>
          <w:i/>
          <w:iCs/>
          <w:sz w:val="22"/>
          <w:szCs w:val="22"/>
        </w:rPr>
        <w:t xml:space="preserve">a basse emissioni di carbonio </w:t>
      </w:r>
      <w:r w:rsidRPr="005D1A97">
        <w:rPr>
          <w:rFonts w:ascii="Arial" w:hAnsi="Arial" w:cs="Arial"/>
          <w:i/>
          <w:iCs/>
          <w:sz w:val="22"/>
          <w:szCs w:val="22"/>
        </w:rPr>
        <w:t xml:space="preserve">fornendo all’industria mondiale delle batterie </w:t>
      </w:r>
      <w:r w:rsidR="00402D24" w:rsidRPr="005D1A97">
        <w:rPr>
          <w:rFonts w:ascii="Arial" w:hAnsi="Arial" w:cs="Arial"/>
          <w:i/>
          <w:iCs/>
          <w:sz w:val="22"/>
          <w:szCs w:val="22"/>
        </w:rPr>
        <w:t xml:space="preserve">componenti </w:t>
      </w:r>
      <w:r w:rsidRPr="005D1A97">
        <w:rPr>
          <w:rFonts w:ascii="Arial" w:hAnsi="Arial" w:cs="Arial"/>
          <w:i/>
          <w:iCs/>
          <w:sz w:val="22"/>
          <w:szCs w:val="22"/>
        </w:rPr>
        <w:t>chimic</w:t>
      </w:r>
      <w:r w:rsidR="00402D24" w:rsidRPr="005D1A97">
        <w:rPr>
          <w:rFonts w:ascii="Arial" w:hAnsi="Arial" w:cs="Arial"/>
          <w:i/>
          <w:iCs/>
          <w:sz w:val="22"/>
          <w:szCs w:val="22"/>
        </w:rPr>
        <w:t>i</w:t>
      </w:r>
      <w:r w:rsidRPr="005D1A97">
        <w:rPr>
          <w:rFonts w:ascii="Arial" w:hAnsi="Arial" w:cs="Arial"/>
          <w:i/>
          <w:iCs/>
          <w:sz w:val="22"/>
          <w:szCs w:val="22"/>
        </w:rPr>
        <w:t xml:space="preserve"> prodott</w:t>
      </w:r>
      <w:r w:rsidR="00402D24" w:rsidRPr="005D1A97">
        <w:rPr>
          <w:rFonts w:ascii="Arial" w:hAnsi="Arial" w:cs="Arial"/>
          <w:i/>
          <w:iCs/>
          <w:sz w:val="22"/>
          <w:szCs w:val="22"/>
        </w:rPr>
        <w:t>i</w:t>
      </w:r>
      <w:r w:rsidRPr="005D1A97">
        <w:rPr>
          <w:rFonts w:ascii="Arial" w:hAnsi="Arial" w:cs="Arial"/>
          <w:i/>
          <w:iCs/>
          <w:sz w:val="22"/>
          <w:szCs w:val="22"/>
        </w:rPr>
        <w:t xml:space="preserve"> in modo responsabile. Il sito industriale di Terrafame ospita una delle più grandi linee di produzione delle sostanze chimiche utilizzate nelle batterie per veicoli elettrici. L’impianto è in grado di produrre solfato di nichel per circa 1 milione di veicoli elettrici all’anno. L’impronta di carbonio del solfato di nichel prodotto da Terrafame è tra le più piccole del settore.</w:t>
      </w:r>
    </w:p>
    <w:p w14:paraId="369B51B9" w14:textId="77777777" w:rsidR="00D2739F" w:rsidRPr="005D1A97" w:rsidRDefault="00D2739F" w:rsidP="004214E6">
      <w:pPr>
        <w:spacing w:after="0"/>
        <w:rPr>
          <w:rFonts w:ascii="Arial" w:eastAsia="Times New Roman" w:hAnsi="Arial" w:cs="Arial"/>
          <w:i/>
          <w:iCs/>
          <w:sz w:val="22"/>
          <w:szCs w:val="22"/>
        </w:rPr>
      </w:pPr>
    </w:p>
    <w:p w14:paraId="44165D51" w14:textId="65B6F329" w:rsidR="004214E6" w:rsidRPr="005D1A97" w:rsidRDefault="004214E6" w:rsidP="004214E6">
      <w:pPr>
        <w:spacing w:after="0"/>
        <w:rPr>
          <w:rFonts w:ascii="Arial" w:eastAsia="Times New Roman" w:hAnsi="Arial" w:cs="Arial"/>
          <w:i/>
          <w:iCs/>
          <w:sz w:val="22"/>
          <w:szCs w:val="22"/>
        </w:rPr>
      </w:pPr>
      <w:r w:rsidRPr="005D1A97">
        <w:rPr>
          <w:rFonts w:ascii="Arial" w:hAnsi="Arial" w:cs="Arial"/>
          <w:i/>
          <w:iCs/>
          <w:sz w:val="22"/>
          <w:szCs w:val="22"/>
        </w:rPr>
        <w:t>Dalla miniera alla realizzazione delle sostanze chimiche, l’intero processo produttivo integrato e ad alta efficienza energetica di Terrafame si svolge in un unico sito industriale. Per offrire ai clienti una catena di fornitura delle sostanze chimiche per batterie trasparente, tracciabile e realmente europea.</w:t>
      </w:r>
    </w:p>
    <w:p w14:paraId="778047FC" w14:textId="77777777" w:rsidR="00D2739F" w:rsidRPr="005D1A97" w:rsidRDefault="00D2739F" w:rsidP="004214E6">
      <w:pPr>
        <w:spacing w:after="0"/>
        <w:rPr>
          <w:rFonts w:ascii="Arial" w:eastAsia="Times New Roman" w:hAnsi="Arial" w:cs="Arial"/>
          <w:i/>
          <w:iCs/>
          <w:sz w:val="22"/>
          <w:szCs w:val="22"/>
        </w:rPr>
      </w:pPr>
    </w:p>
    <w:p w14:paraId="2906CEF6" w14:textId="7F9AFA46" w:rsidR="004214E6" w:rsidRPr="005D1A97" w:rsidRDefault="004214E6" w:rsidP="004214E6">
      <w:pPr>
        <w:spacing w:after="0"/>
        <w:rPr>
          <w:rFonts w:ascii="Arial" w:eastAsia="Times New Roman" w:hAnsi="Arial" w:cs="Arial"/>
          <w:i/>
          <w:iCs/>
          <w:sz w:val="22"/>
          <w:szCs w:val="22"/>
        </w:rPr>
      </w:pPr>
      <w:r w:rsidRPr="005D1A97">
        <w:rPr>
          <w:rFonts w:ascii="Arial" w:hAnsi="Arial" w:cs="Arial"/>
          <w:i/>
          <w:iCs/>
          <w:sz w:val="22"/>
          <w:szCs w:val="22"/>
        </w:rPr>
        <w:t>Terrafame Ltd è stata fondata nel 2015. Nel 2021 ha registrato un fatturato netto pari a 378 milioni di euro. Nel suo sito industriale lavorano circa 1.500 persone, metà delle quali sono dipendenti di aziende partner.</w:t>
      </w:r>
    </w:p>
    <w:p w14:paraId="73449BDF" w14:textId="77777777" w:rsidR="004214E6" w:rsidRPr="005D1A97" w:rsidRDefault="004214E6" w:rsidP="00B07E73">
      <w:pPr>
        <w:spacing w:after="0"/>
        <w:rPr>
          <w:rFonts w:ascii="Arial" w:eastAsia="Times New Roman" w:hAnsi="Arial" w:cs="Arial"/>
          <w:i/>
          <w:iCs/>
          <w:sz w:val="22"/>
          <w:szCs w:val="22"/>
        </w:rPr>
      </w:pPr>
    </w:p>
    <w:p w14:paraId="09667F5E" w14:textId="77777777" w:rsidR="00211BDA" w:rsidRPr="005D1A97" w:rsidRDefault="00211BDA" w:rsidP="00211BDA">
      <w:pPr>
        <w:spacing w:after="0"/>
        <w:rPr>
          <w:rFonts w:ascii="Arial" w:eastAsia="Arial" w:hAnsi="Arial" w:cs="Arial"/>
          <w:b/>
          <w:sz w:val="22"/>
          <w:szCs w:val="22"/>
        </w:rPr>
      </w:pPr>
      <w:bookmarkStart w:id="2" w:name="_heading=h.gjdgxs"/>
      <w:bookmarkEnd w:id="2"/>
      <w:r w:rsidRPr="005D1A97">
        <w:rPr>
          <w:rFonts w:ascii="Arial" w:hAnsi="Arial" w:cs="Arial"/>
          <w:b/>
          <w:sz w:val="22"/>
          <w:szCs w:val="22"/>
        </w:rPr>
        <w:t>Contatti:</w:t>
      </w:r>
    </w:p>
    <w:p w14:paraId="3C30E1AF" w14:textId="77777777" w:rsidR="00211BDA" w:rsidRPr="005D1A97" w:rsidRDefault="00211BDA" w:rsidP="00211BDA">
      <w:pPr>
        <w:spacing w:after="0"/>
        <w:rPr>
          <w:rFonts w:ascii="Arial" w:eastAsiaTheme="minorEastAsia" w:hAnsi="Arial" w:cs="Arial"/>
          <w:sz w:val="20"/>
          <w:szCs w:val="20"/>
        </w:rPr>
      </w:pPr>
    </w:p>
    <w:p w14:paraId="7ED2C733" w14:textId="77777777" w:rsidR="00211BDA" w:rsidRPr="005D1A97" w:rsidRDefault="00211BDA" w:rsidP="00211BDA">
      <w:pPr>
        <w:spacing w:after="0"/>
        <w:rPr>
          <w:rFonts w:ascii="Arial" w:hAnsi="Arial" w:cs="Arial"/>
          <w:b/>
          <w:bCs/>
          <w:sz w:val="22"/>
          <w:szCs w:val="22"/>
        </w:rPr>
      </w:pPr>
      <w:bookmarkStart w:id="3" w:name="_Hlk115941120"/>
      <w:r w:rsidRPr="005D1A97">
        <w:rPr>
          <w:rFonts w:ascii="Arial" w:hAnsi="Arial" w:cs="Arial"/>
          <w:b/>
          <w:bCs/>
          <w:sz w:val="22"/>
          <w:szCs w:val="22"/>
        </w:rPr>
        <w:t>Stellantis</w:t>
      </w:r>
    </w:p>
    <w:p w14:paraId="7730F5DF" w14:textId="77777777" w:rsidR="00211BDA" w:rsidRPr="005D1A97" w:rsidRDefault="00211BDA" w:rsidP="00211BDA">
      <w:pPr>
        <w:spacing w:after="0"/>
        <w:rPr>
          <w:rFonts w:ascii="Arial" w:hAnsi="Arial" w:cs="Arial"/>
          <w:sz w:val="20"/>
          <w:szCs w:val="20"/>
        </w:rPr>
      </w:pPr>
    </w:p>
    <w:p w14:paraId="2C556014" w14:textId="77777777" w:rsidR="00211BDA" w:rsidRPr="005D1A97" w:rsidRDefault="00211BDA" w:rsidP="00211BDA">
      <w:pPr>
        <w:tabs>
          <w:tab w:val="left" w:pos="2592"/>
        </w:tabs>
        <w:spacing w:after="0"/>
        <w:rPr>
          <w:rFonts w:ascii="Arial" w:eastAsia="Arial" w:hAnsi="Arial" w:cs="Arial"/>
          <w:b/>
          <w:bCs/>
          <w:sz w:val="22"/>
          <w:szCs w:val="22"/>
        </w:rPr>
      </w:pPr>
      <w:r w:rsidRPr="005D1A97">
        <w:rPr>
          <w:rFonts w:ascii="Arial" w:hAnsi="Arial" w:cs="Arial"/>
          <w:b/>
          <w:bCs/>
          <w:sz w:val="22"/>
          <w:szCs w:val="22"/>
        </w:rPr>
        <w:t xml:space="preserve">Fernão Silveira </w:t>
      </w:r>
    </w:p>
    <w:p w14:paraId="6253A0AD" w14:textId="16853200" w:rsidR="00211BDA" w:rsidRPr="005D1A97" w:rsidRDefault="00211BDA" w:rsidP="00211BDA">
      <w:pPr>
        <w:tabs>
          <w:tab w:val="left" w:pos="2592"/>
        </w:tabs>
        <w:spacing w:after="0"/>
        <w:rPr>
          <w:rFonts w:ascii="Arial" w:eastAsia="Arial" w:hAnsi="Arial" w:cs="Arial"/>
          <w:sz w:val="22"/>
          <w:szCs w:val="22"/>
        </w:rPr>
      </w:pPr>
      <w:r w:rsidRPr="005D1A97">
        <w:rPr>
          <w:rFonts w:ascii="Arial" w:hAnsi="Arial" w:cs="Arial"/>
          <w:sz w:val="22"/>
          <w:szCs w:val="22"/>
        </w:rPr>
        <w:t xml:space="preserve">Comunicazioni globali </w:t>
      </w:r>
    </w:p>
    <w:p w14:paraId="367451AF" w14:textId="77777777" w:rsidR="008E1ACE" w:rsidRPr="005D1A97" w:rsidRDefault="008E1ACE" w:rsidP="00211BDA">
      <w:pPr>
        <w:tabs>
          <w:tab w:val="left" w:pos="2592"/>
        </w:tabs>
        <w:spacing w:after="0"/>
        <w:rPr>
          <w:rFonts w:ascii="Arial" w:eastAsia="Arial" w:hAnsi="Arial" w:cs="Arial"/>
          <w:sz w:val="22"/>
          <w:szCs w:val="22"/>
          <w:lang w:val="en-US"/>
        </w:rPr>
      </w:pPr>
      <w:r w:rsidRPr="005D1A97">
        <w:rPr>
          <w:rFonts w:ascii="Arial" w:hAnsi="Arial" w:cs="Arial"/>
          <w:sz w:val="22"/>
          <w:szCs w:val="22"/>
          <w:lang w:val="en-US"/>
        </w:rPr>
        <w:t>+31 6 43 25 43 41</w:t>
      </w:r>
    </w:p>
    <w:p w14:paraId="3D47FCA4" w14:textId="2471A283" w:rsidR="00211BDA" w:rsidRPr="005D1A97" w:rsidRDefault="00211BDA" w:rsidP="00211BDA">
      <w:pPr>
        <w:tabs>
          <w:tab w:val="left" w:pos="2592"/>
        </w:tabs>
        <w:spacing w:after="0"/>
        <w:rPr>
          <w:rFonts w:ascii="Arial" w:eastAsia="Arial" w:hAnsi="Arial" w:cs="Arial"/>
          <w:sz w:val="22"/>
          <w:szCs w:val="22"/>
          <w:lang w:val="en-US"/>
        </w:rPr>
      </w:pPr>
      <w:r w:rsidRPr="005D1A97">
        <w:rPr>
          <w:rFonts w:ascii="Arial" w:hAnsi="Arial" w:cs="Arial"/>
          <w:sz w:val="22"/>
          <w:szCs w:val="22"/>
          <w:lang w:val="en-US"/>
        </w:rPr>
        <w:t xml:space="preserve">fernao.silveira@stellantis.com </w:t>
      </w:r>
    </w:p>
    <w:p w14:paraId="4C7FCF06" w14:textId="3F40B032" w:rsidR="00211BDA" w:rsidRPr="005D1A97" w:rsidRDefault="00211BDA" w:rsidP="00211BDA">
      <w:pPr>
        <w:tabs>
          <w:tab w:val="left" w:pos="2592"/>
        </w:tabs>
        <w:spacing w:after="0"/>
        <w:rPr>
          <w:rFonts w:ascii="Arial" w:eastAsia="Arial" w:hAnsi="Arial" w:cs="Arial"/>
          <w:sz w:val="22"/>
          <w:szCs w:val="22"/>
          <w:lang w:val="en-US"/>
        </w:rPr>
      </w:pPr>
    </w:p>
    <w:p w14:paraId="2050AF72" w14:textId="1833B6CB" w:rsidR="00D013CE" w:rsidRPr="005D1A97" w:rsidRDefault="00D013CE" w:rsidP="00D013CE">
      <w:pPr>
        <w:tabs>
          <w:tab w:val="left" w:pos="2592"/>
        </w:tabs>
        <w:spacing w:after="0"/>
        <w:rPr>
          <w:rFonts w:ascii="Arial" w:eastAsia="Arial" w:hAnsi="Arial" w:cs="Arial"/>
          <w:b/>
          <w:bCs/>
          <w:sz w:val="22"/>
          <w:szCs w:val="22"/>
          <w:lang w:val="en-US"/>
        </w:rPr>
      </w:pPr>
      <w:r w:rsidRPr="005D1A97">
        <w:rPr>
          <w:rFonts w:ascii="Arial" w:hAnsi="Arial" w:cs="Arial"/>
          <w:b/>
          <w:bCs/>
          <w:sz w:val="22"/>
          <w:szCs w:val="22"/>
          <w:lang w:val="en-US"/>
        </w:rPr>
        <w:t xml:space="preserve">Valérie </w:t>
      </w:r>
      <w:proofErr w:type="spellStart"/>
      <w:r w:rsidRPr="005D1A97">
        <w:rPr>
          <w:rFonts w:ascii="Arial" w:hAnsi="Arial" w:cs="Arial"/>
          <w:b/>
          <w:bCs/>
          <w:sz w:val="22"/>
          <w:szCs w:val="22"/>
          <w:lang w:val="en-US"/>
        </w:rPr>
        <w:t>G</w:t>
      </w:r>
      <w:r w:rsidR="00402D24" w:rsidRPr="005D1A97">
        <w:rPr>
          <w:rFonts w:ascii="Arial" w:hAnsi="Arial" w:cs="Arial"/>
          <w:b/>
          <w:bCs/>
          <w:sz w:val="22"/>
          <w:szCs w:val="22"/>
          <w:lang w:val="en-US"/>
        </w:rPr>
        <w:t>illot</w:t>
      </w:r>
      <w:proofErr w:type="spellEnd"/>
    </w:p>
    <w:p w14:paraId="52677B6F" w14:textId="77777777" w:rsidR="00D013CE" w:rsidRPr="005D1A97" w:rsidRDefault="00D013CE" w:rsidP="00D013CE">
      <w:pPr>
        <w:tabs>
          <w:tab w:val="left" w:pos="2592"/>
        </w:tabs>
        <w:spacing w:after="0"/>
        <w:rPr>
          <w:rFonts w:ascii="Arial" w:eastAsia="Arial" w:hAnsi="Arial" w:cs="Arial"/>
          <w:sz w:val="22"/>
          <w:szCs w:val="22"/>
          <w:lang w:val="en-US"/>
        </w:rPr>
      </w:pPr>
      <w:r w:rsidRPr="005D1A97">
        <w:rPr>
          <w:rFonts w:ascii="Arial" w:hAnsi="Arial" w:cs="Arial"/>
          <w:sz w:val="22"/>
          <w:szCs w:val="22"/>
          <w:lang w:val="en-US"/>
        </w:rPr>
        <w:t>+33 6 83 92 92 96</w:t>
      </w:r>
    </w:p>
    <w:p w14:paraId="536B4C35" w14:textId="66F7350D" w:rsidR="00D013CE" w:rsidRPr="005D1A97" w:rsidRDefault="00D013CE" w:rsidP="00D013CE">
      <w:pPr>
        <w:tabs>
          <w:tab w:val="left" w:pos="2592"/>
        </w:tabs>
        <w:spacing w:after="0"/>
        <w:rPr>
          <w:rFonts w:ascii="Arial" w:eastAsia="Arial" w:hAnsi="Arial" w:cs="Arial"/>
          <w:sz w:val="22"/>
          <w:szCs w:val="22"/>
          <w:lang w:val="en-US"/>
        </w:rPr>
      </w:pPr>
      <w:r w:rsidRPr="005D1A97">
        <w:rPr>
          <w:rFonts w:ascii="Arial" w:hAnsi="Arial" w:cs="Arial"/>
          <w:sz w:val="22"/>
          <w:szCs w:val="22"/>
          <w:lang w:val="en-US"/>
        </w:rPr>
        <w:t>valerie.gillot@stellantis.com</w:t>
      </w:r>
    </w:p>
    <w:bookmarkEnd w:id="3"/>
    <w:p w14:paraId="75764EB8" w14:textId="77777777" w:rsidR="00D013CE" w:rsidRPr="005D1A97" w:rsidRDefault="00D013CE" w:rsidP="00211BDA">
      <w:pPr>
        <w:tabs>
          <w:tab w:val="left" w:pos="2592"/>
        </w:tabs>
        <w:spacing w:after="0"/>
        <w:rPr>
          <w:rFonts w:ascii="Arial" w:eastAsia="Arial" w:hAnsi="Arial" w:cs="Arial"/>
          <w:b/>
          <w:bCs/>
          <w:sz w:val="22"/>
          <w:szCs w:val="22"/>
          <w:lang w:val="en-US"/>
        </w:rPr>
      </w:pPr>
    </w:p>
    <w:p w14:paraId="6DDAF8DD" w14:textId="77777777" w:rsidR="00D013CE" w:rsidRPr="005D1A97" w:rsidRDefault="00D013CE" w:rsidP="00D013CE">
      <w:pPr>
        <w:tabs>
          <w:tab w:val="left" w:pos="2592"/>
        </w:tabs>
        <w:spacing w:after="0"/>
        <w:rPr>
          <w:rFonts w:ascii="Arial" w:eastAsia="Arial" w:hAnsi="Arial" w:cs="Arial"/>
          <w:sz w:val="22"/>
          <w:szCs w:val="22"/>
          <w:lang w:val="en-US"/>
        </w:rPr>
      </w:pPr>
      <w:r w:rsidRPr="005D1A97">
        <w:rPr>
          <w:rFonts w:ascii="Arial" w:hAnsi="Arial" w:cs="Arial"/>
          <w:sz w:val="22"/>
          <w:szCs w:val="22"/>
          <w:lang w:val="en-US"/>
        </w:rPr>
        <w:t>communications@stellantis.com</w:t>
      </w:r>
    </w:p>
    <w:p w14:paraId="35BC2B40" w14:textId="0AA18D56" w:rsidR="00D013CE" w:rsidRPr="005D1A97" w:rsidRDefault="00021874" w:rsidP="00D013CE">
      <w:pPr>
        <w:tabs>
          <w:tab w:val="left" w:pos="2592"/>
        </w:tabs>
        <w:spacing w:after="0"/>
        <w:rPr>
          <w:rFonts w:ascii="Arial" w:eastAsia="Arial" w:hAnsi="Arial" w:cs="Arial"/>
          <w:sz w:val="22"/>
          <w:szCs w:val="22"/>
          <w:lang w:val="en-US"/>
        </w:rPr>
      </w:pPr>
      <w:hyperlink r:id="rId14" w:history="1">
        <w:r w:rsidR="007031C1" w:rsidRPr="005D1A97">
          <w:rPr>
            <w:rStyle w:val="Hyperlink"/>
            <w:rFonts w:ascii="Arial" w:hAnsi="Arial" w:cs="Arial"/>
            <w:color w:val="auto"/>
            <w:sz w:val="22"/>
            <w:szCs w:val="22"/>
            <w:lang w:val="en-US"/>
          </w:rPr>
          <w:t>www.stellantis.com</w:t>
        </w:r>
      </w:hyperlink>
    </w:p>
    <w:p w14:paraId="62FF7A91" w14:textId="77777777" w:rsidR="00B07E73" w:rsidRPr="005D1A97" w:rsidRDefault="00B07E73" w:rsidP="00211BDA">
      <w:pPr>
        <w:tabs>
          <w:tab w:val="left" w:pos="2592"/>
        </w:tabs>
        <w:spacing w:after="0"/>
        <w:rPr>
          <w:rFonts w:ascii="Arial" w:eastAsia="Arial" w:hAnsi="Arial" w:cs="Arial"/>
          <w:b/>
          <w:bCs/>
          <w:sz w:val="22"/>
          <w:szCs w:val="22"/>
          <w:lang w:val="en-US"/>
        </w:rPr>
      </w:pPr>
    </w:p>
    <w:p w14:paraId="34853F97" w14:textId="0E476948" w:rsidR="00C202F5" w:rsidRPr="005D1A97" w:rsidRDefault="003A6AD1" w:rsidP="00211BDA">
      <w:pPr>
        <w:tabs>
          <w:tab w:val="left" w:pos="2592"/>
        </w:tabs>
        <w:spacing w:after="0"/>
        <w:rPr>
          <w:rFonts w:ascii="Arial" w:eastAsia="Arial" w:hAnsi="Arial" w:cs="Arial"/>
          <w:b/>
          <w:bCs/>
          <w:sz w:val="22"/>
          <w:szCs w:val="22"/>
          <w:lang w:val="en-US"/>
        </w:rPr>
      </w:pPr>
      <w:r w:rsidRPr="005D1A97">
        <w:rPr>
          <w:rFonts w:ascii="Arial" w:hAnsi="Arial" w:cs="Arial"/>
          <w:b/>
          <w:bCs/>
          <w:sz w:val="22"/>
          <w:szCs w:val="22"/>
          <w:lang w:val="en-US"/>
        </w:rPr>
        <w:t>Terrafame Ltd.</w:t>
      </w:r>
    </w:p>
    <w:p w14:paraId="791A6BA4" w14:textId="77777777" w:rsidR="00D013CE" w:rsidRPr="005D1A97" w:rsidRDefault="00D013CE" w:rsidP="00D013CE">
      <w:pPr>
        <w:tabs>
          <w:tab w:val="left" w:pos="2592"/>
        </w:tabs>
        <w:spacing w:after="0"/>
        <w:rPr>
          <w:rFonts w:ascii="Arial" w:eastAsia="Arial" w:hAnsi="Arial" w:cs="Arial"/>
          <w:b/>
          <w:bCs/>
          <w:sz w:val="20"/>
          <w:szCs w:val="20"/>
          <w:lang w:val="en-US"/>
        </w:rPr>
      </w:pPr>
    </w:p>
    <w:p w14:paraId="7DB90884" w14:textId="77777777" w:rsidR="00E37BBD" w:rsidRPr="005D1A97" w:rsidRDefault="00E37BBD" w:rsidP="00D013CE">
      <w:pPr>
        <w:tabs>
          <w:tab w:val="left" w:pos="2592"/>
        </w:tabs>
        <w:spacing w:after="0"/>
        <w:rPr>
          <w:rFonts w:ascii="Arial" w:eastAsia="Arial" w:hAnsi="Arial" w:cs="Arial"/>
          <w:b/>
          <w:bCs/>
          <w:sz w:val="22"/>
          <w:szCs w:val="22"/>
        </w:rPr>
      </w:pPr>
      <w:bookmarkStart w:id="4" w:name="_Hlk121922878"/>
      <w:r w:rsidRPr="005D1A97">
        <w:rPr>
          <w:rFonts w:ascii="Arial" w:hAnsi="Arial" w:cs="Arial"/>
          <w:b/>
          <w:bCs/>
          <w:sz w:val="22"/>
          <w:szCs w:val="22"/>
        </w:rPr>
        <w:lastRenderedPageBreak/>
        <w:t>Joni Lukkaroinen</w:t>
      </w:r>
    </w:p>
    <w:bookmarkEnd w:id="4"/>
    <w:p w14:paraId="48DFB5C7" w14:textId="77777777" w:rsidR="00AB71F9" w:rsidRPr="005D1A97" w:rsidRDefault="00AB71F9" w:rsidP="00CE19E5">
      <w:pPr>
        <w:tabs>
          <w:tab w:val="left" w:pos="2592"/>
        </w:tabs>
        <w:spacing w:after="0"/>
        <w:rPr>
          <w:rFonts w:ascii="Arial" w:eastAsia="Arial" w:hAnsi="Arial" w:cs="Arial"/>
          <w:sz w:val="22"/>
          <w:szCs w:val="22"/>
        </w:rPr>
      </w:pPr>
      <w:r w:rsidRPr="005D1A97">
        <w:rPr>
          <w:rFonts w:ascii="Arial" w:hAnsi="Arial" w:cs="Arial"/>
          <w:sz w:val="22"/>
          <w:szCs w:val="22"/>
        </w:rPr>
        <w:t>CEO</w:t>
      </w:r>
    </w:p>
    <w:p w14:paraId="61AA0D8F" w14:textId="3E867FC0" w:rsidR="00D013CE" w:rsidRPr="005D1A97" w:rsidRDefault="00CE19E5" w:rsidP="00CE19E5">
      <w:pPr>
        <w:tabs>
          <w:tab w:val="left" w:pos="2592"/>
        </w:tabs>
        <w:spacing w:after="0"/>
        <w:rPr>
          <w:rFonts w:ascii="Arial" w:eastAsia="Arial" w:hAnsi="Arial" w:cs="Arial"/>
          <w:sz w:val="22"/>
          <w:szCs w:val="22"/>
        </w:rPr>
      </w:pPr>
      <w:r w:rsidRPr="005D1A97">
        <w:rPr>
          <w:rFonts w:ascii="Arial" w:hAnsi="Arial" w:cs="Arial"/>
          <w:sz w:val="22"/>
          <w:szCs w:val="22"/>
        </w:rPr>
        <w:t xml:space="preserve">Tuhkakylä, Finland </w:t>
      </w:r>
    </w:p>
    <w:p w14:paraId="410D7402" w14:textId="73080A7C" w:rsidR="00D013CE" w:rsidRPr="005D1A97" w:rsidRDefault="00137D92" w:rsidP="00D013CE">
      <w:pPr>
        <w:tabs>
          <w:tab w:val="left" w:pos="2592"/>
        </w:tabs>
        <w:spacing w:after="0"/>
        <w:rPr>
          <w:rFonts w:ascii="Arial" w:eastAsia="Arial" w:hAnsi="Arial" w:cs="Arial"/>
          <w:sz w:val="22"/>
          <w:szCs w:val="22"/>
        </w:rPr>
      </w:pPr>
      <w:r w:rsidRPr="005D1A97">
        <w:rPr>
          <w:rFonts w:ascii="Arial" w:hAnsi="Arial" w:cs="Arial"/>
          <w:sz w:val="22"/>
          <w:szCs w:val="22"/>
        </w:rPr>
        <w:t>+358 20 713 0890</w:t>
      </w:r>
    </w:p>
    <w:p w14:paraId="5C1B94B6" w14:textId="155DF572" w:rsidR="00D013CE" w:rsidRPr="005D1A97" w:rsidRDefault="005B2829" w:rsidP="00D013CE">
      <w:pPr>
        <w:tabs>
          <w:tab w:val="left" w:pos="2592"/>
        </w:tabs>
        <w:spacing w:after="0"/>
        <w:rPr>
          <w:rFonts w:ascii="Arial" w:eastAsia="Arial" w:hAnsi="Arial" w:cs="Arial"/>
          <w:sz w:val="22"/>
          <w:szCs w:val="22"/>
          <w:lang w:val="en-US"/>
        </w:rPr>
      </w:pPr>
      <w:r w:rsidRPr="005D1A97">
        <w:rPr>
          <w:rFonts w:ascii="Arial" w:hAnsi="Arial" w:cs="Arial"/>
          <w:sz w:val="22"/>
          <w:szCs w:val="22"/>
          <w:lang w:val="en-US"/>
        </w:rPr>
        <w:t>joni.lukkaroinen@terrafame.fi</w:t>
      </w:r>
    </w:p>
    <w:p w14:paraId="4C0194D8" w14:textId="77777777" w:rsidR="00086EFF" w:rsidRPr="005D1A97" w:rsidRDefault="00086EFF" w:rsidP="00CE6BDB">
      <w:pPr>
        <w:tabs>
          <w:tab w:val="left" w:pos="2592"/>
        </w:tabs>
        <w:spacing w:after="0"/>
        <w:rPr>
          <w:rFonts w:ascii="Arial" w:eastAsia="Arial" w:hAnsi="Arial" w:cs="Arial"/>
          <w:b/>
          <w:bCs/>
          <w:sz w:val="22"/>
          <w:szCs w:val="22"/>
          <w:lang w:val="en-US"/>
        </w:rPr>
      </w:pPr>
    </w:p>
    <w:p w14:paraId="4F908E7D" w14:textId="5F57F291" w:rsidR="00CE6BDB" w:rsidRPr="005D1A97" w:rsidRDefault="00CE6BDB" w:rsidP="00CE6BDB">
      <w:pPr>
        <w:tabs>
          <w:tab w:val="left" w:pos="2592"/>
        </w:tabs>
        <w:spacing w:after="0"/>
        <w:rPr>
          <w:rFonts w:ascii="Arial" w:eastAsia="Arial" w:hAnsi="Arial" w:cs="Arial"/>
          <w:b/>
          <w:bCs/>
          <w:sz w:val="22"/>
          <w:szCs w:val="22"/>
          <w:lang w:val="en-US"/>
        </w:rPr>
      </w:pPr>
      <w:proofErr w:type="spellStart"/>
      <w:r w:rsidRPr="005D1A97">
        <w:rPr>
          <w:rFonts w:ascii="Arial" w:hAnsi="Arial" w:cs="Arial"/>
          <w:b/>
          <w:bCs/>
          <w:sz w:val="22"/>
          <w:szCs w:val="22"/>
          <w:lang w:val="en-US"/>
        </w:rPr>
        <w:t>Veli</w:t>
      </w:r>
      <w:proofErr w:type="spellEnd"/>
      <w:r w:rsidRPr="005D1A97">
        <w:rPr>
          <w:rFonts w:ascii="Arial" w:hAnsi="Arial" w:cs="Arial"/>
          <w:b/>
          <w:bCs/>
          <w:sz w:val="22"/>
          <w:szCs w:val="22"/>
          <w:lang w:val="en-US"/>
        </w:rPr>
        <w:t xml:space="preserve">-Matti </w:t>
      </w:r>
      <w:proofErr w:type="spellStart"/>
      <w:r w:rsidRPr="005D1A97">
        <w:rPr>
          <w:rFonts w:ascii="Arial" w:hAnsi="Arial" w:cs="Arial"/>
          <w:b/>
          <w:bCs/>
          <w:sz w:val="22"/>
          <w:szCs w:val="22"/>
          <w:lang w:val="en-US"/>
        </w:rPr>
        <w:t>Hilla</w:t>
      </w:r>
      <w:proofErr w:type="spellEnd"/>
    </w:p>
    <w:p w14:paraId="47E95498" w14:textId="77777777" w:rsidR="00CE6BDB" w:rsidRPr="005D1A97" w:rsidRDefault="00CE6BDB" w:rsidP="00CE6BDB">
      <w:pPr>
        <w:tabs>
          <w:tab w:val="left" w:pos="2592"/>
        </w:tabs>
        <w:spacing w:after="0"/>
        <w:rPr>
          <w:rFonts w:ascii="Arial" w:eastAsia="Arial" w:hAnsi="Arial" w:cs="Arial"/>
          <w:sz w:val="22"/>
          <w:szCs w:val="22"/>
          <w:lang w:val="en-US"/>
        </w:rPr>
      </w:pPr>
      <w:r w:rsidRPr="005D1A97">
        <w:rPr>
          <w:rFonts w:ascii="Arial" w:hAnsi="Arial" w:cs="Arial"/>
          <w:sz w:val="22"/>
          <w:szCs w:val="22"/>
          <w:lang w:val="en-US"/>
        </w:rPr>
        <w:t>Chief Sustainability Officer</w:t>
      </w:r>
    </w:p>
    <w:p w14:paraId="5D5F38D6" w14:textId="42987416" w:rsidR="00CE6BDB" w:rsidRPr="005D1A97" w:rsidRDefault="00CE6BDB" w:rsidP="00CE6BDB">
      <w:pPr>
        <w:tabs>
          <w:tab w:val="left" w:pos="2592"/>
        </w:tabs>
        <w:spacing w:after="0"/>
        <w:rPr>
          <w:rFonts w:ascii="Arial" w:eastAsia="Arial" w:hAnsi="Arial" w:cs="Arial"/>
          <w:sz w:val="22"/>
          <w:szCs w:val="22"/>
          <w:lang w:val="en-US"/>
        </w:rPr>
      </w:pPr>
      <w:proofErr w:type="spellStart"/>
      <w:r w:rsidRPr="005D1A97">
        <w:rPr>
          <w:rFonts w:ascii="Arial" w:hAnsi="Arial" w:cs="Arial"/>
          <w:sz w:val="22"/>
          <w:szCs w:val="22"/>
          <w:lang w:val="en-US"/>
        </w:rPr>
        <w:t>Tuhkakylä</w:t>
      </w:r>
      <w:proofErr w:type="spellEnd"/>
      <w:r w:rsidRPr="005D1A97">
        <w:rPr>
          <w:rFonts w:ascii="Arial" w:hAnsi="Arial" w:cs="Arial"/>
          <w:sz w:val="22"/>
          <w:szCs w:val="22"/>
          <w:lang w:val="en-US"/>
        </w:rPr>
        <w:t>, Finland</w:t>
      </w:r>
    </w:p>
    <w:p w14:paraId="29145FFB" w14:textId="77777777" w:rsidR="00CE6BDB" w:rsidRPr="005D1A97" w:rsidRDefault="00CE6BDB" w:rsidP="00CE6BDB">
      <w:pPr>
        <w:tabs>
          <w:tab w:val="left" w:pos="2592"/>
        </w:tabs>
        <w:spacing w:after="0"/>
        <w:rPr>
          <w:rFonts w:ascii="Arial" w:eastAsia="Arial" w:hAnsi="Arial" w:cs="Arial"/>
          <w:sz w:val="22"/>
          <w:szCs w:val="22"/>
          <w:lang w:val="en-US"/>
        </w:rPr>
      </w:pPr>
      <w:r w:rsidRPr="005D1A97">
        <w:rPr>
          <w:rFonts w:ascii="Arial" w:hAnsi="Arial" w:cs="Arial"/>
          <w:sz w:val="22"/>
          <w:szCs w:val="22"/>
          <w:lang w:val="en-US"/>
        </w:rPr>
        <w:t>+358 40 569 9906</w:t>
      </w:r>
    </w:p>
    <w:p w14:paraId="32BA51A6" w14:textId="240C626D" w:rsidR="005B2829" w:rsidRPr="005D1A97" w:rsidRDefault="00CE6BDB" w:rsidP="00CE6BDB">
      <w:pPr>
        <w:tabs>
          <w:tab w:val="left" w:pos="2592"/>
        </w:tabs>
        <w:spacing w:after="0"/>
        <w:rPr>
          <w:rFonts w:ascii="Arial" w:eastAsia="Arial" w:hAnsi="Arial" w:cs="Arial"/>
          <w:sz w:val="22"/>
          <w:szCs w:val="22"/>
          <w:lang w:val="en-US"/>
        </w:rPr>
      </w:pPr>
      <w:r w:rsidRPr="005D1A97">
        <w:rPr>
          <w:rFonts w:ascii="Arial" w:hAnsi="Arial" w:cs="Arial"/>
          <w:sz w:val="22"/>
          <w:szCs w:val="22"/>
          <w:lang w:val="en-US"/>
        </w:rPr>
        <w:t>veli-matti.hilla@terrafame.fi</w:t>
      </w:r>
    </w:p>
    <w:p w14:paraId="0B8AB122" w14:textId="77777777" w:rsidR="00CE6BDB" w:rsidRPr="005D1A97" w:rsidRDefault="00CE6BDB" w:rsidP="00D013CE">
      <w:pPr>
        <w:tabs>
          <w:tab w:val="left" w:pos="2592"/>
        </w:tabs>
        <w:spacing w:after="0"/>
        <w:rPr>
          <w:rFonts w:ascii="Arial" w:eastAsia="Arial" w:hAnsi="Arial" w:cs="Arial"/>
          <w:sz w:val="22"/>
          <w:szCs w:val="22"/>
          <w:lang w:val="en-US"/>
        </w:rPr>
      </w:pPr>
    </w:p>
    <w:p w14:paraId="56CA7677" w14:textId="27629213" w:rsidR="005B2829" w:rsidRPr="005D1A97" w:rsidRDefault="0086303D" w:rsidP="00D013CE">
      <w:pPr>
        <w:tabs>
          <w:tab w:val="left" w:pos="2592"/>
        </w:tabs>
        <w:spacing w:after="0"/>
        <w:rPr>
          <w:rFonts w:ascii="Arial" w:eastAsia="Arial" w:hAnsi="Arial" w:cs="Arial"/>
          <w:sz w:val="22"/>
          <w:szCs w:val="22"/>
          <w:lang w:val="en-US"/>
        </w:rPr>
      </w:pPr>
      <w:r w:rsidRPr="005D1A97">
        <w:rPr>
          <w:rFonts w:ascii="Arial" w:hAnsi="Arial" w:cs="Arial"/>
          <w:sz w:val="22"/>
          <w:szCs w:val="22"/>
          <w:lang w:val="en-US"/>
        </w:rPr>
        <w:t>press@terrafame.fi</w:t>
      </w:r>
    </w:p>
    <w:p w14:paraId="22DD4712" w14:textId="502241B9" w:rsidR="0086303D" w:rsidRPr="005D1A97" w:rsidRDefault="0086303D" w:rsidP="00D013CE">
      <w:pPr>
        <w:tabs>
          <w:tab w:val="left" w:pos="2592"/>
        </w:tabs>
        <w:spacing w:after="0"/>
        <w:rPr>
          <w:rFonts w:ascii="Arial" w:eastAsia="Arial" w:hAnsi="Arial" w:cs="Arial"/>
          <w:sz w:val="22"/>
          <w:szCs w:val="22"/>
        </w:rPr>
      </w:pPr>
      <w:r w:rsidRPr="005D1A97">
        <w:rPr>
          <w:rFonts w:ascii="Arial" w:hAnsi="Arial" w:cs="Arial"/>
          <w:sz w:val="22"/>
          <w:szCs w:val="22"/>
        </w:rPr>
        <w:t>+358 20 7130 800</w:t>
      </w:r>
    </w:p>
    <w:p w14:paraId="4C09DE7E" w14:textId="77777777" w:rsidR="005B2829" w:rsidRPr="005D1A97" w:rsidRDefault="005B2829" w:rsidP="00D013CE">
      <w:pPr>
        <w:tabs>
          <w:tab w:val="left" w:pos="2592"/>
        </w:tabs>
        <w:spacing w:after="0"/>
        <w:rPr>
          <w:rFonts w:ascii="Arial" w:eastAsia="Arial" w:hAnsi="Arial" w:cs="Arial"/>
          <w:sz w:val="22"/>
          <w:szCs w:val="22"/>
        </w:rPr>
      </w:pPr>
    </w:p>
    <w:p w14:paraId="56F6FECE" w14:textId="77777777" w:rsidR="00402D24" w:rsidRPr="005D1A97" w:rsidRDefault="00402D24" w:rsidP="00914E09">
      <w:pPr>
        <w:rPr>
          <w:rFonts w:ascii="Arial" w:hAnsi="Arial" w:cs="Arial"/>
          <w:b/>
          <w:bCs/>
          <w:sz w:val="18"/>
          <w:szCs w:val="18"/>
        </w:rPr>
      </w:pPr>
    </w:p>
    <w:p w14:paraId="1EFC3449" w14:textId="77777777" w:rsidR="00402D24" w:rsidRPr="005D1A97" w:rsidRDefault="00402D24" w:rsidP="00914E09">
      <w:pPr>
        <w:rPr>
          <w:rFonts w:ascii="Arial" w:hAnsi="Arial" w:cs="Arial"/>
          <w:b/>
          <w:bCs/>
          <w:sz w:val="18"/>
          <w:szCs w:val="18"/>
        </w:rPr>
      </w:pPr>
    </w:p>
    <w:p w14:paraId="46EE389C" w14:textId="77777777" w:rsidR="00402D24" w:rsidRPr="005D1A97" w:rsidRDefault="00402D24" w:rsidP="00914E09">
      <w:pPr>
        <w:rPr>
          <w:rFonts w:ascii="Arial" w:hAnsi="Arial" w:cs="Arial"/>
          <w:b/>
          <w:bCs/>
          <w:sz w:val="18"/>
          <w:szCs w:val="18"/>
        </w:rPr>
      </w:pPr>
    </w:p>
    <w:p w14:paraId="32894345" w14:textId="77777777" w:rsidR="00402D24" w:rsidRPr="005D1A97" w:rsidRDefault="00402D24" w:rsidP="00914E09">
      <w:pPr>
        <w:rPr>
          <w:rFonts w:ascii="Arial" w:hAnsi="Arial" w:cs="Arial"/>
          <w:b/>
          <w:bCs/>
          <w:sz w:val="18"/>
          <w:szCs w:val="18"/>
        </w:rPr>
      </w:pPr>
    </w:p>
    <w:p w14:paraId="618068EA" w14:textId="77777777" w:rsidR="00402D24" w:rsidRPr="005D1A97" w:rsidRDefault="00402D24" w:rsidP="00914E09">
      <w:pPr>
        <w:rPr>
          <w:rFonts w:ascii="Arial" w:hAnsi="Arial" w:cs="Arial"/>
          <w:b/>
          <w:bCs/>
          <w:sz w:val="18"/>
          <w:szCs w:val="18"/>
        </w:rPr>
      </w:pPr>
    </w:p>
    <w:p w14:paraId="0BF6547B" w14:textId="77777777" w:rsidR="00402D24" w:rsidRPr="005D1A97" w:rsidRDefault="00402D24" w:rsidP="00914E09">
      <w:pPr>
        <w:rPr>
          <w:rFonts w:ascii="Arial" w:hAnsi="Arial" w:cs="Arial"/>
          <w:b/>
          <w:bCs/>
          <w:sz w:val="18"/>
          <w:szCs w:val="18"/>
        </w:rPr>
      </w:pPr>
    </w:p>
    <w:p w14:paraId="00D764B3" w14:textId="77777777" w:rsidR="00402D24" w:rsidRPr="005D1A97" w:rsidRDefault="00402D24" w:rsidP="00914E09">
      <w:pPr>
        <w:rPr>
          <w:rFonts w:ascii="Arial" w:hAnsi="Arial" w:cs="Arial"/>
          <w:b/>
          <w:bCs/>
          <w:sz w:val="18"/>
          <w:szCs w:val="18"/>
        </w:rPr>
      </w:pPr>
    </w:p>
    <w:p w14:paraId="20DE3234" w14:textId="77777777" w:rsidR="00402D24" w:rsidRPr="005D1A97" w:rsidRDefault="00402D24" w:rsidP="00914E09">
      <w:pPr>
        <w:rPr>
          <w:rFonts w:ascii="Arial" w:hAnsi="Arial" w:cs="Arial"/>
          <w:b/>
          <w:bCs/>
          <w:sz w:val="18"/>
          <w:szCs w:val="18"/>
        </w:rPr>
      </w:pPr>
    </w:p>
    <w:p w14:paraId="23C26E45" w14:textId="77777777" w:rsidR="00402D24" w:rsidRPr="005D1A97" w:rsidRDefault="00402D24" w:rsidP="00914E09">
      <w:pPr>
        <w:rPr>
          <w:rFonts w:ascii="Arial" w:hAnsi="Arial" w:cs="Arial"/>
          <w:b/>
          <w:bCs/>
          <w:sz w:val="18"/>
          <w:szCs w:val="18"/>
        </w:rPr>
      </w:pPr>
    </w:p>
    <w:p w14:paraId="12DFB7DF" w14:textId="77777777" w:rsidR="00402D24" w:rsidRPr="005D1A97" w:rsidRDefault="00402D24" w:rsidP="00914E09">
      <w:pPr>
        <w:rPr>
          <w:rFonts w:ascii="Arial" w:hAnsi="Arial" w:cs="Arial"/>
          <w:b/>
          <w:bCs/>
          <w:sz w:val="18"/>
          <w:szCs w:val="18"/>
        </w:rPr>
      </w:pPr>
    </w:p>
    <w:p w14:paraId="5B23FEE7" w14:textId="77777777" w:rsidR="00402D24" w:rsidRPr="005D1A97" w:rsidRDefault="00402D24" w:rsidP="00914E09">
      <w:pPr>
        <w:rPr>
          <w:rFonts w:ascii="Arial" w:hAnsi="Arial" w:cs="Arial"/>
          <w:b/>
          <w:bCs/>
          <w:sz w:val="18"/>
          <w:szCs w:val="18"/>
        </w:rPr>
      </w:pPr>
    </w:p>
    <w:p w14:paraId="2F471A32" w14:textId="77777777" w:rsidR="00402D24" w:rsidRPr="005D1A97" w:rsidRDefault="00402D24" w:rsidP="00914E09">
      <w:pPr>
        <w:rPr>
          <w:rFonts w:ascii="Arial" w:hAnsi="Arial" w:cs="Arial"/>
          <w:b/>
          <w:bCs/>
          <w:sz w:val="18"/>
          <w:szCs w:val="18"/>
        </w:rPr>
      </w:pPr>
    </w:p>
    <w:p w14:paraId="7797F047" w14:textId="77777777" w:rsidR="00402D24" w:rsidRPr="005D1A97" w:rsidRDefault="00402D24" w:rsidP="00914E09">
      <w:pPr>
        <w:rPr>
          <w:rFonts w:ascii="Arial" w:hAnsi="Arial" w:cs="Arial"/>
          <w:b/>
          <w:bCs/>
          <w:sz w:val="18"/>
          <w:szCs w:val="18"/>
        </w:rPr>
      </w:pPr>
    </w:p>
    <w:p w14:paraId="146312D2" w14:textId="77777777" w:rsidR="00402D24" w:rsidRPr="005D1A97" w:rsidRDefault="00402D24" w:rsidP="00914E09">
      <w:pPr>
        <w:rPr>
          <w:rFonts w:ascii="Arial" w:hAnsi="Arial" w:cs="Arial"/>
          <w:b/>
          <w:bCs/>
          <w:sz w:val="18"/>
          <w:szCs w:val="18"/>
        </w:rPr>
      </w:pPr>
    </w:p>
    <w:p w14:paraId="202329EA" w14:textId="77777777" w:rsidR="00402D24" w:rsidRPr="005D1A97" w:rsidRDefault="00402D24" w:rsidP="00914E09">
      <w:pPr>
        <w:rPr>
          <w:rFonts w:ascii="Arial" w:hAnsi="Arial" w:cs="Arial"/>
          <w:b/>
          <w:bCs/>
          <w:sz w:val="18"/>
          <w:szCs w:val="18"/>
        </w:rPr>
      </w:pPr>
    </w:p>
    <w:p w14:paraId="5F03B715" w14:textId="77777777" w:rsidR="00402D24" w:rsidRPr="005D1A97" w:rsidRDefault="00402D24" w:rsidP="00914E09">
      <w:pPr>
        <w:rPr>
          <w:rFonts w:ascii="Arial" w:hAnsi="Arial" w:cs="Arial"/>
          <w:b/>
          <w:bCs/>
          <w:sz w:val="18"/>
          <w:szCs w:val="18"/>
        </w:rPr>
      </w:pPr>
    </w:p>
    <w:p w14:paraId="3257FB30" w14:textId="77777777" w:rsidR="00402D24" w:rsidRPr="005D1A97" w:rsidRDefault="00402D24" w:rsidP="00914E09">
      <w:pPr>
        <w:rPr>
          <w:rFonts w:ascii="Arial" w:hAnsi="Arial" w:cs="Arial"/>
          <w:b/>
          <w:bCs/>
          <w:sz w:val="18"/>
          <w:szCs w:val="18"/>
        </w:rPr>
      </w:pPr>
    </w:p>
    <w:p w14:paraId="7F816D94" w14:textId="77777777" w:rsidR="005D1A97" w:rsidRDefault="005D1A97">
      <w:pPr>
        <w:rPr>
          <w:rFonts w:ascii="Arial" w:hAnsi="Arial" w:cs="Arial"/>
          <w:b/>
          <w:bCs/>
          <w:sz w:val="18"/>
          <w:szCs w:val="18"/>
        </w:rPr>
      </w:pPr>
      <w:r>
        <w:rPr>
          <w:rFonts w:ascii="Arial" w:hAnsi="Arial" w:cs="Arial"/>
          <w:b/>
          <w:bCs/>
          <w:sz w:val="18"/>
          <w:szCs w:val="18"/>
        </w:rPr>
        <w:br w:type="page"/>
      </w:r>
    </w:p>
    <w:p w14:paraId="1486F7E1" w14:textId="5423E127" w:rsidR="00211BDA" w:rsidRPr="005D1A97" w:rsidRDefault="005D1A97" w:rsidP="00914E09">
      <w:pPr>
        <w:rPr>
          <w:rFonts w:ascii="Arial" w:hAnsi="Arial" w:cs="Arial"/>
          <w:b/>
          <w:bCs/>
          <w:sz w:val="18"/>
          <w:szCs w:val="18"/>
        </w:rPr>
      </w:pPr>
      <w:r>
        <w:rPr>
          <w:rFonts w:ascii="Arial" w:hAnsi="Arial" w:cs="Arial"/>
          <w:b/>
          <w:bCs/>
          <w:sz w:val="18"/>
          <w:szCs w:val="18"/>
        </w:rPr>
        <w:lastRenderedPageBreak/>
        <w:t xml:space="preserve">STELLANTIS </w:t>
      </w:r>
      <w:r w:rsidR="00211BDA" w:rsidRPr="005D1A97">
        <w:rPr>
          <w:rFonts w:ascii="Arial" w:hAnsi="Arial" w:cs="Arial"/>
          <w:b/>
          <w:bCs/>
          <w:sz w:val="18"/>
          <w:szCs w:val="18"/>
        </w:rPr>
        <w:t>DICHIARAZIONI PREVISIONALI</w:t>
      </w:r>
    </w:p>
    <w:p w14:paraId="18E03D4B" w14:textId="78CB7CF4" w:rsidR="00211BDA" w:rsidRPr="005D1A97" w:rsidRDefault="00211BDA" w:rsidP="00211BDA">
      <w:pPr>
        <w:spacing w:before="240"/>
        <w:rPr>
          <w:rFonts w:ascii="Arial" w:eastAsia="Encode Sans" w:hAnsi="Arial" w:cs="Arial"/>
          <w:i/>
          <w:sz w:val="18"/>
          <w:szCs w:val="18"/>
        </w:rPr>
      </w:pPr>
      <w:r w:rsidRPr="005D1A97">
        <w:rPr>
          <w:rFonts w:ascii="Arial" w:hAnsi="Arial" w:cs="Arial"/>
          <w:i/>
          <w:sz w:val="18"/>
          <w:szCs w:val="18"/>
        </w:rPr>
        <w:t xml:space="preserve">La presente comunicazione contiene dichiarazioni previsionali. In particolare, le dichiarazioni riguardanti gli eventi futuri e i risultati previsti delle operazioni, le strategie aziendali, la previsione dei benefici ottenuti dalla transazione proposta, i risultati finanziari e operativi futuri, la data di chiusura prevista per la transazione proposta e gli altri aspetti previsti relativamente alle nostre operazioni o ai nostri risultati operativi sono dichiarazioni previsionali. Tali dichiarazioni possono includere i termini come “possono”, “saranno”, </w:t>
      </w:r>
      <w:r w:rsidR="00F85785">
        <w:rPr>
          <w:rFonts w:ascii="Arial" w:hAnsi="Arial" w:cs="Arial"/>
          <w:i/>
          <w:sz w:val="18"/>
          <w:szCs w:val="18"/>
        </w:rPr>
        <w:t>“</w:t>
      </w:r>
      <w:r w:rsidRPr="005D1A97">
        <w:rPr>
          <w:rFonts w:ascii="Arial" w:hAnsi="Arial" w:cs="Arial"/>
          <w:i/>
          <w:sz w:val="18"/>
          <w:szCs w:val="18"/>
        </w:rPr>
        <w:t>prevedono</w:t>
      </w:r>
      <w:r w:rsidR="00F85785">
        <w:rPr>
          <w:rFonts w:ascii="Arial" w:hAnsi="Arial" w:cs="Arial"/>
          <w:i/>
          <w:sz w:val="18"/>
          <w:szCs w:val="18"/>
        </w:rPr>
        <w:t>”</w:t>
      </w:r>
      <w:r w:rsidRPr="005D1A97">
        <w:rPr>
          <w:rFonts w:ascii="Arial" w:hAnsi="Arial" w:cs="Arial"/>
          <w:i/>
          <w:sz w:val="18"/>
          <w:szCs w:val="18"/>
        </w:rPr>
        <w:t xml:space="preserve">, </w:t>
      </w:r>
      <w:r w:rsidR="00F85785">
        <w:rPr>
          <w:rFonts w:ascii="Arial" w:hAnsi="Arial" w:cs="Arial"/>
          <w:i/>
          <w:sz w:val="18"/>
          <w:szCs w:val="18"/>
        </w:rPr>
        <w:t>“</w:t>
      </w:r>
      <w:r w:rsidRPr="005D1A97">
        <w:rPr>
          <w:rFonts w:ascii="Arial" w:hAnsi="Arial" w:cs="Arial"/>
          <w:i/>
          <w:sz w:val="18"/>
          <w:szCs w:val="18"/>
        </w:rPr>
        <w:t>potrebbero</w:t>
      </w:r>
      <w:r w:rsidR="00F85785">
        <w:rPr>
          <w:rFonts w:ascii="Arial" w:hAnsi="Arial" w:cs="Arial"/>
          <w:i/>
          <w:sz w:val="18"/>
          <w:szCs w:val="18"/>
        </w:rPr>
        <w:t>”</w:t>
      </w:r>
      <w:r w:rsidRPr="005D1A97">
        <w:rPr>
          <w:rFonts w:ascii="Arial" w:hAnsi="Arial" w:cs="Arial"/>
          <w:i/>
          <w:sz w:val="18"/>
          <w:szCs w:val="18"/>
        </w:rPr>
        <w:t xml:space="preserve">, </w:t>
      </w:r>
      <w:r w:rsidR="00F85785">
        <w:rPr>
          <w:rFonts w:ascii="Arial" w:hAnsi="Arial" w:cs="Arial"/>
          <w:i/>
          <w:sz w:val="18"/>
          <w:szCs w:val="18"/>
        </w:rPr>
        <w:t>“</w:t>
      </w:r>
      <w:r w:rsidRPr="005D1A97">
        <w:rPr>
          <w:rFonts w:ascii="Arial" w:hAnsi="Arial" w:cs="Arial"/>
          <w:i/>
          <w:sz w:val="18"/>
          <w:szCs w:val="18"/>
        </w:rPr>
        <w:t>dovrebbero</w:t>
      </w:r>
      <w:r w:rsidR="00F85785">
        <w:rPr>
          <w:rFonts w:ascii="Arial" w:hAnsi="Arial" w:cs="Arial"/>
          <w:i/>
          <w:sz w:val="18"/>
          <w:szCs w:val="18"/>
        </w:rPr>
        <w:t>”</w:t>
      </w:r>
      <w:r w:rsidRPr="005D1A97">
        <w:rPr>
          <w:rFonts w:ascii="Arial" w:hAnsi="Arial" w:cs="Arial"/>
          <w:i/>
          <w:sz w:val="18"/>
          <w:szCs w:val="18"/>
        </w:rPr>
        <w:t xml:space="preserve">, </w:t>
      </w:r>
      <w:r w:rsidR="00F85785">
        <w:rPr>
          <w:rFonts w:ascii="Arial" w:hAnsi="Arial" w:cs="Arial"/>
          <w:i/>
          <w:sz w:val="18"/>
          <w:szCs w:val="18"/>
        </w:rPr>
        <w:t>“</w:t>
      </w:r>
      <w:r w:rsidRPr="005D1A97">
        <w:rPr>
          <w:rFonts w:ascii="Arial" w:hAnsi="Arial" w:cs="Arial"/>
          <w:i/>
          <w:sz w:val="18"/>
          <w:szCs w:val="18"/>
        </w:rPr>
        <w:t>intendono</w:t>
      </w:r>
      <w:r w:rsidR="00F85785">
        <w:rPr>
          <w:rFonts w:ascii="Arial" w:hAnsi="Arial" w:cs="Arial"/>
          <w:i/>
          <w:sz w:val="18"/>
          <w:szCs w:val="18"/>
        </w:rPr>
        <w:t>”</w:t>
      </w:r>
      <w:r w:rsidRPr="005D1A97">
        <w:rPr>
          <w:rFonts w:ascii="Arial" w:hAnsi="Arial" w:cs="Arial"/>
          <w:i/>
          <w:sz w:val="18"/>
          <w:szCs w:val="18"/>
        </w:rPr>
        <w:t xml:space="preserve">, </w:t>
      </w:r>
      <w:r w:rsidR="00F85785">
        <w:rPr>
          <w:rFonts w:ascii="Arial" w:hAnsi="Arial" w:cs="Arial"/>
          <w:i/>
          <w:sz w:val="18"/>
          <w:szCs w:val="18"/>
        </w:rPr>
        <w:t>“</w:t>
      </w:r>
      <w:r w:rsidRPr="005D1A97">
        <w:rPr>
          <w:rFonts w:ascii="Arial" w:hAnsi="Arial" w:cs="Arial"/>
          <w:i/>
          <w:sz w:val="18"/>
          <w:szCs w:val="18"/>
        </w:rPr>
        <w:t>stimano</w:t>
      </w:r>
      <w:r w:rsidR="00F85785">
        <w:rPr>
          <w:rFonts w:ascii="Arial" w:hAnsi="Arial" w:cs="Arial"/>
          <w:i/>
          <w:sz w:val="18"/>
          <w:szCs w:val="18"/>
        </w:rPr>
        <w:t>”</w:t>
      </w:r>
      <w:r w:rsidRPr="005D1A97">
        <w:rPr>
          <w:rFonts w:ascii="Arial" w:hAnsi="Arial" w:cs="Arial"/>
          <w:i/>
          <w:sz w:val="18"/>
          <w:szCs w:val="18"/>
        </w:rPr>
        <w:t xml:space="preserve">, </w:t>
      </w:r>
      <w:r w:rsidR="00F85785">
        <w:rPr>
          <w:rFonts w:ascii="Arial" w:hAnsi="Arial" w:cs="Arial"/>
          <w:i/>
          <w:sz w:val="18"/>
          <w:szCs w:val="18"/>
        </w:rPr>
        <w:t>“</w:t>
      </w:r>
      <w:r w:rsidRPr="005D1A97">
        <w:rPr>
          <w:rFonts w:ascii="Arial" w:hAnsi="Arial" w:cs="Arial"/>
          <w:i/>
          <w:sz w:val="18"/>
          <w:szCs w:val="18"/>
        </w:rPr>
        <w:t>anticipano</w:t>
      </w:r>
      <w:r w:rsidR="00F85785">
        <w:rPr>
          <w:rFonts w:ascii="Arial" w:hAnsi="Arial" w:cs="Arial"/>
          <w:i/>
          <w:sz w:val="18"/>
          <w:szCs w:val="18"/>
        </w:rPr>
        <w:t>”</w:t>
      </w:r>
      <w:r w:rsidRPr="005D1A97">
        <w:rPr>
          <w:rFonts w:ascii="Arial" w:hAnsi="Arial" w:cs="Arial"/>
          <w:i/>
          <w:sz w:val="18"/>
          <w:szCs w:val="18"/>
        </w:rPr>
        <w:t xml:space="preserve">, </w:t>
      </w:r>
      <w:r w:rsidR="00F85785">
        <w:rPr>
          <w:rFonts w:ascii="Arial" w:hAnsi="Arial" w:cs="Arial"/>
          <w:i/>
          <w:sz w:val="18"/>
          <w:szCs w:val="18"/>
        </w:rPr>
        <w:t>“</w:t>
      </w:r>
      <w:r w:rsidRPr="005D1A97">
        <w:rPr>
          <w:rFonts w:ascii="Arial" w:hAnsi="Arial" w:cs="Arial"/>
          <w:i/>
          <w:sz w:val="18"/>
          <w:szCs w:val="18"/>
        </w:rPr>
        <w:t>credono</w:t>
      </w:r>
      <w:r w:rsidR="00F85785">
        <w:rPr>
          <w:rFonts w:ascii="Arial" w:hAnsi="Arial" w:cs="Arial"/>
          <w:i/>
          <w:sz w:val="18"/>
          <w:szCs w:val="18"/>
        </w:rPr>
        <w:t>”</w:t>
      </w:r>
      <w:r w:rsidRPr="005D1A97">
        <w:rPr>
          <w:rFonts w:ascii="Arial" w:hAnsi="Arial" w:cs="Arial"/>
          <w:i/>
          <w:sz w:val="18"/>
          <w:szCs w:val="18"/>
        </w:rPr>
        <w:t xml:space="preserve">, </w:t>
      </w:r>
      <w:r w:rsidR="00F85785">
        <w:rPr>
          <w:rFonts w:ascii="Arial" w:hAnsi="Arial" w:cs="Arial"/>
          <w:i/>
          <w:sz w:val="18"/>
          <w:szCs w:val="18"/>
        </w:rPr>
        <w:t>“</w:t>
      </w:r>
      <w:r w:rsidRPr="005D1A97">
        <w:rPr>
          <w:rFonts w:ascii="Arial" w:hAnsi="Arial" w:cs="Arial"/>
          <w:i/>
          <w:sz w:val="18"/>
          <w:szCs w:val="18"/>
        </w:rPr>
        <w:t>rimangono</w:t>
      </w:r>
      <w:r w:rsidR="00F85785">
        <w:rPr>
          <w:rFonts w:ascii="Arial" w:hAnsi="Arial" w:cs="Arial"/>
          <w:i/>
          <w:sz w:val="18"/>
          <w:szCs w:val="18"/>
        </w:rPr>
        <w:t>”</w:t>
      </w:r>
      <w:r w:rsidRPr="005D1A97">
        <w:rPr>
          <w:rFonts w:ascii="Arial" w:hAnsi="Arial" w:cs="Arial"/>
          <w:i/>
          <w:sz w:val="18"/>
          <w:szCs w:val="18"/>
        </w:rPr>
        <w:t xml:space="preserve">, </w:t>
      </w:r>
      <w:r w:rsidR="00F85785">
        <w:rPr>
          <w:rFonts w:ascii="Arial" w:hAnsi="Arial" w:cs="Arial"/>
          <w:i/>
          <w:sz w:val="18"/>
          <w:szCs w:val="18"/>
        </w:rPr>
        <w:t>“</w:t>
      </w:r>
      <w:r w:rsidRPr="005D1A97">
        <w:rPr>
          <w:rFonts w:ascii="Arial" w:hAnsi="Arial" w:cs="Arial"/>
          <w:i/>
          <w:sz w:val="18"/>
          <w:szCs w:val="18"/>
        </w:rPr>
        <w:t>sulla buona strada</w:t>
      </w:r>
      <w:r w:rsidR="00F85785">
        <w:rPr>
          <w:rFonts w:ascii="Arial" w:hAnsi="Arial" w:cs="Arial"/>
          <w:i/>
          <w:sz w:val="18"/>
          <w:szCs w:val="18"/>
        </w:rPr>
        <w:t>”</w:t>
      </w:r>
      <w:r w:rsidRPr="005D1A97">
        <w:rPr>
          <w:rFonts w:ascii="Arial" w:hAnsi="Arial" w:cs="Arial"/>
          <w:i/>
          <w:sz w:val="18"/>
          <w:szCs w:val="18"/>
        </w:rPr>
        <w:t xml:space="preserve">, </w:t>
      </w:r>
      <w:r w:rsidR="00F85785">
        <w:rPr>
          <w:rFonts w:ascii="Arial" w:hAnsi="Arial" w:cs="Arial"/>
          <w:i/>
          <w:sz w:val="18"/>
          <w:szCs w:val="18"/>
        </w:rPr>
        <w:t>“</w:t>
      </w:r>
      <w:r w:rsidRPr="005D1A97">
        <w:rPr>
          <w:rFonts w:ascii="Arial" w:hAnsi="Arial" w:cs="Arial"/>
          <w:i/>
          <w:sz w:val="18"/>
          <w:szCs w:val="18"/>
        </w:rPr>
        <w:t>progettano</w:t>
      </w:r>
      <w:r w:rsidR="00F85785">
        <w:rPr>
          <w:rFonts w:ascii="Arial" w:hAnsi="Arial" w:cs="Arial"/>
          <w:i/>
          <w:sz w:val="18"/>
          <w:szCs w:val="18"/>
        </w:rPr>
        <w:t>”</w:t>
      </w:r>
      <w:r w:rsidRPr="005D1A97">
        <w:rPr>
          <w:rFonts w:ascii="Arial" w:hAnsi="Arial" w:cs="Arial"/>
          <w:i/>
          <w:sz w:val="18"/>
          <w:szCs w:val="18"/>
        </w:rPr>
        <w:t xml:space="preserve">, </w:t>
      </w:r>
      <w:r w:rsidR="00F85785">
        <w:rPr>
          <w:rFonts w:ascii="Arial" w:hAnsi="Arial" w:cs="Arial"/>
          <w:i/>
          <w:sz w:val="18"/>
          <w:szCs w:val="18"/>
        </w:rPr>
        <w:t>“</w:t>
      </w:r>
      <w:r w:rsidRPr="005D1A97">
        <w:rPr>
          <w:rFonts w:ascii="Arial" w:hAnsi="Arial" w:cs="Arial"/>
          <w:i/>
          <w:sz w:val="18"/>
          <w:szCs w:val="18"/>
        </w:rPr>
        <w:t>obiettivo</w:t>
      </w:r>
      <w:r w:rsidR="00F85785">
        <w:rPr>
          <w:rFonts w:ascii="Arial" w:hAnsi="Arial" w:cs="Arial"/>
          <w:i/>
          <w:sz w:val="18"/>
          <w:szCs w:val="18"/>
        </w:rPr>
        <w:t>”</w:t>
      </w:r>
      <w:r w:rsidRPr="005D1A97">
        <w:rPr>
          <w:rFonts w:ascii="Arial" w:hAnsi="Arial" w:cs="Arial"/>
          <w:i/>
          <w:sz w:val="18"/>
          <w:szCs w:val="18"/>
        </w:rPr>
        <w:t xml:space="preserve">, </w:t>
      </w:r>
      <w:r w:rsidR="00F85785">
        <w:rPr>
          <w:rFonts w:ascii="Arial" w:hAnsi="Arial" w:cs="Arial"/>
          <w:i/>
          <w:sz w:val="18"/>
          <w:szCs w:val="18"/>
        </w:rPr>
        <w:t>“</w:t>
      </w:r>
      <w:r w:rsidRPr="005D1A97">
        <w:rPr>
          <w:rFonts w:ascii="Arial" w:hAnsi="Arial" w:cs="Arial"/>
          <w:i/>
          <w:sz w:val="18"/>
          <w:szCs w:val="18"/>
        </w:rPr>
        <w:t>previsione</w:t>
      </w:r>
      <w:r w:rsidR="00F85785">
        <w:rPr>
          <w:rFonts w:ascii="Arial" w:hAnsi="Arial" w:cs="Arial"/>
          <w:i/>
          <w:sz w:val="18"/>
          <w:szCs w:val="18"/>
        </w:rPr>
        <w:t>”</w:t>
      </w:r>
      <w:r w:rsidRPr="005D1A97">
        <w:rPr>
          <w:rFonts w:ascii="Arial" w:hAnsi="Arial" w:cs="Arial"/>
          <w:i/>
          <w:sz w:val="18"/>
          <w:szCs w:val="18"/>
        </w:rPr>
        <w:t xml:space="preserve">, </w:t>
      </w:r>
      <w:r w:rsidR="00F85785">
        <w:rPr>
          <w:rFonts w:ascii="Arial" w:hAnsi="Arial" w:cs="Arial"/>
          <w:i/>
          <w:sz w:val="18"/>
          <w:szCs w:val="18"/>
        </w:rPr>
        <w:t>“</w:t>
      </w:r>
      <w:r w:rsidRPr="005D1A97">
        <w:rPr>
          <w:rFonts w:ascii="Arial" w:hAnsi="Arial" w:cs="Arial"/>
          <w:i/>
          <w:sz w:val="18"/>
          <w:szCs w:val="18"/>
        </w:rPr>
        <w:t>proiezione</w:t>
      </w:r>
      <w:r w:rsidR="00F85785">
        <w:rPr>
          <w:rFonts w:ascii="Arial" w:hAnsi="Arial" w:cs="Arial"/>
          <w:i/>
          <w:sz w:val="18"/>
          <w:szCs w:val="18"/>
        </w:rPr>
        <w:t>”</w:t>
      </w:r>
      <w:r w:rsidRPr="005D1A97">
        <w:rPr>
          <w:rFonts w:ascii="Arial" w:hAnsi="Arial" w:cs="Arial"/>
          <w:i/>
          <w:sz w:val="18"/>
          <w:szCs w:val="18"/>
        </w:rPr>
        <w:t xml:space="preserve">, </w:t>
      </w:r>
      <w:r w:rsidR="00F85785">
        <w:rPr>
          <w:rFonts w:ascii="Arial" w:hAnsi="Arial" w:cs="Arial"/>
          <w:i/>
          <w:sz w:val="18"/>
          <w:szCs w:val="18"/>
        </w:rPr>
        <w:t>“</w:t>
      </w:r>
      <w:r w:rsidRPr="005D1A97">
        <w:rPr>
          <w:rFonts w:ascii="Arial" w:hAnsi="Arial" w:cs="Arial"/>
          <w:i/>
          <w:sz w:val="18"/>
          <w:szCs w:val="18"/>
        </w:rPr>
        <w:t>prospettiva</w:t>
      </w:r>
      <w:r w:rsidR="00F85785">
        <w:rPr>
          <w:rFonts w:ascii="Arial" w:hAnsi="Arial" w:cs="Arial"/>
          <w:i/>
          <w:sz w:val="18"/>
          <w:szCs w:val="18"/>
        </w:rPr>
        <w:t>”</w:t>
      </w:r>
      <w:r w:rsidRPr="005D1A97">
        <w:rPr>
          <w:rFonts w:ascii="Arial" w:hAnsi="Arial" w:cs="Arial"/>
          <w:i/>
          <w:sz w:val="18"/>
          <w:szCs w:val="18"/>
        </w:rPr>
        <w:t xml:space="preserve">, </w:t>
      </w:r>
      <w:r w:rsidR="00F85785">
        <w:rPr>
          <w:rFonts w:ascii="Arial" w:hAnsi="Arial" w:cs="Arial"/>
          <w:i/>
          <w:sz w:val="18"/>
          <w:szCs w:val="18"/>
        </w:rPr>
        <w:t>“</w:t>
      </w:r>
      <w:r w:rsidRPr="005D1A97">
        <w:rPr>
          <w:rFonts w:ascii="Arial" w:hAnsi="Arial" w:cs="Arial"/>
          <w:i/>
          <w:sz w:val="18"/>
          <w:szCs w:val="18"/>
        </w:rPr>
        <w:t>prospettive</w:t>
      </w:r>
      <w:r w:rsidR="00F85785">
        <w:rPr>
          <w:rFonts w:ascii="Arial" w:hAnsi="Arial" w:cs="Arial"/>
          <w:i/>
          <w:sz w:val="18"/>
          <w:szCs w:val="18"/>
        </w:rPr>
        <w:t>”</w:t>
      </w:r>
      <w:r w:rsidRPr="005D1A97">
        <w:rPr>
          <w:rFonts w:ascii="Arial" w:hAnsi="Arial" w:cs="Arial"/>
          <w:i/>
          <w:sz w:val="18"/>
          <w:szCs w:val="18"/>
        </w:rPr>
        <w:t xml:space="preserve">, </w:t>
      </w:r>
      <w:r w:rsidR="00F85785">
        <w:rPr>
          <w:rFonts w:ascii="Arial" w:hAnsi="Arial" w:cs="Arial"/>
          <w:i/>
          <w:sz w:val="18"/>
          <w:szCs w:val="18"/>
        </w:rPr>
        <w:t>“</w:t>
      </w:r>
      <w:r w:rsidRPr="005D1A97">
        <w:rPr>
          <w:rFonts w:ascii="Arial" w:hAnsi="Arial" w:cs="Arial"/>
          <w:i/>
          <w:sz w:val="18"/>
          <w:szCs w:val="18"/>
        </w:rPr>
        <w:t>piano</w:t>
      </w:r>
      <w:r w:rsidR="00F85785">
        <w:rPr>
          <w:rFonts w:ascii="Arial" w:hAnsi="Arial" w:cs="Arial"/>
          <w:i/>
          <w:sz w:val="18"/>
          <w:szCs w:val="18"/>
        </w:rPr>
        <w:t>”</w:t>
      </w:r>
      <w:r w:rsidRPr="005D1A97">
        <w:rPr>
          <w:rFonts w:ascii="Arial" w:hAnsi="Arial" w:cs="Arial"/>
          <w:i/>
          <w:sz w:val="18"/>
          <w:szCs w:val="18"/>
        </w:rPr>
        <w:t xml:space="preserve"> o termini simili. Le dichiarazioni previsionali non sono garanzie di prestazioni future. Piuttosto, si basano sullo stato attuale delle conoscenze di Stellantis, sulle aspettative future e sulle proiezioni di eventi futuri e sono, per loro natura, soggette a rischi e incertezze intrinseche. Si riferiscono a eventi e dipendono da circostanze che possono o non possono verificarsi o esistere in futuro e, pertanto, che non dovrebbero essere oggetto di eccessivo affidamento.</w:t>
      </w:r>
    </w:p>
    <w:p w14:paraId="6D9C35D1" w14:textId="77777777" w:rsidR="00211BDA" w:rsidRPr="005D1A97" w:rsidRDefault="00211BDA" w:rsidP="00211BDA">
      <w:pPr>
        <w:spacing w:before="240"/>
        <w:rPr>
          <w:rFonts w:ascii="Arial" w:eastAsia="Encode Sans" w:hAnsi="Arial" w:cs="Arial"/>
          <w:i/>
          <w:sz w:val="18"/>
          <w:szCs w:val="18"/>
        </w:rPr>
      </w:pPr>
      <w:r w:rsidRPr="005D1A97">
        <w:rPr>
          <w:rFonts w:ascii="Arial" w:hAnsi="Arial" w:cs="Arial"/>
          <w:i/>
          <w:sz w:val="18"/>
          <w:szCs w:val="18"/>
        </w:rPr>
        <w:t>I risultati effettivi potrebbero differire materialmente da quelli espressi nelle dichiarazioni previsionali quale risultato di una molteplicità di fattori, inclusi: l’impatto della pandemia da COVID-19, la capacità di Stellantis di lanciare nuovi prodotti con successo e di mantenere i volumi di consegna dei veicoli; i cambiamenti nei mercati finanziari globali, nel contesto economico generale e i cambiamenti nella domanda di prodotti automobilistici, soggetta a ciclicità; i cambiamenti delle condizioni economiche e politiche locali, i cambiamenti delle politiche commerciali e l’imposizione di dazi a livello globale e regionale o dazi mirati all’industria automobilistica, l’attuazione di riforme fiscali o altre variazioni nelle normative e regolamentazioni fiscali; la capacità di Stellantis di espandere a livello globale alcuni dei suoi marchi; la sua capacità di offrire prodotti innovativi e attraenti; la sua capacità di sviluppare, produrre e vendere veicoli con caratteristiche avanzate tra cui elettrificazione potenziata, connettività e guida autonoma; diversi tipi di reclami, azioni legali, indagini governative e altre controversie legali, inclusi responsabilità del prodotto e reclami di garanzia del prodotto e reclami, indagini e azioni legali in materia ambientale; costi operativi in relazione alla conformità con le normative di tutela dell’ambiente, della salute e della sicurezza; l’elevato livello di concorrenza nel settore automobilistico, che potrebbe aumentare a causa di consolidamenti; la potenziale carenza nel finanziamento dei piani pensionistici di Stellantis; la capacità di fornire o organizzare accesso a finanziamenti adeguati per i concessionari e i clienti finali e i rischi associati alla costituzione e alle operazioni di società di servizi finanziari; la capacità di accedere a finanziamenti per realizzare i piani industriali di Stellantis e migliorare le attività, la situazione finanziaria e i risultati operativi; un significativo malfunzionamento, interruzione o violazione della sicurezza che possa compromettere i sistemi di information technology o i sistemi di controllo elettronico contenuti nei veicoli di Stellantis; la capacità di Stellantis di realizzare i benefici previsti dagli accordi di joint venture; interruzioni dovute a instabilità politica, sociale ed economica; i rischi associati alle relazioni con dipendenti, concessionari e fornitori; aumenti dei costi, interruzioni di forniture o carenza di materie prime, parti, componenti e sistemi utilizzati nei veicoli di Stellantis; sviluppi in relazioni sindacali, industriali e nella normativa del lavoro; fluttuazioni dei tassi di cambio, variazioni dai tassi di interesse, rischio di credito e altri rischi di mercato; tensioni politiche e sociali; terremoti o altri disastri; altri rischi e incertezze.</w:t>
      </w:r>
    </w:p>
    <w:p w14:paraId="5D67444A" w14:textId="206B0CB1" w:rsidR="00D90200" w:rsidRPr="005D1A97" w:rsidRDefault="00211BDA" w:rsidP="00044E26">
      <w:pPr>
        <w:spacing w:before="240"/>
        <w:rPr>
          <w:rFonts w:ascii="Arial" w:hAnsi="Arial" w:cs="Arial"/>
          <w:b/>
          <w:i/>
          <w:sz w:val="16"/>
          <w:szCs w:val="16"/>
        </w:rPr>
      </w:pPr>
      <w:r w:rsidRPr="005D1A97">
        <w:rPr>
          <w:rFonts w:ascii="Arial" w:hAnsi="Arial" w:cs="Arial"/>
          <w:i/>
          <w:sz w:val="18"/>
          <w:szCs w:val="18"/>
        </w:rPr>
        <w:t>Tutte le dichiarazioni previsionali riportate nella presente comunicazione si riferiscono solo alla data di questo documento e Stellantis declina qualsiasi obbligo di aggiornarle o rivederle pubblicamente. Ulteriori informazioni su Stellantis e le sue attività, inclusi i fattori che potrebbero materialmente influenzare i risultati finanziari di Stellantis, sono contenute nelle relazioni e nei documenti di Stellantis depositati presso la U.S. Securities and Exchange Commission e AFM.</w:t>
      </w:r>
    </w:p>
    <w:sectPr w:rsidR="00D90200" w:rsidRPr="005D1A97" w:rsidSect="004A5BF0">
      <w:footerReference w:type="default" r:id="rId15"/>
      <w:headerReference w:type="first" r:id="rId16"/>
      <w:pgSz w:w="12242" w:h="15842"/>
      <w:pgMar w:top="862" w:right="1928" w:bottom="810" w:left="1928" w:header="1021" w:footer="4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EA30" w14:textId="77777777" w:rsidR="007655F9" w:rsidRDefault="007655F9">
      <w:pPr>
        <w:spacing w:after="0"/>
      </w:pPr>
      <w:r>
        <w:separator/>
      </w:r>
    </w:p>
  </w:endnote>
  <w:endnote w:type="continuationSeparator" w:id="0">
    <w:p w14:paraId="2CF1FBA8" w14:textId="77777777" w:rsidR="007655F9" w:rsidRDefault="007655F9">
      <w:pPr>
        <w:spacing w:after="0"/>
      </w:pPr>
      <w:r>
        <w:continuationSeparator/>
      </w:r>
    </w:p>
  </w:endnote>
  <w:endnote w:type="continuationNotice" w:id="1">
    <w:p w14:paraId="51DF014E" w14:textId="77777777" w:rsidR="007655F9" w:rsidRDefault="007655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code Sans Expanded Expanded">
    <w:altName w:val="Times New Roman"/>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Condensed Condensed">
    <w:altName w:val="Cambria"/>
    <w:panose1 w:val="00000000000000000000"/>
    <w:charset w:val="00"/>
    <w:family w:val="roman"/>
    <w:notTrueType/>
    <w:pitch w:val="default"/>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8022" w14:textId="77777777" w:rsidR="007655F9" w:rsidRDefault="007655F9">
      <w:pPr>
        <w:spacing w:after="0"/>
      </w:pPr>
      <w:r>
        <w:separator/>
      </w:r>
    </w:p>
  </w:footnote>
  <w:footnote w:type="continuationSeparator" w:id="0">
    <w:p w14:paraId="7784F60F" w14:textId="77777777" w:rsidR="007655F9" w:rsidRDefault="007655F9">
      <w:pPr>
        <w:spacing w:after="0"/>
      </w:pPr>
      <w:r>
        <w:continuationSeparator/>
      </w:r>
    </w:p>
  </w:footnote>
  <w:footnote w:type="continuationNotice" w:id="1">
    <w:p w14:paraId="3C3296D4" w14:textId="77777777" w:rsidR="007655F9" w:rsidRDefault="007655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92BB" w14:textId="3C5048B8" w:rsidR="00D90200" w:rsidRPr="004E387D" w:rsidRDefault="00C67889" w:rsidP="004E387D">
    <w:pPr>
      <w:pStyle w:val="Header"/>
    </w:pPr>
    <w:r>
      <w:rPr>
        <w:noProof/>
      </w:rPr>
      <w:drawing>
        <wp:anchor distT="0" distB="0" distL="114300" distR="114300" simplePos="0" relativeHeight="251658240" behindDoc="1" locked="0" layoutInCell="1" allowOverlap="1" wp14:anchorId="18D3748D" wp14:editId="209D3374">
          <wp:simplePos x="0" y="0"/>
          <wp:positionH relativeFrom="column">
            <wp:posOffset>3709670</wp:posOffset>
          </wp:positionH>
          <wp:positionV relativeFrom="paragraph">
            <wp:posOffset>82550</wp:posOffset>
          </wp:positionV>
          <wp:extent cx="1590675" cy="325755"/>
          <wp:effectExtent l="0" t="0" r="9525" b="0"/>
          <wp:wrapThrough wrapText="bothSides">
            <wp:wrapPolygon edited="0">
              <wp:start x="0" y="0"/>
              <wp:lineTo x="0" y="20211"/>
              <wp:lineTo x="21471" y="20211"/>
              <wp:lineTo x="21471" y="0"/>
              <wp:lineTo x="0" y="0"/>
            </wp:wrapPolygon>
          </wp:wrapThrough>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0675" cy="3257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FD8E7FB" wp14:editId="71A5D3C2">
          <wp:extent cx="3467100" cy="628650"/>
          <wp:effectExtent l="0" t="0" r="0" b="0"/>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2">
                    <a:extLst>
                      <a:ext uri="{28A0092B-C50C-407E-A947-70E740481C1C}">
                        <a14:useLocalDpi xmlns:a14="http://schemas.microsoft.com/office/drawing/2010/main" val="0"/>
                      </a:ext>
                    </a:extLst>
                  </a:blip>
                  <a:srcRect t="44717" r="34892" b="43477"/>
                  <a:stretch/>
                </pic:blipFill>
                <pic:spPr bwMode="auto">
                  <a:xfrm>
                    <a:off x="0" y="0"/>
                    <a:ext cx="3467100" cy="6286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02726"/>
    <w:rsid w:val="00010A1D"/>
    <w:rsid w:val="000127F3"/>
    <w:rsid w:val="00013215"/>
    <w:rsid w:val="00017047"/>
    <w:rsid w:val="00020A0F"/>
    <w:rsid w:val="00021874"/>
    <w:rsid w:val="0003367D"/>
    <w:rsid w:val="000403C6"/>
    <w:rsid w:val="00044B15"/>
    <w:rsid w:val="00044E26"/>
    <w:rsid w:val="00045A5A"/>
    <w:rsid w:val="00056B8E"/>
    <w:rsid w:val="0006441F"/>
    <w:rsid w:val="00071264"/>
    <w:rsid w:val="000761A8"/>
    <w:rsid w:val="0008041C"/>
    <w:rsid w:val="000833E0"/>
    <w:rsid w:val="000843F6"/>
    <w:rsid w:val="00084404"/>
    <w:rsid w:val="00086EFF"/>
    <w:rsid w:val="00097416"/>
    <w:rsid w:val="000A3BAE"/>
    <w:rsid w:val="000A46FC"/>
    <w:rsid w:val="000A53F3"/>
    <w:rsid w:val="000B0968"/>
    <w:rsid w:val="000B1942"/>
    <w:rsid w:val="000B2E42"/>
    <w:rsid w:val="000B7B5A"/>
    <w:rsid w:val="000C4945"/>
    <w:rsid w:val="000C5A52"/>
    <w:rsid w:val="000D0AC3"/>
    <w:rsid w:val="000D586F"/>
    <w:rsid w:val="000E0483"/>
    <w:rsid w:val="000F7479"/>
    <w:rsid w:val="00100E33"/>
    <w:rsid w:val="00101707"/>
    <w:rsid w:val="00101F9C"/>
    <w:rsid w:val="0011344A"/>
    <w:rsid w:val="00115CA3"/>
    <w:rsid w:val="00123307"/>
    <w:rsid w:val="001341E7"/>
    <w:rsid w:val="00134F8D"/>
    <w:rsid w:val="00135049"/>
    <w:rsid w:val="00137D92"/>
    <w:rsid w:val="00145FCB"/>
    <w:rsid w:val="0016045E"/>
    <w:rsid w:val="00162B39"/>
    <w:rsid w:val="00171DA0"/>
    <w:rsid w:val="00172B2C"/>
    <w:rsid w:val="00181E50"/>
    <w:rsid w:val="0019392F"/>
    <w:rsid w:val="0019432C"/>
    <w:rsid w:val="00195133"/>
    <w:rsid w:val="001A14C2"/>
    <w:rsid w:val="001A3B61"/>
    <w:rsid w:val="001A49D1"/>
    <w:rsid w:val="001B7F90"/>
    <w:rsid w:val="001C1D40"/>
    <w:rsid w:val="001C4F97"/>
    <w:rsid w:val="001D1045"/>
    <w:rsid w:val="001D10B3"/>
    <w:rsid w:val="001D2376"/>
    <w:rsid w:val="001E0D01"/>
    <w:rsid w:val="001E145E"/>
    <w:rsid w:val="001F6585"/>
    <w:rsid w:val="00202659"/>
    <w:rsid w:val="00206526"/>
    <w:rsid w:val="002074AC"/>
    <w:rsid w:val="00211BDA"/>
    <w:rsid w:val="00214934"/>
    <w:rsid w:val="002232A1"/>
    <w:rsid w:val="00226208"/>
    <w:rsid w:val="002307FF"/>
    <w:rsid w:val="00247709"/>
    <w:rsid w:val="0025678C"/>
    <w:rsid w:val="00261D36"/>
    <w:rsid w:val="00263AD6"/>
    <w:rsid w:val="0027721C"/>
    <w:rsid w:val="002817CF"/>
    <w:rsid w:val="002831B9"/>
    <w:rsid w:val="00287CED"/>
    <w:rsid w:val="002A679A"/>
    <w:rsid w:val="002B72BF"/>
    <w:rsid w:val="002C77BE"/>
    <w:rsid w:val="002D1821"/>
    <w:rsid w:val="002D2E9F"/>
    <w:rsid w:val="002D43AD"/>
    <w:rsid w:val="002D67E6"/>
    <w:rsid w:val="002D6E8E"/>
    <w:rsid w:val="002E3C8F"/>
    <w:rsid w:val="002E4F2C"/>
    <w:rsid w:val="002E6E98"/>
    <w:rsid w:val="003011A4"/>
    <w:rsid w:val="003062BC"/>
    <w:rsid w:val="00306BC9"/>
    <w:rsid w:val="00307F94"/>
    <w:rsid w:val="0032293E"/>
    <w:rsid w:val="0032603B"/>
    <w:rsid w:val="0034475B"/>
    <w:rsid w:val="00374A19"/>
    <w:rsid w:val="00374F28"/>
    <w:rsid w:val="0037579C"/>
    <w:rsid w:val="003A6AD1"/>
    <w:rsid w:val="003B27CC"/>
    <w:rsid w:val="003C0EBE"/>
    <w:rsid w:val="003D05C0"/>
    <w:rsid w:val="003D21DF"/>
    <w:rsid w:val="003D756D"/>
    <w:rsid w:val="00401F74"/>
    <w:rsid w:val="00402D24"/>
    <w:rsid w:val="0040B023"/>
    <w:rsid w:val="00412B0F"/>
    <w:rsid w:val="004214E6"/>
    <w:rsid w:val="00426A45"/>
    <w:rsid w:val="00435017"/>
    <w:rsid w:val="00492DDE"/>
    <w:rsid w:val="004A5BF0"/>
    <w:rsid w:val="004A6B33"/>
    <w:rsid w:val="004B1F83"/>
    <w:rsid w:val="004B38E2"/>
    <w:rsid w:val="004B6A45"/>
    <w:rsid w:val="004C37B7"/>
    <w:rsid w:val="004C48ED"/>
    <w:rsid w:val="004E2911"/>
    <w:rsid w:val="004E29EF"/>
    <w:rsid w:val="004E387D"/>
    <w:rsid w:val="004E3DDE"/>
    <w:rsid w:val="004F0A2C"/>
    <w:rsid w:val="004F2150"/>
    <w:rsid w:val="004F3BE9"/>
    <w:rsid w:val="004F3F15"/>
    <w:rsid w:val="004F5CE6"/>
    <w:rsid w:val="004F7329"/>
    <w:rsid w:val="005062F7"/>
    <w:rsid w:val="005073F1"/>
    <w:rsid w:val="005105F7"/>
    <w:rsid w:val="00512922"/>
    <w:rsid w:val="0051441A"/>
    <w:rsid w:val="00516057"/>
    <w:rsid w:val="00517B28"/>
    <w:rsid w:val="00525726"/>
    <w:rsid w:val="00526E04"/>
    <w:rsid w:val="00547AF9"/>
    <w:rsid w:val="00550F17"/>
    <w:rsid w:val="0055767E"/>
    <w:rsid w:val="00572D4A"/>
    <w:rsid w:val="0058367F"/>
    <w:rsid w:val="00587098"/>
    <w:rsid w:val="00587F07"/>
    <w:rsid w:val="0059248F"/>
    <w:rsid w:val="0059448A"/>
    <w:rsid w:val="0059488A"/>
    <w:rsid w:val="005B0E86"/>
    <w:rsid w:val="005B2829"/>
    <w:rsid w:val="005C2AD7"/>
    <w:rsid w:val="005D1A97"/>
    <w:rsid w:val="005D30E6"/>
    <w:rsid w:val="005D74B7"/>
    <w:rsid w:val="005E4EB5"/>
    <w:rsid w:val="00603BD5"/>
    <w:rsid w:val="00603F18"/>
    <w:rsid w:val="0061766E"/>
    <w:rsid w:val="00625C11"/>
    <w:rsid w:val="006262D2"/>
    <w:rsid w:val="006303C1"/>
    <w:rsid w:val="0063093F"/>
    <w:rsid w:val="00631BCB"/>
    <w:rsid w:val="006368A5"/>
    <w:rsid w:val="00647E26"/>
    <w:rsid w:val="0065726C"/>
    <w:rsid w:val="006616BE"/>
    <w:rsid w:val="00673AC9"/>
    <w:rsid w:val="00677729"/>
    <w:rsid w:val="00680D18"/>
    <w:rsid w:val="006863D0"/>
    <w:rsid w:val="00691D49"/>
    <w:rsid w:val="006B0CEC"/>
    <w:rsid w:val="006B2EB2"/>
    <w:rsid w:val="006B46DF"/>
    <w:rsid w:val="006C23FA"/>
    <w:rsid w:val="006C3B6C"/>
    <w:rsid w:val="006C43AE"/>
    <w:rsid w:val="006C4B73"/>
    <w:rsid w:val="006C5FAB"/>
    <w:rsid w:val="006E04D2"/>
    <w:rsid w:val="007031C1"/>
    <w:rsid w:val="0071156E"/>
    <w:rsid w:val="0071381F"/>
    <w:rsid w:val="00713FC7"/>
    <w:rsid w:val="00736A7D"/>
    <w:rsid w:val="007376E7"/>
    <w:rsid w:val="00741E9B"/>
    <w:rsid w:val="007556C7"/>
    <w:rsid w:val="007610AC"/>
    <w:rsid w:val="00761A17"/>
    <w:rsid w:val="007655F9"/>
    <w:rsid w:val="0076578D"/>
    <w:rsid w:val="00772358"/>
    <w:rsid w:val="00786615"/>
    <w:rsid w:val="007A17A2"/>
    <w:rsid w:val="007A1CD0"/>
    <w:rsid w:val="007A320E"/>
    <w:rsid w:val="007B698C"/>
    <w:rsid w:val="007B7791"/>
    <w:rsid w:val="007C1297"/>
    <w:rsid w:val="007C5570"/>
    <w:rsid w:val="007D7847"/>
    <w:rsid w:val="007F0624"/>
    <w:rsid w:val="007F30E2"/>
    <w:rsid w:val="007F6826"/>
    <w:rsid w:val="008018C5"/>
    <w:rsid w:val="00802BD4"/>
    <w:rsid w:val="00810FF4"/>
    <w:rsid w:val="00811A61"/>
    <w:rsid w:val="00815A1A"/>
    <w:rsid w:val="008170F0"/>
    <w:rsid w:val="00824112"/>
    <w:rsid w:val="00837A76"/>
    <w:rsid w:val="0084489E"/>
    <w:rsid w:val="008516CC"/>
    <w:rsid w:val="008535C7"/>
    <w:rsid w:val="00854923"/>
    <w:rsid w:val="0086303D"/>
    <w:rsid w:val="00865295"/>
    <w:rsid w:val="00881AB2"/>
    <w:rsid w:val="00882141"/>
    <w:rsid w:val="00890AD8"/>
    <w:rsid w:val="00896FE4"/>
    <w:rsid w:val="008A0E8A"/>
    <w:rsid w:val="008B0A0F"/>
    <w:rsid w:val="008B20C7"/>
    <w:rsid w:val="008B45FD"/>
    <w:rsid w:val="008D1296"/>
    <w:rsid w:val="008D26D0"/>
    <w:rsid w:val="008E1ACE"/>
    <w:rsid w:val="008E526B"/>
    <w:rsid w:val="008F2625"/>
    <w:rsid w:val="00904293"/>
    <w:rsid w:val="00907495"/>
    <w:rsid w:val="00914E09"/>
    <w:rsid w:val="00915CE3"/>
    <w:rsid w:val="00925DB9"/>
    <w:rsid w:val="009333BE"/>
    <w:rsid w:val="009443D9"/>
    <w:rsid w:val="00945F1A"/>
    <w:rsid w:val="0096312D"/>
    <w:rsid w:val="00967C88"/>
    <w:rsid w:val="009718F5"/>
    <w:rsid w:val="0097612A"/>
    <w:rsid w:val="00980D9E"/>
    <w:rsid w:val="00990BE3"/>
    <w:rsid w:val="00991B50"/>
    <w:rsid w:val="0099413A"/>
    <w:rsid w:val="009951CD"/>
    <w:rsid w:val="00996297"/>
    <w:rsid w:val="0099793C"/>
    <w:rsid w:val="009A2719"/>
    <w:rsid w:val="009A367F"/>
    <w:rsid w:val="009A5024"/>
    <w:rsid w:val="009B2260"/>
    <w:rsid w:val="009B3485"/>
    <w:rsid w:val="009B7CAE"/>
    <w:rsid w:val="009C2BCE"/>
    <w:rsid w:val="009C39C6"/>
    <w:rsid w:val="009C7B6D"/>
    <w:rsid w:val="009D083B"/>
    <w:rsid w:val="009D5DC6"/>
    <w:rsid w:val="009D782E"/>
    <w:rsid w:val="009D7CB7"/>
    <w:rsid w:val="009E2ABF"/>
    <w:rsid w:val="009E2F4A"/>
    <w:rsid w:val="009E64C6"/>
    <w:rsid w:val="00A10523"/>
    <w:rsid w:val="00A10846"/>
    <w:rsid w:val="00A1710C"/>
    <w:rsid w:val="00A237F3"/>
    <w:rsid w:val="00A23AEB"/>
    <w:rsid w:val="00A37715"/>
    <w:rsid w:val="00A42FED"/>
    <w:rsid w:val="00A61578"/>
    <w:rsid w:val="00A63C25"/>
    <w:rsid w:val="00A7069F"/>
    <w:rsid w:val="00A70AB9"/>
    <w:rsid w:val="00A7799C"/>
    <w:rsid w:val="00A816C8"/>
    <w:rsid w:val="00A906F0"/>
    <w:rsid w:val="00A92050"/>
    <w:rsid w:val="00A9686E"/>
    <w:rsid w:val="00A976CF"/>
    <w:rsid w:val="00AA4E0C"/>
    <w:rsid w:val="00AB0FFA"/>
    <w:rsid w:val="00AB71F9"/>
    <w:rsid w:val="00AC307A"/>
    <w:rsid w:val="00AD7B93"/>
    <w:rsid w:val="00AE0DC9"/>
    <w:rsid w:val="00AE34AF"/>
    <w:rsid w:val="00AE7B0F"/>
    <w:rsid w:val="00AF5DF3"/>
    <w:rsid w:val="00B05C55"/>
    <w:rsid w:val="00B0647D"/>
    <w:rsid w:val="00B07E73"/>
    <w:rsid w:val="00B10902"/>
    <w:rsid w:val="00B272C1"/>
    <w:rsid w:val="00B27345"/>
    <w:rsid w:val="00B31E73"/>
    <w:rsid w:val="00B46A84"/>
    <w:rsid w:val="00B523FB"/>
    <w:rsid w:val="00B54574"/>
    <w:rsid w:val="00B57822"/>
    <w:rsid w:val="00B57F1A"/>
    <w:rsid w:val="00B75B51"/>
    <w:rsid w:val="00B76ED2"/>
    <w:rsid w:val="00B901C8"/>
    <w:rsid w:val="00BA6DDA"/>
    <w:rsid w:val="00BC1025"/>
    <w:rsid w:val="00BC1474"/>
    <w:rsid w:val="00BC4685"/>
    <w:rsid w:val="00BD74C3"/>
    <w:rsid w:val="00BE126A"/>
    <w:rsid w:val="00BE1EE4"/>
    <w:rsid w:val="00BE75A5"/>
    <w:rsid w:val="00C00E9B"/>
    <w:rsid w:val="00C202F5"/>
    <w:rsid w:val="00C21A46"/>
    <w:rsid w:val="00C24901"/>
    <w:rsid w:val="00C334EF"/>
    <w:rsid w:val="00C35BE9"/>
    <w:rsid w:val="00C42C0B"/>
    <w:rsid w:val="00C520FA"/>
    <w:rsid w:val="00C566C4"/>
    <w:rsid w:val="00C61685"/>
    <w:rsid w:val="00C657FA"/>
    <w:rsid w:val="00C67889"/>
    <w:rsid w:val="00C710D2"/>
    <w:rsid w:val="00C818B8"/>
    <w:rsid w:val="00CA3AFC"/>
    <w:rsid w:val="00CA420F"/>
    <w:rsid w:val="00CB19A5"/>
    <w:rsid w:val="00CB6B33"/>
    <w:rsid w:val="00CC15FE"/>
    <w:rsid w:val="00CC5C47"/>
    <w:rsid w:val="00CC771A"/>
    <w:rsid w:val="00CD319D"/>
    <w:rsid w:val="00CD6D28"/>
    <w:rsid w:val="00CE19E5"/>
    <w:rsid w:val="00CE6BDB"/>
    <w:rsid w:val="00D013CE"/>
    <w:rsid w:val="00D019D7"/>
    <w:rsid w:val="00D0297A"/>
    <w:rsid w:val="00D1480F"/>
    <w:rsid w:val="00D22713"/>
    <w:rsid w:val="00D2376A"/>
    <w:rsid w:val="00D2739F"/>
    <w:rsid w:val="00D33C7E"/>
    <w:rsid w:val="00D3455C"/>
    <w:rsid w:val="00D40E54"/>
    <w:rsid w:val="00D41FFA"/>
    <w:rsid w:val="00D42394"/>
    <w:rsid w:val="00D44B20"/>
    <w:rsid w:val="00D452B7"/>
    <w:rsid w:val="00D75607"/>
    <w:rsid w:val="00D75D41"/>
    <w:rsid w:val="00D84E19"/>
    <w:rsid w:val="00D878B6"/>
    <w:rsid w:val="00D90200"/>
    <w:rsid w:val="00D932AE"/>
    <w:rsid w:val="00DA44D2"/>
    <w:rsid w:val="00DB682B"/>
    <w:rsid w:val="00DB7F49"/>
    <w:rsid w:val="00DC3D07"/>
    <w:rsid w:val="00DD645C"/>
    <w:rsid w:val="00DD7E13"/>
    <w:rsid w:val="00DF0988"/>
    <w:rsid w:val="00DF5A74"/>
    <w:rsid w:val="00DF61C4"/>
    <w:rsid w:val="00E02EDF"/>
    <w:rsid w:val="00E11EDF"/>
    <w:rsid w:val="00E13473"/>
    <w:rsid w:val="00E15211"/>
    <w:rsid w:val="00E16A57"/>
    <w:rsid w:val="00E173EE"/>
    <w:rsid w:val="00E326FC"/>
    <w:rsid w:val="00E36F4A"/>
    <w:rsid w:val="00E37BBD"/>
    <w:rsid w:val="00E653B0"/>
    <w:rsid w:val="00E669FB"/>
    <w:rsid w:val="00E759EE"/>
    <w:rsid w:val="00E76235"/>
    <w:rsid w:val="00E84FA5"/>
    <w:rsid w:val="00E877EC"/>
    <w:rsid w:val="00E90A9E"/>
    <w:rsid w:val="00E97FB7"/>
    <w:rsid w:val="00EB585F"/>
    <w:rsid w:val="00EC46E6"/>
    <w:rsid w:val="00EC4F3A"/>
    <w:rsid w:val="00EE3906"/>
    <w:rsid w:val="00EE6EE6"/>
    <w:rsid w:val="00EF0351"/>
    <w:rsid w:val="00EF6944"/>
    <w:rsid w:val="00F01E27"/>
    <w:rsid w:val="00F06F5D"/>
    <w:rsid w:val="00F10026"/>
    <w:rsid w:val="00F10857"/>
    <w:rsid w:val="00F1190D"/>
    <w:rsid w:val="00F1317B"/>
    <w:rsid w:val="00F14F43"/>
    <w:rsid w:val="00F17269"/>
    <w:rsid w:val="00F24424"/>
    <w:rsid w:val="00F26A86"/>
    <w:rsid w:val="00F332C0"/>
    <w:rsid w:val="00F36DFF"/>
    <w:rsid w:val="00F430AA"/>
    <w:rsid w:val="00F455C0"/>
    <w:rsid w:val="00F52921"/>
    <w:rsid w:val="00F5359D"/>
    <w:rsid w:val="00F557CF"/>
    <w:rsid w:val="00F55FA4"/>
    <w:rsid w:val="00F62C02"/>
    <w:rsid w:val="00F67BDE"/>
    <w:rsid w:val="00F72EB4"/>
    <w:rsid w:val="00F73D57"/>
    <w:rsid w:val="00F75BDD"/>
    <w:rsid w:val="00F76B60"/>
    <w:rsid w:val="00F76C4A"/>
    <w:rsid w:val="00F77D35"/>
    <w:rsid w:val="00F801FE"/>
    <w:rsid w:val="00F80DBE"/>
    <w:rsid w:val="00F85785"/>
    <w:rsid w:val="00F9493A"/>
    <w:rsid w:val="00FA1577"/>
    <w:rsid w:val="00FB2162"/>
    <w:rsid w:val="00FB40A5"/>
    <w:rsid w:val="00FB58AF"/>
    <w:rsid w:val="00FB76A6"/>
    <w:rsid w:val="00FD6363"/>
    <w:rsid w:val="00FE2429"/>
    <w:rsid w:val="00FF2E76"/>
    <w:rsid w:val="00FF36CE"/>
    <w:rsid w:val="0B983C8C"/>
    <w:rsid w:val="140985CA"/>
    <w:rsid w:val="24E99F9C"/>
    <w:rsid w:val="27AD5F80"/>
    <w:rsid w:val="2AFB6618"/>
    <w:rsid w:val="38C61763"/>
    <w:rsid w:val="399C9078"/>
    <w:rsid w:val="43426A3B"/>
    <w:rsid w:val="5752C3F2"/>
    <w:rsid w:val="61B36CE9"/>
    <w:rsid w:val="7294AA9C"/>
    <w:rsid w:val="7308FA98"/>
    <w:rsid w:val="7378C4C6"/>
    <w:rsid w:val="7840663C"/>
    <w:rsid w:val="7C0C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2A46"/>
  <w15:docId w15:val="{7ED89D2D-AC2F-4464-B4E8-6AD44D64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Expanded" w:eastAsia="Encode Sans Expanded Expanded" w:hAnsi="Encode Sans Expanded Expanded" w:cs="Encode Sans Expanded Expanded"/>
        <w:sz w:val="24"/>
        <w:szCs w:val="24"/>
        <w:lang w:val="it-IT"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it-IT"/>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it-IT"/>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it-IT"/>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Menzionenonrisolta1">
    <w:name w:val="Menzione non risolta1"/>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C566C4"/>
    <w:rPr>
      <w:color w:val="272B35" w:themeColor="followedHyperlink"/>
      <w:u w:val="single"/>
    </w:rPr>
  </w:style>
  <w:style w:type="character" w:styleId="UnresolvedMention">
    <w:name w:val="Unresolved Mention"/>
    <w:basedOn w:val="DefaultParagraphFont"/>
    <w:uiPriority w:val="99"/>
    <w:semiHidden/>
    <w:unhideWhenUsed/>
    <w:rsid w:val="005D1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449721">
      <w:bodyDiv w:val="1"/>
      <w:marLeft w:val="0"/>
      <w:marRight w:val="0"/>
      <w:marTop w:val="0"/>
      <w:marBottom w:val="0"/>
      <w:divBdr>
        <w:top w:val="none" w:sz="0" w:space="0" w:color="auto"/>
        <w:left w:val="none" w:sz="0" w:space="0" w:color="auto"/>
        <w:bottom w:val="none" w:sz="0" w:space="0" w:color="auto"/>
        <w:right w:val="none" w:sz="0" w:space="0" w:color="auto"/>
      </w:divBdr>
    </w:div>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946692911">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it/il-gruppo/dare-forward-203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ellantis.com/it/investors/eventi/ev-day-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rrafam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ellanti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4" ma:contentTypeDescription="Crée un document." ma:contentTypeScope="" ma:versionID="f2e756aa3829626c13470fa849f41011">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e5fe74a4843ecc44ace360f75dc7c39b"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67CDCD-D3C5-437C-9836-485061917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9012</Characters>
  <Application>Microsoft Office Word</Application>
  <DocSecurity>0</DocSecurity>
  <Lines>166</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FCA US</Company>
  <LinksUpToDate>false</LinksUpToDate>
  <CharactersWithSpaces>10538</CharactersWithSpaces>
  <SharedDoc>false</SharedDoc>
  <HLinks>
    <vt:vector size="24" baseType="variant">
      <vt:variant>
        <vt:i4>3670048</vt:i4>
      </vt:variant>
      <vt:variant>
        <vt:i4>9</vt:i4>
      </vt:variant>
      <vt:variant>
        <vt:i4>0</vt:i4>
      </vt:variant>
      <vt:variant>
        <vt:i4>5</vt:i4>
      </vt:variant>
      <vt:variant>
        <vt:lpwstr>http://www.stellantis.com/</vt:lpwstr>
      </vt:variant>
      <vt:variant>
        <vt:lpwstr/>
      </vt:variant>
      <vt:variant>
        <vt:i4>5963854</vt:i4>
      </vt:variant>
      <vt:variant>
        <vt:i4>6</vt:i4>
      </vt:variant>
      <vt:variant>
        <vt:i4>0</vt:i4>
      </vt:variant>
      <vt:variant>
        <vt:i4>5</vt:i4>
      </vt:variant>
      <vt:variant>
        <vt:lpwstr>https://www.stellantis.com/en/investors/events/strategic-plan</vt:lpwstr>
      </vt:variant>
      <vt:variant>
        <vt:lpwstr/>
      </vt:variant>
      <vt:variant>
        <vt:i4>4063357</vt:i4>
      </vt:variant>
      <vt:variant>
        <vt:i4>3</vt:i4>
      </vt:variant>
      <vt:variant>
        <vt:i4>0</vt:i4>
      </vt:variant>
      <vt:variant>
        <vt:i4>5</vt:i4>
      </vt:variant>
      <vt:variant>
        <vt:lpwstr>https://www.stellantis.com/en/investors/events/ev-day-2021</vt:lpwstr>
      </vt:variant>
      <vt:variant>
        <vt:lpwstr/>
      </vt:variant>
      <vt:variant>
        <vt:i4>3801133</vt:i4>
      </vt:variant>
      <vt:variant>
        <vt:i4>0</vt:i4>
      </vt:variant>
      <vt:variant>
        <vt:i4>0</vt:i4>
      </vt:variant>
      <vt:variant>
        <vt:i4>5</vt:i4>
      </vt:variant>
      <vt:variant>
        <vt:lpwstr>https://www.terrafame.com/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kevin.frazier@fcagroup.com</dc:creator>
  <cp:keywords/>
  <cp:lastModifiedBy>PAUL CRAIG JOHNSTON</cp:lastModifiedBy>
  <cp:revision>3</cp:revision>
  <dcterms:created xsi:type="dcterms:W3CDTF">2023-01-17T13:19:00Z</dcterms:created>
  <dcterms:modified xsi:type="dcterms:W3CDTF">2023-01-18T06:25:00Z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0x010100D1AB943AC203684599DF6BB292D4C1A7</vt:lpwstr>
  </property>
  <property fmtid="{D5CDD505-2E9C-101B-9397-08002B2CF9AE}" pid="5" name="MSIP_Label_2fd53d93-3f4c-4b90-b511-bd6bdbb4fba9_Enabled">
    <vt:lpwstr>true</vt:lpwstr>
  </property>
  <property fmtid="{D5CDD505-2E9C-101B-9397-08002B2CF9AE}" pid="6" name="MSIP_Label_2fd53d93-3f4c-4b90-b511-bd6bdbb4fba9_SetDate">
    <vt:lpwstr>2022-10-05T08:10:22Z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390a0b9b-a251-4cc8-a057-f8361f4e1afd</vt:lpwstr>
  </property>
  <property fmtid="{D5CDD505-2E9C-101B-9397-08002B2CF9AE}" pid="11" name="MSIP_Label_2fd53d93-3f4c-4b90-b511-bd6bdbb4fba9_ContentBits">
    <vt:lpwstr>0</vt:lpwstr>
  </property>
</Properties>
</file>