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C2B5" w14:textId="77777777" w:rsidR="0021423D" w:rsidRDefault="0021423D">
      <w:pPr>
        <w:spacing w:after="160"/>
        <w:jc w:val="center"/>
        <w:rPr>
          <w:rFonts w:ascii="Arial" w:eastAsia="Arial" w:hAnsi="Arial" w:cs="Arial"/>
          <w:b/>
          <w:bCs/>
        </w:rPr>
      </w:pPr>
    </w:p>
    <w:p w14:paraId="7625D5C6" w14:textId="77777777" w:rsidR="00EE18C0" w:rsidRDefault="00EE18C0" w:rsidP="00EE18C0">
      <w:pPr>
        <w:spacing w:line="240" w:lineRule="auto"/>
        <w:jc w:val="center"/>
        <w:rPr>
          <w:rFonts w:ascii="Arial" w:eastAsia="Arial" w:hAnsi="Arial" w:cs="Arial"/>
          <w:b/>
          <w:bCs/>
        </w:rPr>
      </w:pPr>
    </w:p>
    <w:p w14:paraId="23EBD720" w14:textId="7AF5FB0B" w:rsidR="00C96E53" w:rsidRPr="000F3368" w:rsidRDefault="00EE18C0" w:rsidP="00C318D0">
      <w:pPr>
        <w:spacing w:line="240" w:lineRule="auto"/>
        <w:jc w:val="center"/>
        <w:rPr>
          <w:rFonts w:ascii="Arial" w:eastAsia="Arial" w:hAnsi="Arial" w:cs="Arial"/>
          <w:b/>
          <w:bCs/>
          <w:sz w:val="24"/>
          <w:szCs w:val="24"/>
        </w:rPr>
      </w:pPr>
      <w:r>
        <w:rPr>
          <w:rFonts w:ascii="Arial" w:hAnsi="Arial"/>
          <w:b/>
          <w:bCs/>
          <w:sz w:val="24"/>
          <w:szCs w:val="24"/>
        </w:rPr>
        <w:t>Stellantis acquisisce una partecipazione paritaria con Faurecia e Michelin in Symbio, azienda leader nella mobilità a idrogeno a zero emissioni</w:t>
      </w:r>
    </w:p>
    <w:p w14:paraId="024AE961" w14:textId="77777777" w:rsidR="00EE18C0" w:rsidRDefault="00EE18C0" w:rsidP="00B736E3">
      <w:pPr>
        <w:spacing w:line="240" w:lineRule="auto"/>
        <w:jc w:val="both"/>
        <w:rPr>
          <w:rFonts w:ascii="Arial" w:eastAsia="Arial" w:hAnsi="Arial" w:cs="Arial"/>
        </w:rPr>
      </w:pPr>
    </w:p>
    <w:p w14:paraId="29A121C6" w14:textId="77777777" w:rsidR="0096708B" w:rsidRDefault="0096708B" w:rsidP="004D7DC2">
      <w:pPr>
        <w:pStyle w:val="xmsonormal"/>
        <w:jc w:val="both"/>
        <w:rPr>
          <w:rFonts w:ascii="Arial" w:hAnsi="Arial"/>
        </w:rPr>
      </w:pPr>
    </w:p>
    <w:p w14:paraId="6588B5E8" w14:textId="17A2F8C0" w:rsidR="00041ACB" w:rsidRPr="000F3368" w:rsidRDefault="00C318D0" w:rsidP="004D7DC2">
      <w:pPr>
        <w:pStyle w:val="xmsonormal"/>
        <w:jc w:val="both"/>
      </w:pPr>
      <w:r>
        <w:rPr>
          <w:rFonts w:ascii="Arial" w:hAnsi="Arial"/>
        </w:rPr>
        <w:t>AMSTERDAM,</w:t>
      </w:r>
      <w:r w:rsidR="009D1D6A">
        <w:rPr>
          <w:rFonts w:ascii="Arial" w:hAnsi="Arial"/>
        </w:rPr>
        <w:t xml:space="preserve"> </w:t>
      </w:r>
      <w:r w:rsidR="009D1D6A" w:rsidRPr="00305DD0">
        <w:rPr>
          <w:rFonts w:ascii="Arial" w:eastAsia="Arial" w:hAnsi="Arial" w:cs="Arial"/>
        </w:rPr>
        <w:t>NANTERRE</w:t>
      </w:r>
      <w:r w:rsidR="00CF074D">
        <w:rPr>
          <w:rFonts w:ascii="Arial" w:eastAsia="Arial" w:hAnsi="Arial" w:cs="Arial"/>
        </w:rPr>
        <w:t xml:space="preserve">, </w:t>
      </w:r>
      <w:r w:rsidR="00CF074D">
        <w:rPr>
          <w:rFonts w:ascii="Arial" w:hAnsi="Arial"/>
        </w:rPr>
        <w:t>PARIS</w:t>
      </w:r>
      <w:r w:rsidR="009D1D6A" w:rsidRPr="00305DD0">
        <w:rPr>
          <w:rFonts w:ascii="Arial" w:eastAsia="Arial" w:hAnsi="Arial" w:cs="Arial"/>
        </w:rPr>
        <w:t>,</w:t>
      </w:r>
      <w:r>
        <w:rPr>
          <w:rFonts w:ascii="Arial" w:hAnsi="Arial"/>
        </w:rPr>
        <w:t xml:space="preserve"> 1</w:t>
      </w:r>
      <w:r w:rsidR="009D1D6A">
        <w:rPr>
          <w:rFonts w:ascii="Arial" w:hAnsi="Arial"/>
        </w:rPr>
        <w:t>6</w:t>
      </w:r>
      <w:r>
        <w:rPr>
          <w:rFonts w:ascii="Arial" w:hAnsi="Arial"/>
        </w:rPr>
        <w:t xml:space="preserve"> maggio 2023 – Faurecia, </w:t>
      </w:r>
      <w:r w:rsidR="00D47D14">
        <w:rPr>
          <w:rFonts w:ascii="Arial" w:hAnsi="Arial"/>
        </w:rPr>
        <w:t xml:space="preserve">società </w:t>
      </w:r>
      <w:r>
        <w:rPr>
          <w:rFonts w:ascii="Arial" w:hAnsi="Arial"/>
        </w:rPr>
        <w:t xml:space="preserve">del gruppo FORVIA, Michelin e </w:t>
      </w:r>
      <w:hyperlink r:id="rId6" w:history="1">
        <w:r w:rsidR="00C97CC4" w:rsidRPr="00C97CC4">
          <w:rPr>
            <w:rStyle w:val="Hyperlink"/>
            <w:rFonts w:ascii="Arial" w:eastAsia="Arial" w:hAnsi="Arial" w:cs="Arial"/>
            <w:lang w:val="es-ES"/>
          </w:rPr>
          <w:t>Stellantis</w:t>
        </w:r>
      </w:hyperlink>
      <w:r>
        <w:rPr>
          <w:rFonts w:ascii="Arial" w:hAnsi="Arial"/>
        </w:rPr>
        <w:t xml:space="preserve"> annunciano oggi la firma di un accordo vincolante per </w:t>
      </w:r>
      <w:r w:rsidR="0052107D">
        <w:rPr>
          <w:rFonts w:ascii="Arial" w:hAnsi="Arial"/>
        </w:rPr>
        <w:t xml:space="preserve">l’acquisizione </w:t>
      </w:r>
      <w:r>
        <w:rPr>
          <w:rFonts w:ascii="Arial" w:hAnsi="Arial"/>
        </w:rPr>
        <w:t xml:space="preserve">da parte di Stellantis del 33,3% delle azioni di Symbio, leader nel settore della mobilità a idrogeno a zero emissioni. Faurecia e Michelin manterranno ciascuna il 33,3% di quote di partecipazione. </w:t>
      </w:r>
    </w:p>
    <w:p w14:paraId="6D6E52B9" w14:textId="77777777" w:rsidR="00A51511" w:rsidRPr="00EE18C0" w:rsidRDefault="00A51511" w:rsidP="004D7DC2">
      <w:pPr>
        <w:spacing w:line="240" w:lineRule="auto"/>
        <w:jc w:val="both"/>
      </w:pPr>
    </w:p>
    <w:p w14:paraId="741FE45B" w14:textId="772E8A9B" w:rsidR="00275795" w:rsidRDefault="00275795" w:rsidP="004D7DC2">
      <w:pPr>
        <w:spacing w:line="240" w:lineRule="auto"/>
        <w:jc w:val="both"/>
        <w:rPr>
          <w:rFonts w:ascii="Arial" w:hAnsi="Arial"/>
        </w:rPr>
      </w:pPr>
      <w:r>
        <w:rPr>
          <w:rFonts w:ascii="Arial" w:hAnsi="Arial"/>
        </w:rPr>
        <w:t>L’annuncio rappresenta un passo significativo nella decarbonizzazione del settore della mobilità ed è una dimostrazione dell</w:t>
      </w:r>
      <w:r w:rsidR="00A1565D">
        <w:rPr>
          <w:rFonts w:ascii="Arial" w:hAnsi="Arial"/>
        </w:rPr>
        <w:t>’</w:t>
      </w:r>
      <w:r>
        <w:rPr>
          <w:rFonts w:ascii="Arial" w:hAnsi="Arial"/>
        </w:rPr>
        <w:t>eccellenza tecnologica di Symbio nel campo delle innovazioni relative alle celle a combustibile a idrogeno. L’ingresso di Stellantis tra gli azionisti favorirà lo sviluppo di Symbio in Europa e negli Stati Uniti.</w:t>
      </w:r>
    </w:p>
    <w:p w14:paraId="2DA3D478" w14:textId="490398FE" w:rsidR="00BA3430" w:rsidRDefault="00BA3430" w:rsidP="004D7DC2">
      <w:pPr>
        <w:spacing w:line="240" w:lineRule="auto"/>
        <w:jc w:val="both"/>
        <w:rPr>
          <w:rFonts w:ascii="Arial" w:hAnsi="Arial"/>
        </w:rPr>
      </w:pPr>
    </w:p>
    <w:p w14:paraId="2A11136E" w14:textId="7075B6FF" w:rsidR="00BA3430" w:rsidRDefault="00BA3430" w:rsidP="004D7DC2">
      <w:pPr>
        <w:spacing w:line="240" w:lineRule="auto"/>
        <w:jc w:val="both"/>
        <w:rPr>
          <w:rFonts w:ascii="Arial" w:eastAsia="Arial" w:hAnsi="Arial" w:cs="Arial"/>
        </w:rPr>
      </w:pPr>
      <w:r w:rsidRPr="00BA3430">
        <w:rPr>
          <w:rFonts w:ascii="Arial" w:eastAsia="Arial" w:hAnsi="Arial" w:cs="Arial"/>
        </w:rPr>
        <w:t>"L</w:t>
      </w:r>
      <w:r w:rsidR="00A1565D">
        <w:rPr>
          <w:rFonts w:ascii="Arial" w:eastAsia="Arial" w:hAnsi="Arial" w:cs="Arial"/>
        </w:rPr>
        <w:t>’</w:t>
      </w:r>
      <w:r w:rsidRPr="00BA3430">
        <w:rPr>
          <w:rFonts w:ascii="Arial" w:eastAsia="Arial" w:hAnsi="Arial" w:cs="Arial"/>
        </w:rPr>
        <w:t xml:space="preserve">acquisizione di una partecipazione paritaria in Symbio rafforzerà la nostra posizione di leadership nei veicoli a idrogeno, </w:t>
      </w:r>
      <w:r>
        <w:rPr>
          <w:rFonts w:ascii="Arial" w:eastAsia="Arial" w:hAnsi="Arial" w:cs="Arial"/>
        </w:rPr>
        <w:t>a supporto</w:t>
      </w:r>
      <w:r w:rsidRPr="00BA3430">
        <w:rPr>
          <w:rFonts w:ascii="Arial" w:eastAsia="Arial" w:hAnsi="Arial" w:cs="Arial"/>
        </w:rPr>
        <w:t xml:space="preserve"> </w:t>
      </w:r>
      <w:r>
        <w:rPr>
          <w:rFonts w:ascii="Arial" w:eastAsia="Arial" w:hAnsi="Arial" w:cs="Arial"/>
        </w:rPr>
        <w:t>del</w:t>
      </w:r>
      <w:r w:rsidRPr="00BA3430">
        <w:rPr>
          <w:rFonts w:ascii="Arial" w:eastAsia="Arial" w:hAnsi="Arial" w:cs="Arial"/>
        </w:rPr>
        <w:t>la nostra produzione di furgoni a celle a combustibile in Francia, e rappresenta un perfetto complemento al</w:t>
      </w:r>
      <w:r w:rsidR="00427201">
        <w:rPr>
          <w:rFonts w:ascii="Arial" w:eastAsia="Arial" w:hAnsi="Arial" w:cs="Arial"/>
        </w:rPr>
        <w:t>la</w:t>
      </w:r>
      <w:r w:rsidRPr="00BA3430">
        <w:rPr>
          <w:rFonts w:ascii="Arial" w:eastAsia="Arial" w:hAnsi="Arial" w:cs="Arial"/>
        </w:rPr>
        <w:t xml:space="preserve"> nostr</w:t>
      </w:r>
      <w:r w:rsidR="00427201">
        <w:rPr>
          <w:rFonts w:ascii="Arial" w:eastAsia="Arial" w:hAnsi="Arial" w:cs="Arial"/>
        </w:rPr>
        <w:t>a</w:t>
      </w:r>
      <w:r w:rsidRPr="00BA3430">
        <w:rPr>
          <w:rFonts w:ascii="Arial" w:eastAsia="Arial" w:hAnsi="Arial" w:cs="Arial"/>
        </w:rPr>
        <w:t xml:space="preserve"> crescente </w:t>
      </w:r>
      <w:r w:rsidR="00427201">
        <w:rPr>
          <w:rFonts w:ascii="Arial" w:eastAsia="Arial" w:hAnsi="Arial" w:cs="Arial"/>
        </w:rPr>
        <w:t>offerta</w:t>
      </w:r>
      <w:r w:rsidRPr="00BA3430">
        <w:rPr>
          <w:rFonts w:ascii="Arial" w:eastAsia="Arial" w:hAnsi="Arial" w:cs="Arial"/>
        </w:rPr>
        <w:t xml:space="preserve"> di veicoli elettrici a batteria</w:t>
      </w:r>
      <w:r w:rsidR="00B4672D">
        <w:rPr>
          <w:rFonts w:ascii="Arial" w:eastAsia="Arial" w:hAnsi="Arial" w:cs="Arial"/>
        </w:rPr>
        <w:t>”</w:t>
      </w:r>
      <w:r w:rsidRPr="00BA3430">
        <w:rPr>
          <w:rFonts w:ascii="Arial" w:eastAsia="Arial" w:hAnsi="Arial" w:cs="Arial"/>
        </w:rPr>
        <w:t xml:space="preserve">, ha dichiarato Carlos Tavares, CEO di Stellantis. </w:t>
      </w:r>
      <w:r w:rsidR="00B4672D">
        <w:rPr>
          <w:rFonts w:ascii="Arial" w:eastAsia="Arial" w:hAnsi="Arial" w:cs="Arial"/>
        </w:rPr>
        <w:t>“</w:t>
      </w:r>
      <w:r w:rsidR="00150D09">
        <w:rPr>
          <w:rFonts w:ascii="Arial" w:eastAsia="Arial" w:hAnsi="Arial" w:cs="Arial"/>
        </w:rPr>
        <w:t xml:space="preserve">In un momento in cui </w:t>
      </w:r>
      <w:r w:rsidRPr="00BA3430">
        <w:rPr>
          <w:rFonts w:ascii="Arial" w:eastAsia="Arial" w:hAnsi="Arial" w:cs="Arial"/>
        </w:rPr>
        <w:t>p</w:t>
      </w:r>
      <w:r w:rsidR="00427201">
        <w:rPr>
          <w:rFonts w:ascii="Arial" w:eastAsia="Arial" w:hAnsi="Arial" w:cs="Arial"/>
        </w:rPr>
        <w:t xml:space="preserve">rocediamo con </w:t>
      </w:r>
      <w:r w:rsidRPr="00BA3430">
        <w:rPr>
          <w:rFonts w:ascii="Arial" w:eastAsia="Arial" w:hAnsi="Arial" w:cs="Arial"/>
        </w:rPr>
        <w:t>il nostro piano</w:t>
      </w:r>
      <w:r w:rsidR="00427201">
        <w:rPr>
          <w:rFonts w:ascii="Arial" w:eastAsia="Arial" w:hAnsi="Arial" w:cs="Arial"/>
        </w:rPr>
        <w:t xml:space="preserve"> strategico</w:t>
      </w:r>
      <w:r w:rsidRPr="00BA3430">
        <w:rPr>
          <w:rFonts w:ascii="Arial" w:eastAsia="Arial" w:hAnsi="Arial" w:cs="Arial"/>
        </w:rPr>
        <w:t xml:space="preserve"> Dare Forward 2030 e </w:t>
      </w:r>
      <w:r w:rsidR="00150D09">
        <w:rPr>
          <w:rFonts w:ascii="Arial" w:eastAsia="Arial" w:hAnsi="Arial" w:cs="Arial"/>
        </w:rPr>
        <w:t xml:space="preserve">siamo impegnati ad azzerare le emissioni nette di </w:t>
      </w:r>
      <w:r w:rsidRPr="00BA3430">
        <w:rPr>
          <w:rFonts w:ascii="Arial" w:eastAsia="Arial" w:hAnsi="Arial" w:cs="Arial"/>
        </w:rPr>
        <w:t>carbon</w:t>
      </w:r>
      <w:r w:rsidR="00150D09">
        <w:rPr>
          <w:rFonts w:ascii="Arial" w:eastAsia="Arial" w:hAnsi="Arial" w:cs="Arial"/>
        </w:rPr>
        <w:t>io</w:t>
      </w:r>
      <w:r w:rsidRPr="00BA3430">
        <w:rPr>
          <w:rFonts w:ascii="Arial" w:eastAsia="Arial" w:hAnsi="Arial" w:cs="Arial"/>
        </w:rPr>
        <w:t xml:space="preserve"> entro il 2038, stiamo considerando ogni strumento tecnologico a nostra disposizione per combattere il riscaldamento globale. Le celle a combustibile a idrogeno sono </w:t>
      </w:r>
      <w:r w:rsidR="00427201">
        <w:rPr>
          <w:rFonts w:ascii="Arial" w:eastAsia="Arial" w:hAnsi="Arial" w:cs="Arial"/>
        </w:rPr>
        <w:t>essenziali</w:t>
      </w:r>
      <w:r w:rsidRPr="00BA3430">
        <w:rPr>
          <w:rFonts w:ascii="Arial" w:eastAsia="Arial" w:hAnsi="Arial" w:cs="Arial"/>
        </w:rPr>
        <w:t xml:space="preserve"> e Symbio diventerà un attore </w:t>
      </w:r>
      <w:r w:rsidR="00427201">
        <w:rPr>
          <w:rFonts w:ascii="Arial" w:eastAsia="Arial" w:hAnsi="Arial" w:cs="Arial"/>
        </w:rPr>
        <w:t>di rilievo</w:t>
      </w:r>
      <w:r w:rsidRPr="00BA3430">
        <w:rPr>
          <w:rFonts w:ascii="Arial" w:eastAsia="Arial" w:hAnsi="Arial" w:cs="Arial"/>
        </w:rPr>
        <w:t xml:space="preserve"> nella battaglia per proteggere le generazioni future.</w:t>
      </w:r>
      <w:r w:rsidR="00B4672D">
        <w:rPr>
          <w:rFonts w:ascii="Arial" w:eastAsia="Arial" w:hAnsi="Arial" w:cs="Arial"/>
        </w:rPr>
        <w:t>”</w:t>
      </w:r>
    </w:p>
    <w:p w14:paraId="14CB18B4" w14:textId="77777777" w:rsidR="00275795" w:rsidRPr="00B736E3" w:rsidRDefault="00275795" w:rsidP="004D7DC2">
      <w:pPr>
        <w:spacing w:line="240" w:lineRule="auto"/>
        <w:jc w:val="both"/>
        <w:rPr>
          <w:rFonts w:ascii="Arial" w:eastAsia="Arial" w:hAnsi="Arial" w:cs="Arial"/>
        </w:rPr>
      </w:pPr>
    </w:p>
    <w:p w14:paraId="73589CED" w14:textId="6EFA48C6" w:rsidR="00B736E3" w:rsidRPr="00B736E3" w:rsidRDefault="00B736E3" w:rsidP="004D7DC2">
      <w:pPr>
        <w:spacing w:line="240" w:lineRule="auto"/>
        <w:jc w:val="both"/>
        <w:rPr>
          <w:rFonts w:ascii="Arial" w:eastAsia="Arial" w:hAnsi="Arial" w:cs="Arial"/>
        </w:rPr>
      </w:pPr>
      <w:r>
        <w:rPr>
          <w:rFonts w:ascii="Arial" w:hAnsi="Arial"/>
        </w:rPr>
        <w:t>Symbio ha pianificato di produrre 50.000 celle a combustibile all’anno entro il 2025, sfruttando la modernissima gigafactory di Saint-Fons, che inizierà la produzione nella seconda metà del 2023. Nel 2022 Symbio ha annunciato l’attuazione del suo progetto HyMotive, volto a dare slancio alla propria industrializzazione e allo sviluppo di innovazioni dirompenti, consentendo all’azienda di raggiungere una capacità produttiva totale in Francia di 100.000 sistemi all</w:t>
      </w:r>
      <w:r w:rsidR="00A1565D">
        <w:rPr>
          <w:rFonts w:ascii="Arial" w:hAnsi="Arial"/>
        </w:rPr>
        <w:t>’</w:t>
      </w:r>
      <w:r>
        <w:rPr>
          <w:rFonts w:ascii="Arial" w:hAnsi="Arial"/>
        </w:rPr>
        <w:t>anno entro il 2028, con la creazione di 1.000 posti di lavoro nel paese transalpino.</w:t>
      </w:r>
    </w:p>
    <w:p w14:paraId="34664C06" w14:textId="77777777" w:rsidR="00B736E3" w:rsidRPr="00B736E3" w:rsidRDefault="00B736E3" w:rsidP="004D7DC2">
      <w:pPr>
        <w:spacing w:line="240" w:lineRule="auto"/>
        <w:jc w:val="both"/>
        <w:rPr>
          <w:rFonts w:ascii="Arial" w:eastAsia="Arial" w:hAnsi="Arial" w:cs="Arial"/>
        </w:rPr>
      </w:pPr>
    </w:p>
    <w:p w14:paraId="7EC01340" w14:textId="12C6C2C0" w:rsidR="00A66A3E" w:rsidRDefault="00A66A3E" w:rsidP="004D7DC2">
      <w:pPr>
        <w:spacing w:line="240" w:lineRule="auto"/>
        <w:jc w:val="both"/>
        <w:rPr>
          <w:rFonts w:ascii="Arial" w:eastAsia="Arial" w:hAnsi="Arial" w:cs="Arial"/>
        </w:rPr>
      </w:pPr>
      <w:r>
        <w:rPr>
          <w:rFonts w:ascii="Arial" w:hAnsi="Arial"/>
        </w:rPr>
        <w:t xml:space="preserve">“Siamo lieti di questa </w:t>
      </w:r>
      <w:r w:rsidR="00706022">
        <w:rPr>
          <w:rFonts w:ascii="Arial" w:hAnsi="Arial"/>
        </w:rPr>
        <w:t>transazione</w:t>
      </w:r>
      <w:r>
        <w:rPr>
          <w:rFonts w:ascii="Arial" w:hAnsi="Arial"/>
        </w:rPr>
        <w:t>, che consente a Symbio di aumentare le proprie capacità e darà ulteriore slancio alla joint venture. Symbio è ora perfettamente in grado di crescere ed estendere la propria leadership fuori dall’Europa in un’epoca in cui il settore automotive si muove a grandi passi verso l</w:t>
      </w:r>
      <w:r w:rsidR="00A1565D">
        <w:rPr>
          <w:rFonts w:ascii="Arial" w:hAnsi="Arial"/>
        </w:rPr>
        <w:t>’</w:t>
      </w:r>
      <w:r>
        <w:rPr>
          <w:rFonts w:ascii="Arial" w:hAnsi="Arial"/>
        </w:rPr>
        <w:t>azzeramento delle emissioni”</w:t>
      </w:r>
      <w:r w:rsidR="006D3B70">
        <w:rPr>
          <w:rFonts w:ascii="Arial" w:hAnsi="Arial"/>
        </w:rPr>
        <w:t>,</w:t>
      </w:r>
      <w:r>
        <w:rPr>
          <w:rFonts w:ascii="Arial" w:hAnsi="Arial"/>
        </w:rPr>
        <w:t xml:space="preserve"> ha dichiarato Patrick Koller, Chief Executive Officer di Faurecia. “Questo accordo porta vantaggi a tutte le parti e consente a FORVIA di confermare la propria posizione di leader mondiale nella mobilità pulita.</w:t>
      </w:r>
      <w:r w:rsidRPr="00305DD0">
        <w:rPr>
          <w:rFonts w:ascii="Arial" w:hAnsi="Arial"/>
        </w:rPr>
        <w:t>”</w:t>
      </w:r>
    </w:p>
    <w:p w14:paraId="484B032A" w14:textId="3ED7ED6E" w:rsidR="00B736E3" w:rsidRPr="00B736E3" w:rsidRDefault="00B736E3" w:rsidP="004D7DC2">
      <w:pPr>
        <w:spacing w:line="240" w:lineRule="auto"/>
        <w:jc w:val="both"/>
        <w:rPr>
          <w:rFonts w:ascii="Arial" w:eastAsia="Arial" w:hAnsi="Arial" w:cs="Arial"/>
        </w:rPr>
      </w:pPr>
    </w:p>
    <w:p w14:paraId="4BE7D537" w14:textId="3C190F00" w:rsidR="00C96E53" w:rsidRDefault="00EE18C0" w:rsidP="004D7DC2">
      <w:pPr>
        <w:spacing w:line="240" w:lineRule="auto"/>
        <w:jc w:val="both"/>
        <w:rPr>
          <w:rFonts w:ascii="Arial" w:eastAsia="Arial" w:hAnsi="Arial" w:cs="Arial"/>
        </w:rPr>
      </w:pPr>
      <w:r>
        <w:rPr>
          <w:rFonts w:ascii="Arial" w:hAnsi="Arial"/>
        </w:rPr>
        <w:t xml:space="preserve">“L’ingresso di Stellantis nel capitale di Symbio rappresenta uno straordinario volano per lo sviluppo della nostra </w:t>
      </w:r>
      <w:r w:rsidR="00706022">
        <w:rPr>
          <w:rFonts w:ascii="Arial" w:hAnsi="Arial"/>
        </w:rPr>
        <w:t>consociata</w:t>
      </w:r>
      <w:r>
        <w:rPr>
          <w:rFonts w:ascii="Arial" w:hAnsi="Arial"/>
        </w:rPr>
        <w:t>”</w:t>
      </w:r>
      <w:r w:rsidR="006D3B70">
        <w:rPr>
          <w:rFonts w:ascii="Arial" w:hAnsi="Arial"/>
        </w:rPr>
        <w:t>,</w:t>
      </w:r>
      <w:r>
        <w:rPr>
          <w:rFonts w:ascii="Arial" w:hAnsi="Arial"/>
        </w:rPr>
        <w:t xml:space="preserve"> ha affermato Florent Menegaux, CEO di Michelin. “Inoltre è un’eccellente dimostrazione del fatto che la tecnologia delle celle a combustibile è essenziale affinché l’industria automobilistica raggiunga l’obiettivo dell’elettrificazione della mobilità, in particolare per uso professionale. Stellantis è già un partner di riferimento e in futuro avrà un ruolo fondamentale nella nostra collaborazione. Infine, questa transazione rafforza la convinzione che Michelin sostiene da anni, ovvero che l’idrogeno costituirà una delle soluzioni imprescindibili per la decarbonizzazione.”</w:t>
      </w:r>
    </w:p>
    <w:p w14:paraId="64A97123" w14:textId="37CD5E79" w:rsidR="00EE18C0" w:rsidRDefault="00EE18C0" w:rsidP="004D7DC2">
      <w:pPr>
        <w:spacing w:line="240" w:lineRule="auto"/>
        <w:jc w:val="both"/>
        <w:rPr>
          <w:rFonts w:ascii="Arial" w:eastAsia="Arial" w:hAnsi="Arial" w:cs="Arial"/>
        </w:rPr>
      </w:pPr>
    </w:p>
    <w:p w14:paraId="2916DAE0" w14:textId="34E43478" w:rsidR="00EE18C0" w:rsidRPr="00B736E3" w:rsidRDefault="00EE18C0" w:rsidP="004D7DC2">
      <w:pPr>
        <w:spacing w:line="240" w:lineRule="auto"/>
        <w:jc w:val="both"/>
        <w:rPr>
          <w:rFonts w:ascii="Arial" w:eastAsia="Arial" w:hAnsi="Arial" w:cs="Arial"/>
        </w:rPr>
      </w:pPr>
      <w:r>
        <w:rPr>
          <w:rFonts w:ascii="Arial" w:hAnsi="Arial"/>
        </w:rPr>
        <w:lastRenderedPageBreak/>
        <w:t>La transazione è soggetta alle consuete approvazioni normative. La chiusura è prevista per il terzo trimestre del 2023.</w:t>
      </w:r>
    </w:p>
    <w:p w14:paraId="5CAE1834" w14:textId="77777777" w:rsidR="00EE18C0" w:rsidRDefault="00EE18C0" w:rsidP="004D7DC2">
      <w:pPr>
        <w:spacing w:line="240" w:lineRule="auto"/>
        <w:jc w:val="both"/>
        <w:rPr>
          <w:rFonts w:ascii="Arial" w:eastAsia="Arial" w:hAnsi="Arial" w:cs="Arial"/>
        </w:rPr>
      </w:pPr>
    </w:p>
    <w:p w14:paraId="2CE4C55A" w14:textId="77777777" w:rsidR="00EE18C0" w:rsidRPr="00EE18C0" w:rsidRDefault="00EE18C0" w:rsidP="004D7DC2">
      <w:pPr>
        <w:spacing w:line="240" w:lineRule="auto"/>
        <w:jc w:val="both"/>
        <w:rPr>
          <w:rFonts w:ascii="Arial" w:eastAsia="Arial" w:hAnsi="Arial" w:cs="Arial"/>
        </w:rPr>
      </w:pPr>
    </w:p>
    <w:p w14:paraId="539DA6F6" w14:textId="5CC2538C" w:rsidR="0021423D" w:rsidRDefault="00A070B5" w:rsidP="004D7DC2">
      <w:pPr>
        <w:spacing w:after="160"/>
        <w:jc w:val="center"/>
        <w:rPr>
          <w:rFonts w:ascii="Arial" w:eastAsia="Arial" w:hAnsi="Arial" w:cs="Arial"/>
        </w:rPr>
      </w:pPr>
      <w:r>
        <w:rPr>
          <w:rFonts w:ascii="Arial" w:hAnsi="Arial"/>
        </w:rPr>
        <w:t># # #</w:t>
      </w:r>
    </w:p>
    <w:p w14:paraId="6035866A" w14:textId="77777777" w:rsidR="00C318D0" w:rsidRDefault="00C318D0" w:rsidP="004D7DC2">
      <w:pPr>
        <w:spacing w:line="240" w:lineRule="auto"/>
        <w:jc w:val="both"/>
        <w:rPr>
          <w:rFonts w:ascii="Arial" w:eastAsia="Arial" w:hAnsi="Arial" w:cs="Arial"/>
          <w:b/>
          <w:bCs/>
          <w:sz w:val="18"/>
          <w:szCs w:val="18"/>
        </w:rPr>
      </w:pPr>
    </w:p>
    <w:p w14:paraId="20435DFF" w14:textId="77777777" w:rsidR="00C318D0" w:rsidRDefault="00C318D0" w:rsidP="004D7DC2">
      <w:pPr>
        <w:spacing w:line="240" w:lineRule="auto"/>
        <w:jc w:val="both"/>
        <w:rPr>
          <w:rFonts w:ascii="Arial" w:eastAsia="Arial" w:hAnsi="Arial" w:cs="Arial"/>
          <w:b/>
          <w:bCs/>
          <w:sz w:val="18"/>
          <w:szCs w:val="18"/>
        </w:rPr>
      </w:pPr>
    </w:p>
    <w:p w14:paraId="621AFD1D" w14:textId="64120527" w:rsidR="0021423D" w:rsidRPr="009C4202" w:rsidRDefault="003B2539" w:rsidP="004D7DC2">
      <w:pPr>
        <w:spacing w:line="240" w:lineRule="auto"/>
        <w:jc w:val="both"/>
        <w:rPr>
          <w:i/>
          <w:iCs/>
          <w:sz w:val="18"/>
          <w:szCs w:val="18"/>
        </w:rPr>
      </w:pPr>
      <w:r w:rsidRPr="009C4202">
        <w:rPr>
          <w:rFonts w:ascii="Arial" w:hAnsi="Arial"/>
          <w:b/>
          <w:bCs/>
          <w:i/>
          <w:iCs/>
          <w:sz w:val="18"/>
          <w:szCs w:val="18"/>
        </w:rPr>
        <w:t>Symbio  </w:t>
      </w:r>
    </w:p>
    <w:p w14:paraId="406D21E5" w14:textId="0745BC57" w:rsidR="0021423D" w:rsidRDefault="00A070B5" w:rsidP="004D7DC2">
      <w:pPr>
        <w:spacing w:line="240" w:lineRule="auto"/>
        <w:jc w:val="both"/>
        <w:rPr>
          <w:sz w:val="18"/>
          <w:szCs w:val="18"/>
        </w:rPr>
      </w:pPr>
      <w:r>
        <w:rPr>
          <w:rFonts w:ascii="Arial" w:hAnsi="Arial"/>
          <w:i/>
          <w:iCs/>
          <w:sz w:val="18"/>
          <w:szCs w:val="18"/>
        </w:rPr>
        <w:t xml:space="preserve">Symbio, una joint venture Faurecia e Michelin, è un importante partner innovativo per i pionieri della mobilità, con oltre 30 anni di esperienza e 6 milioni di chilometri percorsi. Riferimento a livello mondiale nel campo dei sistemi a celle a combustibile a idrogeno, Symbio unisce leadership nel settore ed eccellenza innovativa all’agilità imprenditoriale per offrire una mobilità a zero emissioni. La sua ampia gamma di sistemi a celle a combustibile StackPack soddisfa qualsiasi esigenza in termini di potenza, durata e autonomia nelle prestazioni su strada e off-road di autocarri, furgoni e autobus, attrezzature per la logistica e autovetture. Symbio è partner di Stellantis nello sviluppo del primo programma mondiale di veicoli commerciali leggeri alimentati a idrogeno. I </w:t>
      </w:r>
      <w:r w:rsidR="00617774">
        <w:rPr>
          <w:rFonts w:ascii="Arial" w:hAnsi="Arial"/>
          <w:i/>
          <w:iCs/>
          <w:sz w:val="18"/>
          <w:szCs w:val="18"/>
        </w:rPr>
        <w:t>più di 700</w:t>
      </w:r>
      <w:r>
        <w:rPr>
          <w:rFonts w:ascii="Arial" w:hAnsi="Arial"/>
          <w:i/>
          <w:iCs/>
          <w:sz w:val="18"/>
          <w:szCs w:val="18"/>
        </w:rPr>
        <w:t xml:space="preserve"> dipendenti di Symbio operano per costruire un futuro positivo, aiutando i clienti ad accelerare l’attuazione di una mobilità pulita che rispetti l’ambiente, l’aria e la salute senza compromessi sulle prestazioni. La gamma H2Motive di Symbio soddisfa qualsiasi necessità in termini di potenza e di durata grazie a sistemi single-stack e multi-stack con i relativi sistemi di distribuzione della potenza, centraline di controllo </w:t>
      </w:r>
      <w:r w:rsidRPr="009C4202">
        <w:rPr>
          <w:rFonts w:ascii="Arial" w:hAnsi="Arial"/>
          <w:i/>
          <w:iCs/>
          <w:sz w:val="18"/>
          <w:szCs w:val="18"/>
        </w:rPr>
        <w:t>elettronico e circuiti di raffreddamento, dell’aria e dell’idrogeno che generano e controllano l’alimentazione elettrica. </w:t>
      </w:r>
      <w:r w:rsidRPr="009C4202">
        <w:rPr>
          <w:rFonts w:ascii="Arial" w:hAnsi="Arial"/>
          <w:i/>
          <w:iCs/>
          <w:color w:val="0000FF"/>
          <w:sz w:val="18"/>
          <w:szCs w:val="18"/>
          <w:u w:val="single" w:color="0000FF"/>
        </w:rPr>
        <w:t>www.symbio.one</w:t>
      </w:r>
    </w:p>
    <w:p w14:paraId="35BA184C" w14:textId="77777777" w:rsidR="0021423D" w:rsidRDefault="0021423D" w:rsidP="004D7DC2">
      <w:pPr>
        <w:spacing w:line="240" w:lineRule="auto"/>
        <w:jc w:val="both"/>
        <w:rPr>
          <w:rFonts w:ascii="Arial" w:eastAsia="Arial" w:hAnsi="Arial" w:cs="Arial"/>
          <w:b/>
          <w:bCs/>
          <w:sz w:val="18"/>
          <w:szCs w:val="18"/>
        </w:rPr>
      </w:pPr>
    </w:p>
    <w:p w14:paraId="3F42E7BD" w14:textId="77777777" w:rsidR="0021423D" w:rsidRPr="009C4202" w:rsidRDefault="00A070B5" w:rsidP="004D7DC2">
      <w:pPr>
        <w:spacing w:line="240" w:lineRule="auto"/>
        <w:jc w:val="both"/>
        <w:rPr>
          <w:i/>
          <w:iCs/>
          <w:sz w:val="18"/>
          <w:szCs w:val="18"/>
        </w:rPr>
      </w:pPr>
      <w:r w:rsidRPr="009C4202">
        <w:rPr>
          <w:rFonts w:ascii="Arial" w:hAnsi="Arial"/>
          <w:b/>
          <w:bCs/>
          <w:i/>
          <w:iCs/>
          <w:sz w:val="18"/>
          <w:szCs w:val="18"/>
        </w:rPr>
        <w:t>Stellantis</w:t>
      </w:r>
    </w:p>
    <w:p w14:paraId="04C1061F" w14:textId="788CD5FF" w:rsidR="0021423D" w:rsidRDefault="00A070B5" w:rsidP="004D7DC2">
      <w:pPr>
        <w:spacing w:line="240" w:lineRule="auto"/>
        <w:jc w:val="both"/>
      </w:pPr>
      <w:bookmarkStart w:id="0" w:name="_Hlk104023212"/>
      <w:r>
        <w:rPr>
          <w:rFonts w:ascii="Arial" w:hAnsi="Arial"/>
          <w:i/>
          <w:iCs/>
          <w:sz w:val="18"/>
          <w:szCs w:val="18"/>
        </w:rPr>
        <w:t>Stellantis N.</w:t>
      </w:r>
      <w:r w:rsidR="00157731">
        <w:rPr>
          <w:rFonts w:ascii="Arial" w:hAnsi="Arial"/>
          <w:i/>
          <w:iCs/>
          <w:sz w:val="18"/>
          <w:szCs w:val="18"/>
        </w:rPr>
        <w:t>V. (NYSE: STLA / Euronext Milan: STLAM / Euronext Paris</w:t>
      </w:r>
      <w:r>
        <w:rPr>
          <w:rFonts w:ascii="Arial" w:hAnsi="Arial"/>
          <w:i/>
          <w:iCs/>
          <w:sz w:val="18"/>
          <w:szCs w:val="18"/>
        </w:rPr>
        <w:t xml:space="preserve">: STLAP)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hyperlink r:id="rId7" w:history="1">
        <w:r>
          <w:rPr>
            <w:rFonts w:ascii="Arial" w:hAnsi="Arial"/>
            <w:i/>
            <w:iCs/>
            <w:color w:val="0000FF"/>
            <w:sz w:val="18"/>
            <w:szCs w:val="18"/>
            <w:u w:val="single" w:color="0000FF"/>
          </w:rPr>
          <w:t>www.stellantis.com</w:t>
        </w:r>
      </w:hyperlink>
      <w:r>
        <w:rPr>
          <w:rFonts w:ascii="Arial" w:hAnsi="Arial"/>
          <w:i/>
          <w:iCs/>
          <w:sz w:val="18"/>
          <w:szCs w:val="18"/>
        </w:rPr>
        <w:t>.</w:t>
      </w:r>
      <w:bookmarkEnd w:id="0"/>
    </w:p>
    <w:p w14:paraId="7C14792C" w14:textId="77777777" w:rsidR="0021423D" w:rsidRDefault="0021423D" w:rsidP="004D7DC2">
      <w:pPr>
        <w:spacing w:line="240" w:lineRule="auto"/>
        <w:jc w:val="both"/>
        <w:rPr>
          <w:rFonts w:ascii="Arial" w:eastAsia="Arial" w:hAnsi="Arial" w:cs="Arial"/>
          <w:sz w:val="18"/>
          <w:szCs w:val="18"/>
        </w:rPr>
      </w:pPr>
    </w:p>
    <w:p w14:paraId="387989BE" w14:textId="6C3CB7E3" w:rsidR="0021423D" w:rsidRDefault="00A070B5" w:rsidP="004D7DC2">
      <w:pPr>
        <w:spacing w:line="240" w:lineRule="auto"/>
        <w:jc w:val="both"/>
        <w:rPr>
          <w:sz w:val="18"/>
          <w:szCs w:val="18"/>
        </w:rPr>
      </w:pPr>
      <w:r>
        <w:rPr>
          <w:rFonts w:ascii="Arial" w:hAnsi="Arial"/>
          <w:b/>
          <w:bCs/>
          <w:i/>
          <w:iCs/>
          <w:sz w:val="18"/>
          <w:szCs w:val="18"/>
        </w:rPr>
        <w:t>FORVIA Faurecia</w:t>
      </w:r>
    </w:p>
    <w:p w14:paraId="4684EDFA" w14:textId="77777777" w:rsidR="00F20199" w:rsidRPr="000F3368" w:rsidRDefault="00F20199" w:rsidP="004D7DC2">
      <w:pPr>
        <w:spacing w:line="240" w:lineRule="auto"/>
        <w:jc w:val="both"/>
        <w:rPr>
          <w:rFonts w:ascii="Arial" w:eastAsia="Arial" w:hAnsi="Arial" w:cs="Arial"/>
          <w:i/>
          <w:iCs/>
          <w:sz w:val="18"/>
          <w:szCs w:val="18"/>
        </w:rPr>
      </w:pPr>
      <w:r>
        <w:rPr>
          <w:rFonts w:ascii="Arial" w:hAnsi="Arial"/>
          <w:i/>
          <w:iCs/>
          <w:sz w:val="18"/>
          <w:szCs w:val="18"/>
        </w:rPr>
        <w:t xml:space="preserve">FORVIA riunisce le tecnologie complementari e la forza industriale di Faurecia ed HELLA. Con oltre 290 siti industriali, 76 centri di R&amp;S e 157.000 dipendenti, tra cui oltre 15.000 ingegneri di R&amp;S operanti in più di 40 paesi, FORVIA offre un approccio unico e completo alle sfide del settore automotive di oggi e di domani. Costituita da 6 gruppi imprenditoriali e con un solido portafoglio di oltre 14.000 brevetti, FORVIA mira a diventare il partner per l’innovazione e l’integrazione preferito dagli OEM di tutto il mondo. FORVIA punta a diventare un promotore del cambiamento in grado di prevedere le trasformazioni della mobilità e di farle diventare realtà. </w:t>
      </w:r>
      <w:hyperlink r:id="rId8" w:history="1">
        <w:r>
          <w:rPr>
            <w:rFonts w:ascii="Arial" w:hAnsi="Arial"/>
            <w:i/>
            <w:iCs/>
            <w:sz w:val="18"/>
            <w:szCs w:val="18"/>
          </w:rPr>
          <w:t>www.forvia.com</w:t>
        </w:r>
      </w:hyperlink>
    </w:p>
    <w:p w14:paraId="60ACB076" w14:textId="77777777" w:rsidR="0021423D" w:rsidRDefault="0021423D" w:rsidP="004D7DC2">
      <w:pPr>
        <w:spacing w:line="240" w:lineRule="auto"/>
        <w:jc w:val="both"/>
        <w:rPr>
          <w:rFonts w:ascii="Arial" w:eastAsia="Arial" w:hAnsi="Arial" w:cs="Arial"/>
          <w:b/>
          <w:bCs/>
          <w:i/>
          <w:iCs/>
          <w:sz w:val="18"/>
          <w:szCs w:val="18"/>
        </w:rPr>
      </w:pPr>
    </w:p>
    <w:p w14:paraId="5BFA7E1A" w14:textId="77777777" w:rsidR="0021423D" w:rsidRDefault="00A070B5" w:rsidP="004D7DC2">
      <w:pPr>
        <w:spacing w:line="240" w:lineRule="auto"/>
        <w:jc w:val="both"/>
        <w:rPr>
          <w:sz w:val="18"/>
          <w:szCs w:val="18"/>
        </w:rPr>
      </w:pPr>
      <w:r>
        <w:rPr>
          <w:rFonts w:ascii="Arial" w:hAnsi="Arial"/>
          <w:b/>
          <w:bCs/>
          <w:i/>
          <w:iCs/>
          <w:sz w:val="18"/>
          <w:szCs w:val="18"/>
        </w:rPr>
        <w:t>Michelin</w:t>
      </w:r>
    </w:p>
    <w:p w14:paraId="33C4801E" w14:textId="438D5926" w:rsidR="0021423D" w:rsidRDefault="00A070B5" w:rsidP="004D7DC2">
      <w:pPr>
        <w:spacing w:line="240" w:lineRule="auto"/>
        <w:jc w:val="both"/>
      </w:pPr>
      <w:r>
        <w:rPr>
          <w:rFonts w:ascii="Arial" w:hAnsi="Arial"/>
          <w:i/>
          <w:iCs/>
          <w:sz w:val="18"/>
          <w:szCs w:val="18"/>
        </w:rPr>
        <w:t>Leader mondiale nel settore della mobilità, Michelin opera per migliorare l</w:t>
      </w:r>
      <w:r w:rsidR="00D35DF5">
        <w:rPr>
          <w:rFonts w:ascii="Arial" w:hAnsi="Arial"/>
          <w:i/>
          <w:iCs/>
          <w:sz w:val="18"/>
          <w:szCs w:val="18"/>
        </w:rPr>
        <w:t xml:space="preserve">a sostenibilità con cui </w:t>
      </w:r>
      <w:r>
        <w:rPr>
          <w:rFonts w:ascii="Arial" w:hAnsi="Arial"/>
          <w:i/>
          <w:iCs/>
          <w:sz w:val="18"/>
          <w:szCs w:val="18"/>
        </w:rPr>
        <w:t>i propri clienti</w:t>
      </w:r>
      <w:r w:rsidR="00D35DF5">
        <w:rPr>
          <w:rFonts w:ascii="Arial" w:hAnsi="Arial"/>
          <w:i/>
          <w:iCs/>
          <w:sz w:val="18"/>
          <w:szCs w:val="18"/>
        </w:rPr>
        <w:t xml:space="preserve"> si muovono</w:t>
      </w:r>
      <w:r>
        <w:rPr>
          <w:rFonts w:ascii="Arial" w:hAnsi="Arial"/>
          <w:i/>
          <w:iCs/>
          <w:sz w:val="18"/>
          <w:szCs w:val="18"/>
        </w:rPr>
        <w:t xml:space="preserve"> progettando e distribuendo pneumatici, servizi e soluzioni in grado di soddisfare qualsiasi esigenza, offrendo servizi digitali, mappe e guide per arricchire gite e viaggi rendendoli esperienze uniche e sviluppando materiali altamente tecnologici per vari settori. Michelin, la cui sede centrale è a Clermont-Ferrand, Francia, è presente in 17</w:t>
      </w:r>
      <w:r w:rsidR="00D35DF5">
        <w:rPr>
          <w:rFonts w:ascii="Arial" w:hAnsi="Arial"/>
          <w:i/>
          <w:iCs/>
          <w:sz w:val="18"/>
          <w:szCs w:val="18"/>
        </w:rPr>
        <w:t>5</w:t>
      </w:r>
      <w:r>
        <w:rPr>
          <w:rFonts w:ascii="Arial" w:hAnsi="Arial"/>
          <w:i/>
          <w:iCs/>
          <w:sz w:val="18"/>
          <w:szCs w:val="18"/>
        </w:rPr>
        <w:t xml:space="preserve"> paesi, vanta 1</w:t>
      </w:r>
      <w:r w:rsidR="00E80CE2">
        <w:rPr>
          <w:rFonts w:ascii="Arial" w:hAnsi="Arial"/>
          <w:i/>
          <w:iCs/>
          <w:sz w:val="18"/>
          <w:szCs w:val="18"/>
        </w:rPr>
        <w:t>32</w:t>
      </w:r>
      <w:r>
        <w:rPr>
          <w:rFonts w:ascii="Arial" w:hAnsi="Arial"/>
          <w:i/>
          <w:iCs/>
          <w:sz w:val="18"/>
          <w:szCs w:val="18"/>
        </w:rPr>
        <w:t>.</w:t>
      </w:r>
      <w:r w:rsidR="00E80CE2">
        <w:rPr>
          <w:rFonts w:ascii="Arial" w:hAnsi="Arial"/>
          <w:i/>
          <w:iCs/>
          <w:sz w:val="18"/>
          <w:szCs w:val="18"/>
        </w:rPr>
        <w:t>20</w:t>
      </w:r>
      <w:r>
        <w:rPr>
          <w:rFonts w:ascii="Arial" w:hAnsi="Arial"/>
          <w:i/>
          <w:iCs/>
          <w:sz w:val="18"/>
          <w:szCs w:val="18"/>
        </w:rPr>
        <w:t>0 dipendenti e 6</w:t>
      </w:r>
      <w:r w:rsidR="00E80CE2">
        <w:rPr>
          <w:rFonts w:ascii="Arial" w:hAnsi="Arial"/>
          <w:i/>
          <w:iCs/>
          <w:sz w:val="18"/>
          <w:szCs w:val="18"/>
        </w:rPr>
        <w:t>7</w:t>
      </w:r>
      <w:r>
        <w:rPr>
          <w:rFonts w:ascii="Arial" w:hAnsi="Arial"/>
          <w:i/>
          <w:iCs/>
          <w:sz w:val="18"/>
          <w:szCs w:val="18"/>
        </w:rPr>
        <w:t xml:space="preserve"> stabilimenti produttivi che in totale nel 202</w:t>
      </w:r>
      <w:r w:rsidR="00E80CE2">
        <w:rPr>
          <w:rFonts w:ascii="Arial" w:hAnsi="Arial"/>
          <w:i/>
          <w:iCs/>
          <w:sz w:val="18"/>
          <w:szCs w:val="18"/>
        </w:rPr>
        <w:t>2</w:t>
      </w:r>
      <w:r>
        <w:rPr>
          <w:rFonts w:ascii="Arial" w:hAnsi="Arial"/>
          <w:i/>
          <w:iCs/>
          <w:sz w:val="18"/>
          <w:szCs w:val="18"/>
        </w:rPr>
        <w:t xml:space="preserve"> hanno prodotto 1</w:t>
      </w:r>
      <w:r w:rsidR="00E80CE2">
        <w:rPr>
          <w:rFonts w:ascii="Arial" w:hAnsi="Arial"/>
          <w:i/>
          <w:iCs/>
          <w:sz w:val="18"/>
          <w:szCs w:val="18"/>
        </w:rPr>
        <w:t>67</w:t>
      </w:r>
      <w:r>
        <w:rPr>
          <w:rFonts w:ascii="Arial" w:hAnsi="Arial"/>
          <w:i/>
          <w:iCs/>
          <w:sz w:val="18"/>
          <w:szCs w:val="18"/>
        </w:rPr>
        <w:t xml:space="preserve"> milioni di pneumatici. (</w:t>
      </w:r>
      <w:hyperlink r:id="rId9" w:history="1">
        <w:r>
          <w:rPr>
            <w:rFonts w:ascii="Arial" w:hAnsi="Arial"/>
            <w:i/>
            <w:iCs/>
            <w:color w:val="0000FF"/>
            <w:sz w:val="18"/>
            <w:szCs w:val="18"/>
            <w:u w:val="single" w:color="0000FF"/>
          </w:rPr>
          <w:t>www.michelin.com</w:t>
        </w:r>
      </w:hyperlink>
      <w:r w:rsidRPr="0042540C">
        <w:rPr>
          <w:rFonts w:ascii="Arial" w:hAnsi="Arial"/>
          <w:i/>
          <w:iCs/>
          <w:sz w:val="18"/>
          <w:szCs w:val="18"/>
          <w:u w:val="single" w:color="B5082E"/>
        </w:rPr>
        <w:t>)</w:t>
      </w:r>
    </w:p>
    <w:p w14:paraId="1473BC1E" w14:textId="4C8C9493" w:rsidR="0021423D" w:rsidRDefault="0021423D">
      <w:pPr>
        <w:spacing w:after="160"/>
        <w:jc w:val="both"/>
        <w:rPr>
          <w:rFonts w:ascii="Encode Sans" w:eastAsia="Encode Sans" w:hAnsi="Encode Sans" w:cs="Encode Sans"/>
          <w:b/>
          <w:bCs/>
          <w:i/>
          <w:iCs/>
        </w:rPr>
      </w:pPr>
    </w:p>
    <w:p w14:paraId="482CACA9" w14:textId="7D3E5CA7" w:rsidR="00EE18C0" w:rsidRDefault="00EE18C0">
      <w:pPr>
        <w:spacing w:after="160"/>
        <w:jc w:val="both"/>
        <w:rPr>
          <w:rFonts w:ascii="Encode Sans" w:eastAsia="Encode Sans" w:hAnsi="Encode Sans" w:cs="Encode Sans"/>
          <w:b/>
          <w:bCs/>
          <w:i/>
          <w:iCs/>
        </w:rPr>
      </w:pPr>
    </w:p>
    <w:p w14:paraId="5C756E13" w14:textId="77777777" w:rsidR="00EE18C0" w:rsidRDefault="00EE18C0">
      <w:pPr>
        <w:spacing w:after="160"/>
        <w:jc w:val="both"/>
        <w:rPr>
          <w:rFonts w:ascii="Encode Sans" w:eastAsia="Encode Sans" w:hAnsi="Encode Sans" w:cs="Encode Sans"/>
          <w:b/>
          <w:bCs/>
          <w:i/>
          <w:iCs/>
        </w:rPr>
      </w:pPr>
    </w:p>
    <w:p w14:paraId="1C26F997" w14:textId="77777777" w:rsidR="00C62AEB" w:rsidRDefault="00C62AEB">
      <w:pPr>
        <w:rPr>
          <w:rFonts w:ascii="Arial" w:hAnsi="Arial"/>
          <w:b/>
          <w:bCs/>
          <w:sz w:val="20"/>
          <w:szCs w:val="20"/>
        </w:rPr>
      </w:pPr>
    </w:p>
    <w:p w14:paraId="5E9E9EFD" w14:textId="77777777" w:rsidR="00C62AEB" w:rsidRDefault="00C62AEB">
      <w:pPr>
        <w:rPr>
          <w:rFonts w:ascii="Arial" w:hAnsi="Arial"/>
          <w:b/>
          <w:bCs/>
          <w:sz w:val="20"/>
          <w:szCs w:val="20"/>
        </w:rPr>
      </w:pPr>
    </w:p>
    <w:p w14:paraId="4C356280" w14:textId="77777777" w:rsidR="00C62AEB" w:rsidRDefault="00C62AEB">
      <w:pPr>
        <w:rPr>
          <w:rFonts w:ascii="Arial" w:hAnsi="Arial"/>
          <w:b/>
          <w:bCs/>
          <w:sz w:val="20"/>
          <w:szCs w:val="20"/>
        </w:rPr>
      </w:pPr>
    </w:p>
    <w:p w14:paraId="146752D3" w14:textId="77777777" w:rsidR="00C62AEB" w:rsidRDefault="00C62AEB">
      <w:pPr>
        <w:rPr>
          <w:rFonts w:ascii="Arial" w:hAnsi="Arial"/>
          <w:b/>
          <w:bCs/>
          <w:sz w:val="20"/>
          <w:szCs w:val="20"/>
        </w:rPr>
      </w:pPr>
    </w:p>
    <w:p w14:paraId="08B35328" w14:textId="6E2A0C19" w:rsidR="0042540C" w:rsidRDefault="0042540C">
      <w:pPr>
        <w:spacing w:line="240" w:lineRule="auto"/>
        <w:rPr>
          <w:rFonts w:ascii="Arial" w:hAnsi="Arial"/>
          <w:b/>
          <w:bCs/>
          <w:sz w:val="20"/>
          <w:szCs w:val="20"/>
        </w:rPr>
      </w:pPr>
      <w:r>
        <w:rPr>
          <w:rFonts w:ascii="Arial" w:hAnsi="Arial"/>
          <w:b/>
          <w:bCs/>
          <w:sz w:val="20"/>
          <w:szCs w:val="20"/>
        </w:rPr>
        <w:br w:type="page"/>
      </w:r>
    </w:p>
    <w:p w14:paraId="5E1F1ECE" w14:textId="77777777" w:rsidR="00C62AEB" w:rsidRDefault="00C62AEB">
      <w:pPr>
        <w:rPr>
          <w:rFonts w:ascii="Arial" w:hAnsi="Arial"/>
          <w:b/>
          <w:bCs/>
          <w:sz w:val="20"/>
          <w:szCs w:val="20"/>
        </w:rPr>
      </w:pPr>
    </w:p>
    <w:p w14:paraId="37048DBC" w14:textId="5AE11A1B" w:rsidR="0021423D" w:rsidRPr="00C96E53" w:rsidRDefault="00A070B5">
      <w:pPr>
        <w:rPr>
          <w:rFonts w:ascii="Arial" w:hAnsi="Arial" w:cs="Arial"/>
          <w:sz w:val="20"/>
          <w:szCs w:val="20"/>
        </w:rPr>
      </w:pPr>
      <w:r>
        <w:rPr>
          <w:rFonts w:ascii="Arial" w:hAnsi="Arial"/>
          <w:b/>
          <w:bCs/>
          <w:sz w:val="20"/>
          <w:szCs w:val="20"/>
        </w:rPr>
        <w:t>Contatti:</w:t>
      </w:r>
    </w:p>
    <w:p w14:paraId="44BE4009" w14:textId="77777777" w:rsidR="0021423D" w:rsidRPr="00C96E53" w:rsidRDefault="0021423D">
      <w:pPr>
        <w:rPr>
          <w:rFonts w:ascii="Arial" w:eastAsia="Arial" w:hAnsi="Arial" w:cs="Arial"/>
          <w:sz w:val="20"/>
          <w:szCs w:val="20"/>
        </w:rPr>
      </w:pPr>
    </w:p>
    <w:tbl>
      <w:tblPr>
        <w:tblW w:w="0" w:type="auto"/>
        <w:tblBorders>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77"/>
        <w:gridCol w:w="3119"/>
        <w:gridCol w:w="3264"/>
      </w:tblGrid>
      <w:tr w:rsidR="0021423D" w:rsidRPr="009D1D6A" w14:paraId="1DDD0D04" w14:textId="77777777" w:rsidTr="00C62AEB">
        <w:tc>
          <w:tcPr>
            <w:tcW w:w="2977" w:type="dxa"/>
            <w:tcBorders>
              <w:right w:val="nil"/>
            </w:tcBorders>
            <w:tcMar>
              <w:top w:w="0" w:type="dxa"/>
              <w:left w:w="123" w:type="dxa"/>
              <w:bottom w:w="0" w:type="dxa"/>
              <w:right w:w="108" w:type="dxa"/>
            </w:tcMar>
            <w:hideMark/>
          </w:tcPr>
          <w:p w14:paraId="51AB71D6" w14:textId="7B7E80A2" w:rsidR="0021423D" w:rsidRPr="00B736E3" w:rsidRDefault="004D7DC2">
            <w:pPr>
              <w:jc w:val="center"/>
              <w:rPr>
                <w:rFonts w:ascii="Arial" w:hAnsi="Arial" w:cs="Arial"/>
                <w:color w:val="000000"/>
                <w:sz w:val="20"/>
                <w:szCs w:val="20"/>
              </w:rPr>
            </w:pPr>
            <w:r>
              <w:rPr>
                <w:rFonts w:ascii="Arial" w:hAnsi="Arial"/>
                <w:b/>
                <w:bCs/>
                <w:color w:val="000000"/>
                <w:sz w:val="20"/>
                <w:szCs w:val="20"/>
              </w:rPr>
              <w:t>STELLANTIS</w:t>
            </w:r>
          </w:p>
          <w:p w14:paraId="393AED0B" w14:textId="77777777" w:rsidR="0021423D" w:rsidRPr="00B736E3" w:rsidRDefault="0021423D">
            <w:pPr>
              <w:rPr>
                <w:rFonts w:ascii="Arial" w:eastAsia="Arial" w:hAnsi="Arial" w:cs="Arial"/>
                <w:b/>
                <w:bCs/>
                <w:color w:val="000000"/>
                <w:sz w:val="20"/>
                <w:szCs w:val="20"/>
                <w:lang w:val="fr-FR"/>
              </w:rPr>
            </w:pPr>
          </w:p>
          <w:p w14:paraId="24A491B8" w14:textId="77777777" w:rsidR="0021423D" w:rsidRPr="00B736E3" w:rsidRDefault="00A070B5">
            <w:pPr>
              <w:rPr>
                <w:rFonts w:ascii="Arial" w:hAnsi="Arial" w:cs="Arial"/>
                <w:color w:val="000000"/>
                <w:sz w:val="20"/>
                <w:szCs w:val="20"/>
              </w:rPr>
            </w:pPr>
            <w:r>
              <w:rPr>
                <w:rFonts w:ascii="Arial" w:hAnsi="Arial"/>
                <w:b/>
                <w:bCs/>
                <w:color w:val="000000"/>
                <w:sz w:val="20"/>
                <w:szCs w:val="20"/>
              </w:rPr>
              <w:t>Fernão Silveira</w:t>
            </w:r>
          </w:p>
          <w:p w14:paraId="587707B3" w14:textId="77777777" w:rsidR="0021423D" w:rsidRPr="00B736E3" w:rsidRDefault="00A070B5">
            <w:pPr>
              <w:rPr>
                <w:rFonts w:ascii="Arial" w:hAnsi="Arial" w:cs="Arial"/>
                <w:color w:val="000000"/>
                <w:sz w:val="20"/>
                <w:szCs w:val="20"/>
              </w:rPr>
            </w:pPr>
            <w:r>
              <w:rPr>
                <w:rFonts w:ascii="Arial" w:hAnsi="Arial"/>
                <w:color w:val="000000"/>
                <w:sz w:val="20"/>
                <w:szCs w:val="20"/>
              </w:rPr>
              <w:t>Global Communications / Stellantis</w:t>
            </w:r>
          </w:p>
          <w:p w14:paraId="696F3F48" w14:textId="77777777" w:rsidR="0021423D" w:rsidRPr="000F3368" w:rsidRDefault="00A070B5">
            <w:pPr>
              <w:rPr>
                <w:rFonts w:ascii="Arial" w:hAnsi="Arial" w:cs="Arial"/>
                <w:color w:val="000000"/>
                <w:sz w:val="20"/>
                <w:szCs w:val="20"/>
              </w:rPr>
            </w:pPr>
            <w:r>
              <w:rPr>
                <w:rFonts w:ascii="Arial" w:hAnsi="Arial"/>
                <w:color w:val="000000"/>
                <w:sz w:val="20"/>
                <w:szCs w:val="20"/>
              </w:rPr>
              <w:t>+31 6 43 25 43 41</w:t>
            </w:r>
          </w:p>
          <w:p w14:paraId="6BDBA484" w14:textId="77777777" w:rsidR="0021423D" w:rsidRPr="00C62AEB" w:rsidRDefault="009C4202">
            <w:pPr>
              <w:rPr>
                <w:rFonts w:ascii="Arial" w:hAnsi="Arial" w:cs="Arial"/>
                <w:color w:val="000000"/>
                <w:sz w:val="18"/>
                <w:szCs w:val="18"/>
              </w:rPr>
            </w:pPr>
            <w:hyperlink r:id="rId10" w:history="1">
              <w:r w:rsidR="00864187" w:rsidRPr="00C62AEB">
                <w:rPr>
                  <w:rFonts w:ascii="Arial" w:hAnsi="Arial"/>
                  <w:color w:val="000000"/>
                  <w:sz w:val="18"/>
                  <w:szCs w:val="18"/>
                  <w:u w:val="single" w:color="000000"/>
                </w:rPr>
                <w:t>fernao.silveira@stellantis.com</w:t>
              </w:r>
            </w:hyperlink>
          </w:p>
          <w:p w14:paraId="5C702C37" w14:textId="77777777" w:rsidR="0021423D" w:rsidRPr="00CF074D" w:rsidRDefault="0021423D">
            <w:pPr>
              <w:rPr>
                <w:rFonts w:ascii="Arial" w:eastAsia="Arial" w:hAnsi="Arial" w:cs="Arial"/>
                <w:b/>
                <w:bCs/>
                <w:color w:val="000000"/>
                <w:sz w:val="20"/>
                <w:szCs w:val="20"/>
              </w:rPr>
            </w:pPr>
          </w:p>
          <w:p w14:paraId="565D2401" w14:textId="77777777" w:rsidR="0021423D" w:rsidRPr="00C62AEB" w:rsidRDefault="00A070B5">
            <w:pPr>
              <w:rPr>
                <w:rFonts w:ascii="Arial" w:hAnsi="Arial" w:cs="Arial"/>
                <w:color w:val="000000"/>
                <w:sz w:val="16"/>
                <w:szCs w:val="16"/>
              </w:rPr>
            </w:pPr>
            <w:r w:rsidRPr="00C62AEB">
              <w:rPr>
                <w:rFonts w:ascii="Arial" w:hAnsi="Arial"/>
                <w:color w:val="000000"/>
                <w:sz w:val="16"/>
                <w:szCs w:val="16"/>
              </w:rPr>
              <w:t>communications@stellantis.com</w:t>
            </w:r>
          </w:p>
          <w:p w14:paraId="4E3B1507" w14:textId="77777777" w:rsidR="0021423D" w:rsidRPr="00C96E53" w:rsidRDefault="009C4202">
            <w:pPr>
              <w:rPr>
                <w:rFonts w:ascii="Arial" w:hAnsi="Arial" w:cs="Arial"/>
                <w:color w:val="000000"/>
                <w:sz w:val="20"/>
                <w:szCs w:val="20"/>
              </w:rPr>
            </w:pPr>
            <w:hyperlink r:id="rId11" w:history="1">
              <w:r w:rsidR="00157731">
                <w:rPr>
                  <w:rFonts w:ascii="Arial" w:hAnsi="Arial"/>
                  <w:color w:val="000000"/>
                  <w:sz w:val="20"/>
                  <w:szCs w:val="20"/>
                  <w:u w:val="single" w:color="000000"/>
                </w:rPr>
                <w:t>www.stellantis.com</w:t>
              </w:r>
            </w:hyperlink>
          </w:p>
          <w:p w14:paraId="4BA27F24" w14:textId="77777777" w:rsidR="0021423D" w:rsidRPr="00C96E53" w:rsidRDefault="0021423D">
            <w:pPr>
              <w:spacing w:after="160"/>
              <w:rPr>
                <w:rFonts w:ascii="Arial" w:eastAsia="Arial" w:hAnsi="Arial" w:cs="Arial"/>
                <w:b/>
                <w:bCs/>
                <w:i/>
                <w:iCs/>
                <w:color w:val="000000"/>
                <w:sz w:val="20"/>
                <w:szCs w:val="20"/>
              </w:rPr>
            </w:pPr>
          </w:p>
        </w:tc>
        <w:tc>
          <w:tcPr>
            <w:tcW w:w="3119" w:type="dxa"/>
            <w:tcBorders>
              <w:left w:val="nil"/>
              <w:right w:val="nil"/>
            </w:tcBorders>
            <w:tcMar>
              <w:top w:w="0" w:type="dxa"/>
              <w:left w:w="108" w:type="dxa"/>
              <w:bottom w:w="0" w:type="dxa"/>
              <w:right w:w="108" w:type="dxa"/>
            </w:tcMar>
            <w:hideMark/>
          </w:tcPr>
          <w:p w14:paraId="33F45A80" w14:textId="77777777" w:rsidR="0021423D" w:rsidRPr="00C96E53" w:rsidRDefault="00A070B5">
            <w:pPr>
              <w:spacing w:after="160"/>
              <w:jc w:val="center"/>
              <w:rPr>
                <w:rFonts w:ascii="Arial" w:hAnsi="Arial" w:cs="Arial"/>
                <w:color w:val="000000"/>
                <w:sz w:val="20"/>
                <w:szCs w:val="20"/>
              </w:rPr>
            </w:pPr>
            <w:r>
              <w:rPr>
                <w:rFonts w:ascii="Arial" w:hAnsi="Arial"/>
                <w:b/>
                <w:bCs/>
                <w:color w:val="000000"/>
                <w:sz w:val="20"/>
                <w:szCs w:val="20"/>
              </w:rPr>
              <w:t>MICHELIN</w:t>
            </w:r>
          </w:p>
          <w:p w14:paraId="1C12826B" w14:textId="77777777" w:rsidR="00E07A99" w:rsidRDefault="00A070B5">
            <w:pPr>
              <w:spacing w:after="160"/>
              <w:rPr>
                <w:rFonts w:ascii="Arial" w:eastAsia="Arial" w:hAnsi="Arial" w:cs="Arial"/>
                <w:color w:val="000000"/>
                <w:sz w:val="20"/>
                <w:szCs w:val="20"/>
              </w:rPr>
            </w:pPr>
            <w:r>
              <w:rPr>
                <w:rFonts w:ascii="Arial" w:hAnsi="Arial"/>
                <w:b/>
                <w:bCs/>
                <w:color w:val="000000"/>
                <w:sz w:val="20"/>
                <w:szCs w:val="20"/>
              </w:rPr>
              <w:t>Service de presse</w:t>
            </w:r>
            <w:r>
              <w:rPr>
                <w:rFonts w:ascii="Arial" w:hAnsi="Arial"/>
                <w:color w:val="000000"/>
                <w:sz w:val="20"/>
                <w:szCs w:val="20"/>
              </w:rPr>
              <w:t xml:space="preserve"> </w:t>
            </w:r>
          </w:p>
          <w:p w14:paraId="4040B2D9" w14:textId="7109B285" w:rsidR="0021423D" w:rsidRPr="00C96E53" w:rsidRDefault="00A070B5">
            <w:pPr>
              <w:spacing w:after="160"/>
              <w:rPr>
                <w:rFonts w:ascii="Arial" w:hAnsi="Arial" w:cs="Arial"/>
                <w:color w:val="000000"/>
                <w:sz w:val="20"/>
                <w:szCs w:val="20"/>
              </w:rPr>
            </w:pPr>
            <w:r>
              <w:rPr>
                <w:rFonts w:ascii="Arial" w:hAnsi="Arial"/>
                <w:color w:val="000000"/>
                <w:sz w:val="20"/>
                <w:szCs w:val="20"/>
              </w:rPr>
              <w:t>7/7J 24/24h</w:t>
            </w:r>
          </w:p>
          <w:p w14:paraId="0D19FA37" w14:textId="77777777" w:rsidR="0021423D" w:rsidRPr="000F3368" w:rsidRDefault="00A070B5">
            <w:pPr>
              <w:spacing w:after="160"/>
              <w:rPr>
                <w:rFonts w:ascii="Arial" w:hAnsi="Arial" w:cs="Arial"/>
                <w:color w:val="000000"/>
                <w:sz w:val="20"/>
                <w:szCs w:val="20"/>
              </w:rPr>
            </w:pPr>
            <w:r>
              <w:rPr>
                <w:rFonts w:ascii="Arial" w:hAnsi="Arial"/>
                <w:color w:val="000000"/>
                <w:sz w:val="20"/>
                <w:szCs w:val="20"/>
              </w:rPr>
              <w:t>+ 33 145662222</w:t>
            </w:r>
          </w:p>
          <w:p w14:paraId="38A0B91E" w14:textId="77777777" w:rsidR="0021423D" w:rsidRPr="000F3368" w:rsidRDefault="00A070B5">
            <w:pPr>
              <w:spacing w:after="160"/>
              <w:rPr>
                <w:rFonts w:ascii="Arial" w:hAnsi="Arial" w:cs="Arial"/>
                <w:color w:val="000000"/>
                <w:sz w:val="20"/>
                <w:szCs w:val="20"/>
              </w:rPr>
            </w:pPr>
            <w:r>
              <w:rPr>
                <w:rFonts w:ascii="Arial" w:hAnsi="Arial"/>
                <w:color w:val="000000"/>
                <w:sz w:val="20"/>
                <w:szCs w:val="20"/>
              </w:rPr>
              <w:t>Twitter: @MichelinNews</w:t>
            </w:r>
          </w:p>
          <w:p w14:paraId="08EA8307" w14:textId="77777777" w:rsidR="0021423D" w:rsidRPr="000F3368" w:rsidRDefault="0021423D">
            <w:pPr>
              <w:spacing w:line="240" w:lineRule="auto"/>
              <w:rPr>
                <w:rFonts w:ascii="Arial" w:eastAsia="Arial" w:hAnsi="Arial" w:cs="Arial"/>
                <w:color w:val="000000"/>
                <w:sz w:val="20"/>
                <w:szCs w:val="20"/>
                <w:lang w:val="fr-FR"/>
              </w:rPr>
            </w:pPr>
          </w:p>
          <w:tbl>
            <w:tblPr>
              <w:tblW w:w="0" w:type="auto"/>
              <w:tblLayout w:type="fixed"/>
              <w:tblCellMar>
                <w:left w:w="0" w:type="dxa"/>
                <w:right w:w="0" w:type="dxa"/>
              </w:tblCellMar>
              <w:tblLook w:val="04A0" w:firstRow="1" w:lastRow="0" w:firstColumn="1" w:lastColumn="0" w:noHBand="0" w:noVBand="1"/>
            </w:tblPr>
            <w:tblGrid>
              <w:gridCol w:w="2960"/>
            </w:tblGrid>
            <w:tr w:rsidR="0021423D" w:rsidRPr="00C96E53" w14:paraId="585038E7" w14:textId="77777777" w:rsidTr="00C62AEB">
              <w:trPr>
                <w:trHeight w:val="307"/>
              </w:trPr>
              <w:tc>
                <w:tcPr>
                  <w:tcW w:w="2960" w:type="dxa"/>
                  <w:tcMar>
                    <w:top w:w="0" w:type="dxa"/>
                    <w:left w:w="123" w:type="dxa"/>
                    <w:bottom w:w="0" w:type="dxa"/>
                    <w:right w:w="123" w:type="dxa"/>
                  </w:tcMar>
                  <w:hideMark/>
                </w:tcPr>
                <w:p w14:paraId="7E06DFB1" w14:textId="77777777" w:rsidR="00F45956" w:rsidRPr="00157731" w:rsidRDefault="00F45956" w:rsidP="00F45956">
                  <w:pPr>
                    <w:spacing w:line="240" w:lineRule="auto"/>
                    <w:rPr>
                      <w:rFonts w:ascii="Arial" w:eastAsia="Arial" w:hAnsi="Arial" w:cs="Arial"/>
                      <w:b/>
                      <w:bCs/>
                      <w:color w:val="000000"/>
                      <w:sz w:val="20"/>
                      <w:szCs w:val="20"/>
                      <w:lang w:val="en-US"/>
                    </w:rPr>
                  </w:pPr>
                  <w:r w:rsidRPr="00157731">
                    <w:rPr>
                      <w:rFonts w:ascii="Arial" w:hAnsi="Arial"/>
                      <w:b/>
                      <w:bCs/>
                      <w:color w:val="000000"/>
                      <w:sz w:val="20"/>
                      <w:szCs w:val="20"/>
                      <w:lang w:val="en-US"/>
                    </w:rPr>
                    <w:t>Guillaume JULLIENNE</w:t>
                  </w:r>
                </w:p>
                <w:p w14:paraId="68C08B4D" w14:textId="3F7AD630" w:rsidR="00F45956" w:rsidRPr="00157731" w:rsidRDefault="00F45956" w:rsidP="00F45956">
                  <w:pPr>
                    <w:spacing w:line="240" w:lineRule="auto"/>
                    <w:rPr>
                      <w:rFonts w:ascii="Arial" w:eastAsia="Arial" w:hAnsi="Arial" w:cs="Arial"/>
                      <w:color w:val="000000"/>
                      <w:sz w:val="20"/>
                      <w:szCs w:val="20"/>
                      <w:lang w:val="en-US"/>
                    </w:rPr>
                  </w:pPr>
                  <w:r w:rsidRPr="00157731">
                    <w:rPr>
                      <w:rFonts w:ascii="Arial" w:hAnsi="Arial"/>
                      <w:color w:val="000000"/>
                      <w:sz w:val="20"/>
                      <w:szCs w:val="20"/>
                      <w:lang w:val="en-US"/>
                    </w:rPr>
                    <w:t>Head of Investor Relations:</w:t>
                  </w:r>
                </w:p>
                <w:p w14:paraId="3DACE882" w14:textId="7E292857" w:rsidR="00F45956" w:rsidRPr="00C62AEB" w:rsidRDefault="00F45956" w:rsidP="00F45956">
                  <w:pPr>
                    <w:spacing w:line="240" w:lineRule="auto"/>
                    <w:rPr>
                      <w:rFonts w:ascii="Arial" w:hAnsi="Arial" w:cs="Arial"/>
                      <w:color w:val="000000"/>
                      <w:sz w:val="18"/>
                      <w:szCs w:val="18"/>
                    </w:rPr>
                  </w:pPr>
                  <w:r w:rsidRPr="00C62AEB">
                    <w:rPr>
                      <w:rFonts w:ascii="Arial" w:hAnsi="Arial"/>
                      <w:sz w:val="18"/>
                      <w:szCs w:val="18"/>
                    </w:rPr>
                    <w:t>guillaume.jullienne@michelin.com</w:t>
                  </w:r>
                  <w:r w:rsidRPr="00C62AEB">
                    <w:rPr>
                      <w:rFonts w:ascii="Arial" w:hAnsi="Arial"/>
                      <w:color w:val="000000"/>
                      <w:sz w:val="18"/>
                      <w:szCs w:val="18"/>
                    </w:rPr>
                    <w:t xml:space="preserve"> </w:t>
                  </w:r>
                </w:p>
                <w:p w14:paraId="27B14FD4" w14:textId="77777777" w:rsidR="0021423D" w:rsidRPr="00C96E53" w:rsidRDefault="00A070B5">
                  <w:pPr>
                    <w:spacing w:line="240" w:lineRule="auto"/>
                    <w:rPr>
                      <w:rFonts w:ascii="Arial" w:hAnsi="Arial" w:cs="Arial"/>
                      <w:color w:val="000000"/>
                      <w:sz w:val="20"/>
                      <w:szCs w:val="20"/>
                    </w:rPr>
                  </w:pPr>
                  <w:r>
                    <w:rPr>
                      <w:rFonts w:ascii="Arial" w:hAnsi="Arial"/>
                      <w:color w:val="000000"/>
                      <w:sz w:val="20"/>
                      <w:szCs w:val="20"/>
                    </w:rPr>
                    <w:t xml:space="preserve"> </w:t>
                  </w:r>
                </w:p>
              </w:tc>
            </w:tr>
          </w:tbl>
          <w:p w14:paraId="18A3DB4C" w14:textId="77777777" w:rsidR="0021423D" w:rsidRPr="00C96E53" w:rsidRDefault="0021423D">
            <w:pPr>
              <w:spacing w:after="160"/>
              <w:rPr>
                <w:rFonts w:ascii="Arial" w:eastAsia="Arial" w:hAnsi="Arial" w:cs="Arial"/>
                <w:color w:val="000000"/>
                <w:sz w:val="20"/>
                <w:szCs w:val="20"/>
              </w:rPr>
            </w:pPr>
          </w:p>
          <w:p w14:paraId="6120C33B" w14:textId="77777777" w:rsidR="0021423D" w:rsidRPr="00C96E53" w:rsidRDefault="0021423D">
            <w:pPr>
              <w:spacing w:after="160"/>
              <w:rPr>
                <w:rFonts w:ascii="Arial" w:eastAsia="Arial" w:hAnsi="Arial" w:cs="Arial"/>
                <w:color w:val="000000"/>
                <w:sz w:val="20"/>
                <w:szCs w:val="20"/>
              </w:rPr>
            </w:pPr>
          </w:p>
          <w:p w14:paraId="40EE995B" w14:textId="77777777" w:rsidR="0021423D" w:rsidRPr="00C96E53" w:rsidRDefault="0021423D">
            <w:pPr>
              <w:spacing w:after="160"/>
              <w:rPr>
                <w:rFonts w:ascii="Arial" w:eastAsia="Arial" w:hAnsi="Arial" w:cs="Arial"/>
                <w:b/>
                <w:bCs/>
                <w:i/>
                <w:iCs/>
                <w:color w:val="000000"/>
                <w:sz w:val="20"/>
                <w:szCs w:val="20"/>
              </w:rPr>
            </w:pPr>
          </w:p>
        </w:tc>
        <w:tc>
          <w:tcPr>
            <w:tcW w:w="3264" w:type="dxa"/>
            <w:tcBorders>
              <w:left w:val="nil"/>
            </w:tcBorders>
            <w:tcMar>
              <w:top w:w="0" w:type="dxa"/>
              <w:left w:w="108" w:type="dxa"/>
              <w:bottom w:w="0" w:type="dxa"/>
              <w:right w:w="123" w:type="dxa"/>
            </w:tcMar>
            <w:hideMark/>
          </w:tcPr>
          <w:p w14:paraId="1C7E199E" w14:textId="77777777" w:rsidR="0021423D" w:rsidRPr="00CF074D" w:rsidRDefault="00A070B5">
            <w:pPr>
              <w:spacing w:after="160"/>
              <w:jc w:val="center"/>
              <w:rPr>
                <w:rFonts w:ascii="Arial" w:hAnsi="Arial" w:cs="Arial"/>
                <w:color w:val="000000"/>
                <w:sz w:val="20"/>
                <w:szCs w:val="20"/>
                <w:lang w:val="fr-FR"/>
              </w:rPr>
            </w:pPr>
            <w:r w:rsidRPr="00CF074D">
              <w:rPr>
                <w:rFonts w:ascii="Arial" w:hAnsi="Arial"/>
                <w:b/>
                <w:bCs/>
                <w:color w:val="000000"/>
                <w:sz w:val="20"/>
                <w:szCs w:val="20"/>
                <w:lang w:val="fr-FR"/>
              </w:rPr>
              <w:t>FORVIA</w:t>
            </w:r>
          </w:p>
          <w:p w14:paraId="2CA988E8" w14:textId="77777777" w:rsidR="0021423D" w:rsidRPr="00CF074D" w:rsidRDefault="00A070B5">
            <w:pPr>
              <w:spacing w:line="204" w:lineRule="auto"/>
              <w:ind w:left="140" w:right="198"/>
              <w:rPr>
                <w:rFonts w:ascii="Arial" w:hAnsi="Arial" w:cs="Arial"/>
                <w:color w:val="000000"/>
                <w:sz w:val="20"/>
                <w:szCs w:val="20"/>
                <w:lang w:val="fr-FR"/>
              </w:rPr>
            </w:pPr>
            <w:r w:rsidRPr="00CF074D">
              <w:rPr>
                <w:rFonts w:ascii="Arial" w:hAnsi="Arial"/>
                <w:b/>
                <w:bCs/>
                <w:color w:val="000000"/>
                <w:sz w:val="20"/>
                <w:szCs w:val="20"/>
                <w:lang w:val="fr-FR"/>
              </w:rPr>
              <w:t>Faurecia</w:t>
            </w:r>
          </w:p>
          <w:p w14:paraId="7EF60332" w14:textId="77777777" w:rsidR="0021423D" w:rsidRPr="00CF074D" w:rsidRDefault="00A070B5">
            <w:pPr>
              <w:spacing w:line="204" w:lineRule="auto"/>
              <w:ind w:left="140" w:right="198"/>
              <w:rPr>
                <w:rFonts w:ascii="Arial" w:hAnsi="Arial" w:cs="Arial"/>
                <w:color w:val="000000"/>
                <w:sz w:val="20"/>
                <w:szCs w:val="20"/>
                <w:lang w:val="fr-FR"/>
              </w:rPr>
            </w:pPr>
            <w:r w:rsidRPr="00CF074D">
              <w:rPr>
                <w:rFonts w:ascii="Arial" w:hAnsi="Arial"/>
                <w:b/>
                <w:bCs/>
                <w:color w:val="000000"/>
                <w:sz w:val="20"/>
                <w:szCs w:val="20"/>
                <w:lang w:val="fr-FR"/>
              </w:rPr>
              <w:t>Christophe MALBRANQUE</w:t>
            </w:r>
          </w:p>
          <w:p w14:paraId="3EE589FA" w14:textId="77777777" w:rsidR="0021423D" w:rsidRPr="00CF074D" w:rsidRDefault="00A070B5">
            <w:pPr>
              <w:spacing w:line="204" w:lineRule="auto"/>
              <w:ind w:left="140" w:right="198"/>
              <w:rPr>
                <w:rFonts w:ascii="Arial" w:hAnsi="Arial" w:cs="Arial"/>
                <w:color w:val="000000"/>
                <w:sz w:val="20"/>
                <w:szCs w:val="20"/>
                <w:lang w:val="fr-FR"/>
              </w:rPr>
            </w:pPr>
            <w:r w:rsidRPr="00CF074D">
              <w:rPr>
                <w:rFonts w:ascii="Arial" w:hAnsi="Arial"/>
                <w:color w:val="000000"/>
                <w:sz w:val="20"/>
                <w:szCs w:val="20"/>
                <w:lang w:val="fr-FR"/>
              </w:rPr>
              <w:t>Responsable Relations Presse</w:t>
            </w:r>
          </w:p>
          <w:p w14:paraId="06EB1C8E" w14:textId="77777777" w:rsidR="0021423D" w:rsidRPr="00CF074D" w:rsidRDefault="00A070B5">
            <w:pPr>
              <w:spacing w:line="204" w:lineRule="auto"/>
              <w:ind w:left="140" w:right="198"/>
              <w:rPr>
                <w:rFonts w:ascii="Arial" w:hAnsi="Arial" w:cs="Arial"/>
                <w:color w:val="000000"/>
                <w:sz w:val="20"/>
                <w:szCs w:val="20"/>
                <w:lang w:val="fr-FR"/>
              </w:rPr>
            </w:pPr>
            <w:r w:rsidRPr="00CF074D">
              <w:rPr>
                <w:rFonts w:ascii="Arial" w:hAnsi="Arial"/>
                <w:color w:val="000000"/>
                <w:sz w:val="20"/>
                <w:szCs w:val="20"/>
                <w:lang w:val="fr-FR"/>
              </w:rPr>
              <w:t>+33 (0) 6 21 96 23 53</w:t>
            </w:r>
          </w:p>
          <w:p w14:paraId="04B33A2C" w14:textId="1B539291" w:rsidR="0021423D" w:rsidRPr="00CF074D" w:rsidRDefault="009C4202">
            <w:pPr>
              <w:ind w:left="161"/>
              <w:rPr>
                <w:rFonts w:ascii="Arial" w:hAnsi="Arial" w:cs="Arial"/>
                <w:color w:val="000000"/>
                <w:sz w:val="20"/>
                <w:szCs w:val="20"/>
                <w:lang w:val="fr-FR"/>
              </w:rPr>
            </w:pPr>
            <w:hyperlink r:id="rId12" w:history="1">
              <w:r w:rsidR="00864187" w:rsidRPr="00CF074D">
                <w:rPr>
                  <w:rFonts w:ascii="Arial" w:hAnsi="Arial"/>
                  <w:color w:val="000000"/>
                  <w:sz w:val="20"/>
                  <w:szCs w:val="20"/>
                  <w:u w:val="single" w:color="000000"/>
                  <w:lang w:val="fr-FR"/>
                </w:rPr>
                <w:t>christophe.malbranque@forvia.com</w:t>
              </w:r>
            </w:hyperlink>
          </w:p>
          <w:p w14:paraId="6ACB6181" w14:textId="77777777" w:rsidR="0021423D" w:rsidRPr="00CF074D" w:rsidRDefault="00A070B5">
            <w:pPr>
              <w:rPr>
                <w:rFonts w:ascii="Arial" w:hAnsi="Arial" w:cs="Arial"/>
                <w:color w:val="000000"/>
                <w:sz w:val="20"/>
                <w:szCs w:val="20"/>
                <w:lang w:val="fr-FR"/>
              </w:rPr>
            </w:pPr>
            <w:r w:rsidRPr="00CF074D">
              <w:rPr>
                <w:rFonts w:ascii="Arial" w:hAnsi="Arial"/>
                <w:color w:val="000000"/>
                <w:sz w:val="20"/>
                <w:szCs w:val="20"/>
                <w:lang w:val="fr-FR"/>
              </w:rPr>
              <w:t> </w:t>
            </w:r>
          </w:p>
          <w:p w14:paraId="1768828F" w14:textId="77777777" w:rsidR="0021423D" w:rsidRPr="00CF074D" w:rsidRDefault="00A070B5">
            <w:pPr>
              <w:spacing w:line="204" w:lineRule="auto"/>
              <w:ind w:left="140" w:right="198"/>
              <w:rPr>
                <w:rFonts w:ascii="Arial" w:hAnsi="Arial" w:cs="Arial"/>
                <w:color w:val="000000"/>
                <w:sz w:val="20"/>
                <w:szCs w:val="20"/>
                <w:lang w:val="fr-FR"/>
              </w:rPr>
            </w:pPr>
            <w:r w:rsidRPr="00CF074D">
              <w:rPr>
                <w:rFonts w:ascii="Arial" w:hAnsi="Arial"/>
                <w:b/>
                <w:bCs/>
                <w:color w:val="000000"/>
                <w:sz w:val="20"/>
                <w:szCs w:val="20"/>
                <w:lang w:val="fr-FR"/>
              </w:rPr>
              <w:t>Faurecia</w:t>
            </w:r>
          </w:p>
          <w:p w14:paraId="1F65629F" w14:textId="77777777" w:rsidR="0021423D" w:rsidRPr="00CF074D" w:rsidRDefault="00A070B5">
            <w:pPr>
              <w:spacing w:line="204" w:lineRule="auto"/>
              <w:ind w:left="140" w:right="198"/>
              <w:rPr>
                <w:rFonts w:ascii="Arial" w:hAnsi="Arial" w:cs="Arial"/>
                <w:color w:val="000000"/>
                <w:sz w:val="20"/>
                <w:szCs w:val="20"/>
                <w:lang w:val="fr-FR"/>
              </w:rPr>
            </w:pPr>
            <w:r w:rsidRPr="00CF074D">
              <w:rPr>
                <w:rFonts w:ascii="Arial" w:hAnsi="Arial"/>
                <w:b/>
                <w:bCs/>
                <w:color w:val="000000"/>
                <w:sz w:val="20"/>
                <w:szCs w:val="20"/>
                <w:lang w:val="fr-FR"/>
              </w:rPr>
              <w:t>Marc MAILLET</w:t>
            </w:r>
          </w:p>
          <w:p w14:paraId="0F8529DC" w14:textId="77777777" w:rsidR="0021423D" w:rsidRPr="00CF074D" w:rsidRDefault="00A070B5">
            <w:pPr>
              <w:spacing w:line="204" w:lineRule="auto"/>
              <w:ind w:left="140" w:right="198"/>
              <w:rPr>
                <w:rFonts w:ascii="Arial" w:hAnsi="Arial" w:cs="Arial"/>
                <w:color w:val="000000"/>
                <w:sz w:val="20"/>
                <w:szCs w:val="20"/>
                <w:lang w:val="fr-FR"/>
              </w:rPr>
            </w:pPr>
            <w:r w:rsidRPr="00CF074D">
              <w:rPr>
                <w:rFonts w:ascii="Arial" w:hAnsi="Arial"/>
                <w:color w:val="000000"/>
                <w:sz w:val="20"/>
                <w:szCs w:val="20"/>
                <w:lang w:val="fr-FR"/>
              </w:rPr>
              <w:t>Directeur des Relations Investisseurs</w:t>
            </w:r>
          </w:p>
          <w:p w14:paraId="02A383F7" w14:textId="77777777" w:rsidR="0021423D" w:rsidRPr="00CF074D" w:rsidRDefault="00A070B5">
            <w:pPr>
              <w:spacing w:line="204" w:lineRule="auto"/>
              <w:ind w:left="140" w:right="198"/>
              <w:rPr>
                <w:rFonts w:ascii="Arial" w:hAnsi="Arial" w:cs="Arial"/>
                <w:color w:val="000000"/>
                <w:sz w:val="20"/>
                <w:szCs w:val="20"/>
                <w:lang w:val="fr-FR"/>
              </w:rPr>
            </w:pPr>
            <w:r w:rsidRPr="00CF074D">
              <w:rPr>
                <w:rFonts w:ascii="Arial" w:hAnsi="Arial"/>
                <w:color w:val="000000"/>
                <w:sz w:val="20"/>
                <w:szCs w:val="20"/>
                <w:lang w:val="fr-FR"/>
              </w:rPr>
              <w:t>+33 (0) 1 72 36 75 70</w:t>
            </w:r>
          </w:p>
          <w:p w14:paraId="560A4032" w14:textId="77777777" w:rsidR="0021423D" w:rsidRPr="00CF074D" w:rsidRDefault="009C4202">
            <w:pPr>
              <w:spacing w:line="240" w:lineRule="atLeast"/>
              <w:ind w:left="140"/>
              <w:rPr>
                <w:rFonts w:ascii="Arial" w:hAnsi="Arial" w:cs="Arial"/>
                <w:color w:val="000000"/>
                <w:sz w:val="20"/>
                <w:szCs w:val="20"/>
                <w:lang w:val="fr-FR"/>
              </w:rPr>
            </w:pPr>
            <w:hyperlink r:id="rId13" w:history="1">
              <w:r w:rsidR="00864187" w:rsidRPr="00CF074D">
                <w:rPr>
                  <w:rFonts w:ascii="Arial" w:hAnsi="Arial"/>
                  <w:color w:val="000000"/>
                  <w:sz w:val="20"/>
                  <w:szCs w:val="20"/>
                  <w:u w:val="single" w:color="000000"/>
                  <w:lang w:val="fr-FR"/>
                </w:rPr>
                <w:t>marc.maillet@forvia.com</w:t>
              </w:r>
            </w:hyperlink>
          </w:p>
          <w:p w14:paraId="624D911C" w14:textId="5A619F6E" w:rsidR="0021423D" w:rsidRPr="00CF074D" w:rsidRDefault="00A070B5">
            <w:pPr>
              <w:rPr>
                <w:rFonts w:ascii="Arial" w:eastAsia="Arial" w:hAnsi="Arial" w:cs="Arial"/>
                <w:color w:val="000000"/>
                <w:sz w:val="20"/>
                <w:szCs w:val="20"/>
                <w:lang w:val="fr-FR"/>
              </w:rPr>
            </w:pPr>
            <w:r w:rsidRPr="00CF074D">
              <w:rPr>
                <w:rFonts w:ascii="Arial" w:hAnsi="Arial"/>
                <w:color w:val="000000"/>
                <w:sz w:val="20"/>
                <w:szCs w:val="20"/>
                <w:lang w:val="fr-FR"/>
              </w:rPr>
              <w:t> </w:t>
            </w:r>
          </w:p>
          <w:p w14:paraId="4B99687B" w14:textId="77777777" w:rsidR="00A66A3E" w:rsidRPr="00CF074D" w:rsidRDefault="00A66A3E" w:rsidP="00A66A3E">
            <w:pPr>
              <w:spacing w:line="240" w:lineRule="atLeast"/>
              <w:ind w:left="140"/>
              <w:rPr>
                <w:rFonts w:ascii="Arial" w:eastAsia="Arial" w:hAnsi="Arial" w:cs="Arial"/>
                <w:b/>
                <w:bCs/>
                <w:color w:val="000000"/>
                <w:spacing w:val="-2"/>
                <w:sz w:val="20"/>
                <w:szCs w:val="20"/>
                <w:lang w:val="fr-FR"/>
              </w:rPr>
            </w:pPr>
            <w:r w:rsidRPr="00CF074D">
              <w:rPr>
                <w:rFonts w:ascii="Arial" w:hAnsi="Arial"/>
                <w:b/>
                <w:bCs/>
                <w:color w:val="000000"/>
                <w:sz w:val="20"/>
                <w:szCs w:val="20"/>
                <w:lang w:val="fr-FR"/>
              </w:rPr>
              <w:t>Sébastien LEROY</w:t>
            </w:r>
          </w:p>
          <w:p w14:paraId="574A1504" w14:textId="77777777" w:rsidR="00A66A3E" w:rsidRPr="00CF074D" w:rsidRDefault="00A66A3E" w:rsidP="00A66A3E">
            <w:pPr>
              <w:spacing w:line="240" w:lineRule="atLeast"/>
              <w:ind w:left="140"/>
              <w:rPr>
                <w:rFonts w:ascii="Arial" w:hAnsi="Arial" w:cs="Arial"/>
                <w:color w:val="000000"/>
                <w:sz w:val="20"/>
                <w:szCs w:val="20"/>
                <w:lang w:val="fr-FR"/>
              </w:rPr>
            </w:pPr>
            <w:r w:rsidRPr="00CF074D">
              <w:rPr>
                <w:rFonts w:ascii="Arial" w:hAnsi="Arial"/>
                <w:color w:val="000000"/>
                <w:sz w:val="20"/>
                <w:szCs w:val="20"/>
                <w:lang w:val="fr-FR"/>
              </w:rPr>
              <w:t>Directeur adjoint des Relations Investisseurs</w:t>
            </w:r>
          </w:p>
          <w:p w14:paraId="50152E97" w14:textId="77777777" w:rsidR="00A66A3E" w:rsidRPr="00157731" w:rsidRDefault="00A66A3E" w:rsidP="00A66A3E">
            <w:pPr>
              <w:spacing w:line="240" w:lineRule="atLeast"/>
              <w:ind w:left="140"/>
              <w:rPr>
                <w:rFonts w:ascii="Arial" w:hAnsi="Arial" w:cs="Arial"/>
                <w:color w:val="000000"/>
                <w:sz w:val="20"/>
                <w:szCs w:val="20"/>
                <w:lang w:val="en-US"/>
              </w:rPr>
            </w:pPr>
            <w:r w:rsidRPr="00157731">
              <w:rPr>
                <w:rFonts w:ascii="Arial" w:hAnsi="Arial"/>
                <w:color w:val="000000"/>
                <w:sz w:val="20"/>
                <w:szCs w:val="20"/>
                <w:lang w:val="en-US"/>
              </w:rPr>
              <w:t>sebastien.leroy@forvia.com</w:t>
            </w:r>
          </w:p>
          <w:p w14:paraId="6E2E2ED4" w14:textId="77777777" w:rsidR="00A66A3E" w:rsidRPr="00C96E53" w:rsidRDefault="00A66A3E">
            <w:pPr>
              <w:rPr>
                <w:rFonts w:ascii="Arial" w:hAnsi="Arial" w:cs="Arial"/>
                <w:color w:val="000000"/>
                <w:sz w:val="20"/>
                <w:szCs w:val="20"/>
                <w:lang w:val="fr-FR"/>
              </w:rPr>
            </w:pPr>
          </w:p>
          <w:p w14:paraId="54C4D2EF" w14:textId="77777777" w:rsidR="0021423D" w:rsidRPr="00C96E53" w:rsidRDefault="0021423D">
            <w:pPr>
              <w:spacing w:after="160"/>
              <w:rPr>
                <w:rFonts w:ascii="Arial" w:eastAsia="Arial" w:hAnsi="Arial" w:cs="Arial"/>
                <w:b/>
                <w:bCs/>
                <w:color w:val="000000"/>
                <w:sz w:val="20"/>
                <w:szCs w:val="20"/>
                <w:lang w:val="fr-FR"/>
              </w:rPr>
            </w:pPr>
          </w:p>
        </w:tc>
      </w:tr>
    </w:tbl>
    <w:p w14:paraId="02BDC5EE" w14:textId="77777777" w:rsidR="00A070B5" w:rsidRPr="00F45956" w:rsidRDefault="00A070B5">
      <w:pPr>
        <w:spacing w:line="240" w:lineRule="auto"/>
        <w:jc w:val="both"/>
        <w:rPr>
          <w:rFonts w:ascii="Arial" w:eastAsia="Arial" w:hAnsi="Arial" w:cs="Arial"/>
          <w:b/>
          <w:bCs/>
          <w:sz w:val="18"/>
          <w:szCs w:val="18"/>
          <w:lang w:val="fr-FR"/>
        </w:rPr>
      </w:pPr>
    </w:p>
    <w:p w14:paraId="66155DF4" w14:textId="77777777" w:rsidR="00A070B5" w:rsidRPr="00F45956" w:rsidRDefault="00A070B5">
      <w:pPr>
        <w:spacing w:line="240" w:lineRule="auto"/>
        <w:jc w:val="both"/>
        <w:rPr>
          <w:rFonts w:ascii="Arial" w:eastAsia="Arial" w:hAnsi="Arial" w:cs="Arial"/>
          <w:b/>
          <w:bCs/>
          <w:sz w:val="18"/>
          <w:szCs w:val="18"/>
          <w:lang w:val="fr-FR"/>
        </w:rPr>
      </w:pPr>
    </w:p>
    <w:p w14:paraId="4F820DFA" w14:textId="77777777" w:rsidR="00E07A99" w:rsidRPr="00157731" w:rsidRDefault="00E07A99">
      <w:pPr>
        <w:spacing w:line="240" w:lineRule="auto"/>
        <w:rPr>
          <w:rFonts w:ascii="Arial" w:eastAsia="Arial" w:hAnsi="Arial" w:cs="Arial"/>
          <w:b/>
          <w:bCs/>
          <w:sz w:val="18"/>
          <w:szCs w:val="18"/>
          <w:lang w:val="en-US"/>
        </w:rPr>
      </w:pPr>
      <w:r w:rsidRPr="00157731">
        <w:rPr>
          <w:lang w:val="en-US"/>
        </w:rPr>
        <w:br w:type="page"/>
      </w:r>
    </w:p>
    <w:p w14:paraId="68B34953" w14:textId="77777777" w:rsidR="00CF074D" w:rsidRDefault="00CF074D" w:rsidP="00EE18C0">
      <w:pPr>
        <w:spacing w:line="240" w:lineRule="auto"/>
        <w:jc w:val="both"/>
        <w:rPr>
          <w:rFonts w:ascii="Arial" w:hAnsi="Arial"/>
          <w:b/>
          <w:bCs/>
          <w:sz w:val="18"/>
          <w:szCs w:val="18"/>
        </w:rPr>
      </w:pPr>
    </w:p>
    <w:p w14:paraId="1B003C76" w14:textId="4FF442CB" w:rsidR="00EE18C0" w:rsidRPr="00EE18C0" w:rsidRDefault="00EE18C0" w:rsidP="00EE18C0">
      <w:pPr>
        <w:spacing w:line="240" w:lineRule="auto"/>
        <w:jc w:val="both"/>
        <w:rPr>
          <w:rFonts w:ascii="Arial" w:eastAsia="Arial" w:hAnsi="Arial" w:cs="Arial"/>
          <w:b/>
          <w:bCs/>
          <w:sz w:val="18"/>
          <w:szCs w:val="18"/>
        </w:rPr>
      </w:pPr>
      <w:r>
        <w:rPr>
          <w:rFonts w:ascii="Arial" w:hAnsi="Arial"/>
          <w:b/>
          <w:bCs/>
          <w:sz w:val="18"/>
          <w:szCs w:val="18"/>
        </w:rPr>
        <w:t>DICHIARAZIONI PREVISIONALI STELLANTIS</w:t>
      </w:r>
    </w:p>
    <w:p w14:paraId="731C4CC3" w14:textId="126A6B89" w:rsidR="00EE18C0" w:rsidRPr="000F3368" w:rsidRDefault="00EE18C0" w:rsidP="00EE18C0">
      <w:pPr>
        <w:spacing w:line="240" w:lineRule="auto"/>
        <w:jc w:val="both"/>
        <w:rPr>
          <w:rFonts w:ascii="Arial" w:eastAsia="Arial" w:hAnsi="Arial" w:cs="Arial"/>
          <w:sz w:val="18"/>
          <w:szCs w:val="18"/>
        </w:rPr>
      </w:pPr>
      <w:r>
        <w:rPr>
          <w:rFonts w:ascii="Arial" w:hAnsi="Arial"/>
          <w:sz w:val="18"/>
          <w:szCs w:val="18"/>
        </w:rPr>
        <w:t>La presente comunicazione contiene dichiarazioni previsionali. In particolare, sono dichiarazioni previsionali le dichiarazioni riguardanti eventi futuri e risultati previsti delle operazioni, strategie aziendali, previsione dei benefici ottenuti dalla transazione proposta, risultati finanziari e operativi futuri, data di chiusura prevista per la transazione proposta e gli altri aspetti previsti relativamente alle nostre operazioni o ai nostri risultati operativi.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costituiscono garanzia di prestazioni future. Piuttosto, si basano sullo stato attuale delle conoscenze di Stellantis, su aspettative future e proiezioni di eventi futuri e sono, per loro natura, soggette a rischi e incertezze intrinseche. Si riferiscono a eventi e dipendono da circostanze che possono o non possono verificarsi o esistere in futuro. Pertanto, che non dovrebbero essere oggetto di eccessivo affidamento.</w:t>
      </w:r>
    </w:p>
    <w:p w14:paraId="17AC2124" w14:textId="77777777" w:rsidR="00EE18C0" w:rsidRPr="000F3368" w:rsidRDefault="00EE18C0" w:rsidP="00EE18C0">
      <w:pPr>
        <w:spacing w:line="240" w:lineRule="auto"/>
        <w:jc w:val="both"/>
        <w:rPr>
          <w:rFonts w:ascii="Arial" w:eastAsia="Arial" w:hAnsi="Arial" w:cs="Arial"/>
          <w:sz w:val="18"/>
          <w:szCs w:val="18"/>
        </w:rPr>
      </w:pPr>
    </w:p>
    <w:p w14:paraId="1FB9C323" w14:textId="1FD6F065" w:rsidR="00EE18C0" w:rsidRPr="000F3368" w:rsidRDefault="00EE18C0" w:rsidP="00EE18C0">
      <w:pPr>
        <w:spacing w:line="240" w:lineRule="auto"/>
        <w:jc w:val="both"/>
        <w:rPr>
          <w:rFonts w:ascii="Arial" w:eastAsia="Arial" w:hAnsi="Arial" w:cs="Arial"/>
          <w:sz w:val="18"/>
          <w:szCs w:val="18"/>
        </w:rPr>
      </w:pPr>
      <w:r>
        <w:rPr>
          <w:rFonts w:ascii="Arial" w:hAnsi="Arial"/>
          <w:sz w:val="18"/>
          <w:szCs w:val="18"/>
        </w:rPr>
        <w:t>I risultati effettivi potrebbero differire materialmente da quelli espressi nelle dichiarazioni previsionali quale risultato di una molteplicità di fattori, inclusi: impatto della pandemia da COVID-19, capacità di Stellantis di lanciare nuovi prodotti con successo e di mantenere i volumi di consegna dei veicoli; cambiamenti nei mercati finanziari globali nel contesto economico generale e modifiche nella domanda di prodotti automobilistici, soggetta a ciclicità; cambiamenti delle condizioni economiche e politiche locali, cambiamenti delle politiche commerciali e imposizione di dazi a livello globale e regionale o dazi mirati all’industria automobilistica, 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elevato livello di concorrenza nel settore automobilistico, che potrebbe aumentare a causa di consolidamenti; potenziale carenza nel finanziamento dei piani pensionistici di Stellantis; capacità di fornire o organizzare l’accesso a finanziamenti adeguati per i concessionari e i clienti finali e i rischi associati alla costituzione e alle operazioni di società di servizi finanziari; capacità di accedere a finanziamenti per realizzare i piani industriali di Stellantis e migliorare le attività, la situazione finanziaria e i risultati operativi; significativo malfunzionamento, interruzione o violazione della sicurezza che possa compromettere i sistemi di information technology o i sistemi di controllo elettronico contenuti nei veicoli di Stellantis; capacità di Stellantis di realizzare i benefici previsti dagli accordi di joint venture; interruzioni dovute a instabilità politica, sociale ed economica;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rischi e altri elementi descritti nella Relazione annuale dell’Azienda sul Modulo 20-F per l’anno conclusosi il 31 dicembre 2022 e nelle Relazioni correnti sul Modulo 6-K e relative modifiche depositate presso la SEC; e altri rischi e incertezze.</w:t>
      </w:r>
    </w:p>
    <w:p w14:paraId="291794A6" w14:textId="77777777" w:rsidR="00EE18C0" w:rsidRPr="000F3368" w:rsidRDefault="00EE18C0" w:rsidP="00EE18C0">
      <w:pPr>
        <w:spacing w:line="240" w:lineRule="auto"/>
        <w:jc w:val="both"/>
        <w:rPr>
          <w:rFonts w:ascii="Arial" w:eastAsia="Arial" w:hAnsi="Arial" w:cs="Arial"/>
          <w:sz w:val="18"/>
          <w:szCs w:val="18"/>
        </w:rPr>
      </w:pPr>
    </w:p>
    <w:p w14:paraId="347FD794" w14:textId="77777777" w:rsidR="00EE18C0" w:rsidRPr="000F3368" w:rsidRDefault="00EE18C0" w:rsidP="00EE18C0">
      <w:pPr>
        <w:spacing w:line="240" w:lineRule="auto"/>
        <w:jc w:val="both"/>
        <w:rPr>
          <w:rFonts w:ascii="Arial" w:eastAsia="Arial" w:hAnsi="Arial" w:cs="Arial"/>
          <w:sz w:val="18"/>
          <w:szCs w:val="18"/>
        </w:rPr>
      </w:pPr>
      <w:r>
        <w:rPr>
          <w:rFonts w:ascii="Arial" w:hAnsi="Arial"/>
          <w:sz w:val="18"/>
          <w:szCs w:val="18"/>
        </w:rPr>
        <w:t xml:space="preserve"> 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p w14:paraId="57223210" w14:textId="77777777" w:rsidR="0021423D" w:rsidRDefault="0021423D">
      <w:pPr>
        <w:rPr>
          <w:rFonts w:ascii="Arial" w:eastAsia="Arial" w:hAnsi="Arial" w:cs="Arial"/>
          <w:b/>
          <w:bCs/>
          <w:color w:val="373737"/>
        </w:rPr>
      </w:pPr>
    </w:p>
    <w:p w14:paraId="55E76B73" w14:textId="77777777" w:rsidR="0021423D" w:rsidRDefault="0021423D">
      <w:pPr>
        <w:spacing w:after="160"/>
        <w:jc w:val="center"/>
      </w:pPr>
    </w:p>
    <w:sectPr w:rsidR="0021423D" w:rsidSect="00A070B5">
      <w:headerReference w:type="default" r:id="rId14"/>
      <w:pgSz w:w="12240" w:h="15840"/>
      <w:pgMar w:top="1440" w:right="1440" w:bottom="113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83E7" w14:textId="77777777" w:rsidR="00C54686" w:rsidRDefault="00C54686">
      <w:pPr>
        <w:spacing w:line="240" w:lineRule="auto"/>
      </w:pPr>
      <w:r>
        <w:separator/>
      </w:r>
    </w:p>
  </w:endnote>
  <w:endnote w:type="continuationSeparator" w:id="0">
    <w:p w14:paraId="711A8B46" w14:textId="77777777" w:rsidR="00C54686" w:rsidRDefault="00C54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73A4" w14:textId="77777777" w:rsidR="00C54686" w:rsidRDefault="00C54686">
      <w:pPr>
        <w:spacing w:line="240" w:lineRule="auto"/>
      </w:pPr>
      <w:r>
        <w:separator/>
      </w:r>
    </w:p>
  </w:footnote>
  <w:footnote w:type="continuationSeparator" w:id="0">
    <w:p w14:paraId="7CAD7813" w14:textId="77777777" w:rsidR="00C54686" w:rsidRDefault="00C54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3EB4" w14:textId="630BC45A" w:rsidR="0021423D" w:rsidRDefault="00A070B5">
    <w:pPr>
      <w:spacing w:line="240" w:lineRule="auto"/>
      <w:jc w:val="center"/>
    </w:pPr>
    <w:r>
      <w:t xml:space="preserve">   </w:t>
    </w:r>
    <w:r>
      <w:rPr>
        <w:noProof/>
        <w:lang w:val="en-US"/>
      </w:rPr>
      <w:drawing>
        <wp:inline distT="0" distB="0" distL="0" distR="0" wp14:anchorId="291D6C2D" wp14:editId="68CBD529">
          <wp:extent cx="1695450" cy="6562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247" cy="661990"/>
                  </a:xfrm>
                  <a:prstGeom prst="rect">
                    <a:avLst/>
                  </a:prstGeom>
                  <a:noFill/>
                  <a:ln>
                    <a:noFill/>
                  </a:ln>
                </pic:spPr>
              </pic:pic>
            </a:graphicData>
          </a:graphic>
        </wp:inline>
      </w:drawing>
    </w:r>
    <w:r>
      <w:t xml:space="preserve">          </w:t>
    </w:r>
    <w:r>
      <w:rPr>
        <w:noProof/>
        <w:lang w:val="en-US"/>
      </w:rPr>
      <w:drawing>
        <wp:inline distT="0" distB="0" distL="0" distR="0" wp14:anchorId="3D650F5E" wp14:editId="42CB564D">
          <wp:extent cx="1422400" cy="7484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48430"/>
                  </a:xfrm>
                  <a:prstGeom prst="rect">
                    <a:avLst/>
                  </a:prstGeom>
                  <a:noFill/>
                  <a:ln>
                    <a:noFill/>
                  </a:ln>
                </pic:spPr>
              </pic:pic>
            </a:graphicData>
          </a:graphic>
        </wp:inline>
      </w:drawing>
    </w:r>
    <w:r>
      <w:rPr>
        <w:rFonts w:ascii="Arial" w:hAnsi="Arial"/>
        <w:b/>
        <w:bCs/>
        <w:color w:val="1B365E"/>
        <w:sz w:val="20"/>
        <w:szCs w:val="20"/>
      </w:rPr>
      <w:t xml:space="preserve">         </w:t>
    </w:r>
    <w:r>
      <w:rPr>
        <w:noProof/>
        <w:lang w:val="en-US"/>
      </w:rPr>
      <w:drawing>
        <wp:inline distT="0" distB="0" distL="0" distR="0" wp14:anchorId="6D41A7A5" wp14:editId="0AC96153">
          <wp:extent cx="1871631" cy="546100"/>
          <wp:effectExtent l="0" t="0" r="0" b="0"/>
          <wp:docPr id="9" name="Image 9" descr="Logo_Stellantis_Signature_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Stellantis_Signature_RGB-0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895588" cy="553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3D"/>
    <w:rsid w:val="00011867"/>
    <w:rsid w:val="00017479"/>
    <w:rsid w:val="00041ACB"/>
    <w:rsid w:val="0006575D"/>
    <w:rsid w:val="000C79CB"/>
    <w:rsid w:val="000F3368"/>
    <w:rsid w:val="0011680E"/>
    <w:rsid w:val="0012231D"/>
    <w:rsid w:val="001508DF"/>
    <w:rsid w:val="00150D09"/>
    <w:rsid w:val="00157731"/>
    <w:rsid w:val="001E4071"/>
    <w:rsid w:val="001E6641"/>
    <w:rsid w:val="001F4AD4"/>
    <w:rsid w:val="00211A5C"/>
    <w:rsid w:val="0021423D"/>
    <w:rsid w:val="002603D1"/>
    <w:rsid w:val="00275795"/>
    <w:rsid w:val="00305DD0"/>
    <w:rsid w:val="003B2539"/>
    <w:rsid w:val="00401E5C"/>
    <w:rsid w:val="00402099"/>
    <w:rsid w:val="0042540C"/>
    <w:rsid w:val="00427201"/>
    <w:rsid w:val="00435CAB"/>
    <w:rsid w:val="004444F0"/>
    <w:rsid w:val="004C7F7C"/>
    <w:rsid w:val="004D7DC2"/>
    <w:rsid w:val="00517E33"/>
    <w:rsid w:val="0052107D"/>
    <w:rsid w:val="0054727B"/>
    <w:rsid w:val="00573106"/>
    <w:rsid w:val="005C1403"/>
    <w:rsid w:val="00617774"/>
    <w:rsid w:val="00627D95"/>
    <w:rsid w:val="00642C29"/>
    <w:rsid w:val="0065669D"/>
    <w:rsid w:val="006612D8"/>
    <w:rsid w:val="00671702"/>
    <w:rsid w:val="006A3DF2"/>
    <w:rsid w:val="006D3B70"/>
    <w:rsid w:val="00706022"/>
    <w:rsid w:val="00733195"/>
    <w:rsid w:val="00794280"/>
    <w:rsid w:val="00803FA8"/>
    <w:rsid w:val="00864187"/>
    <w:rsid w:val="00882F55"/>
    <w:rsid w:val="008A1AC6"/>
    <w:rsid w:val="0096708B"/>
    <w:rsid w:val="00992D37"/>
    <w:rsid w:val="009C4202"/>
    <w:rsid w:val="009C76DB"/>
    <w:rsid w:val="009D1D6A"/>
    <w:rsid w:val="009F7576"/>
    <w:rsid w:val="00A070B5"/>
    <w:rsid w:val="00A1565D"/>
    <w:rsid w:val="00A51511"/>
    <w:rsid w:val="00A66A3E"/>
    <w:rsid w:val="00A910DF"/>
    <w:rsid w:val="00B257D7"/>
    <w:rsid w:val="00B4672D"/>
    <w:rsid w:val="00B736E3"/>
    <w:rsid w:val="00BA3430"/>
    <w:rsid w:val="00C205E2"/>
    <w:rsid w:val="00C318D0"/>
    <w:rsid w:val="00C54686"/>
    <w:rsid w:val="00C62AEB"/>
    <w:rsid w:val="00C96E53"/>
    <w:rsid w:val="00C97CC4"/>
    <w:rsid w:val="00CF074D"/>
    <w:rsid w:val="00D13DBD"/>
    <w:rsid w:val="00D35DF5"/>
    <w:rsid w:val="00D4704B"/>
    <w:rsid w:val="00D47D14"/>
    <w:rsid w:val="00E07A99"/>
    <w:rsid w:val="00E80CE2"/>
    <w:rsid w:val="00EE18C0"/>
    <w:rsid w:val="00F20199"/>
    <w:rsid w:val="00F45956"/>
    <w:rsid w:val="00F462DC"/>
    <w:rsid w:val="00FC70A9"/>
    <w:rsid w:val="00FF6A8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CA91C"/>
  <w15:docId w15:val="{5EAB6441-FF35-4C39-9660-5390B8F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A070B5"/>
    <w:pPr>
      <w:tabs>
        <w:tab w:val="center" w:pos="4536"/>
        <w:tab w:val="right" w:pos="9072"/>
      </w:tabs>
      <w:spacing w:line="240" w:lineRule="auto"/>
    </w:pPr>
  </w:style>
  <w:style w:type="character" w:customStyle="1" w:styleId="HeaderChar">
    <w:name w:val="Header Char"/>
    <w:basedOn w:val="DefaultParagraphFont"/>
    <w:link w:val="Header"/>
    <w:uiPriority w:val="99"/>
    <w:rsid w:val="00A070B5"/>
    <w:rPr>
      <w:rFonts w:ascii="Calibri" w:eastAsia="Calibri" w:hAnsi="Calibri" w:cs="Calibri"/>
      <w:sz w:val="22"/>
      <w:szCs w:val="22"/>
    </w:rPr>
  </w:style>
  <w:style w:type="paragraph" w:styleId="Footer">
    <w:name w:val="footer"/>
    <w:basedOn w:val="Normal"/>
    <w:link w:val="FooterChar"/>
    <w:uiPriority w:val="99"/>
    <w:unhideWhenUsed/>
    <w:rsid w:val="00A070B5"/>
    <w:pPr>
      <w:tabs>
        <w:tab w:val="center" w:pos="4536"/>
        <w:tab w:val="right" w:pos="9072"/>
      </w:tabs>
      <w:spacing w:line="240" w:lineRule="auto"/>
    </w:pPr>
  </w:style>
  <w:style w:type="character" w:customStyle="1" w:styleId="FooterChar">
    <w:name w:val="Footer Char"/>
    <w:basedOn w:val="DefaultParagraphFont"/>
    <w:link w:val="Footer"/>
    <w:uiPriority w:val="99"/>
    <w:rsid w:val="00A070B5"/>
    <w:rPr>
      <w:rFonts w:ascii="Calibri" w:eastAsia="Calibri" w:hAnsi="Calibri" w:cs="Calibri"/>
      <w:sz w:val="22"/>
      <w:szCs w:val="22"/>
    </w:rPr>
  </w:style>
  <w:style w:type="character" w:styleId="Hyperlink">
    <w:name w:val="Hyperlink"/>
    <w:basedOn w:val="DefaultParagraphFont"/>
    <w:uiPriority w:val="99"/>
    <w:unhideWhenUsed/>
    <w:rsid w:val="00F45956"/>
    <w:rPr>
      <w:color w:val="0000FF" w:themeColor="hyperlink"/>
      <w:u w:val="single"/>
    </w:rPr>
  </w:style>
  <w:style w:type="character" w:customStyle="1" w:styleId="Menzionenonrisolta1">
    <w:name w:val="Menzione non risolta1"/>
    <w:basedOn w:val="DefaultParagraphFont"/>
    <w:uiPriority w:val="99"/>
    <w:semiHidden/>
    <w:unhideWhenUsed/>
    <w:rsid w:val="00C96E53"/>
    <w:rPr>
      <w:color w:val="605E5C"/>
      <w:shd w:val="clear" w:color="auto" w:fill="E1DFDD"/>
    </w:rPr>
  </w:style>
  <w:style w:type="paragraph" w:styleId="Revision">
    <w:name w:val="Revision"/>
    <w:hidden/>
    <w:uiPriority w:val="99"/>
    <w:semiHidden/>
    <w:rsid w:val="00EE18C0"/>
    <w:rPr>
      <w:rFonts w:ascii="Calibri" w:eastAsia="Calibri" w:hAnsi="Calibri" w:cs="Calibri"/>
      <w:sz w:val="22"/>
      <w:szCs w:val="22"/>
    </w:rPr>
  </w:style>
  <w:style w:type="paragraph" w:customStyle="1" w:styleId="xmsonormal">
    <w:name w:val="x_msonormal"/>
    <w:basedOn w:val="Normal"/>
    <w:rsid w:val="00041ACB"/>
    <w:pPr>
      <w:spacing w:line="240" w:lineRule="auto"/>
    </w:pPr>
    <w:rPr>
      <w:rFonts w:eastAsiaTheme="minorEastAsia"/>
      <w:lang w:eastAsia="zh-CN" w:bidi="th-TH"/>
    </w:rPr>
  </w:style>
  <w:style w:type="paragraph" w:styleId="CommentText">
    <w:name w:val="annotation text"/>
    <w:basedOn w:val="Normal"/>
    <w:link w:val="CommentTextChar"/>
    <w:uiPriority w:val="99"/>
    <w:semiHidden/>
    <w:unhideWhenUsed/>
    <w:rsid w:val="00A66A3E"/>
    <w:pPr>
      <w:spacing w:line="240" w:lineRule="auto"/>
    </w:pPr>
    <w:rPr>
      <w:sz w:val="20"/>
      <w:szCs w:val="20"/>
    </w:rPr>
  </w:style>
  <w:style w:type="character" w:customStyle="1" w:styleId="CommentTextChar">
    <w:name w:val="Comment Text Char"/>
    <w:basedOn w:val="DefaultParagraphFont"/>
    <w:link w:val="CommentText"/>
    <w:uiPriority w:val="99"/>
    <w:semiHidden/>
    <w:rsid w:val="00A66A3E"/>
    <w:rPr>
      <w:rFonts w:ascii="Calibri" w:eastAsia="Calibri" w:hAnsi="Calibri" w:cs="Calibri"/>
    </w:rPr>
  </w:style>
  <w:style w:type="character" w:styleId="CommentReference">
    <w:name w:val="annotation reference"/>
    <w:basedOn w:val="DefaultParagraphFont"/>
    <w:uiPriority w:val="99"/>
    <w:semiHidden/>
    <w:unhideWhenUsed/>
    <w:rsid w:val="00A66A3E"/>
    <w:rPr>
      <w:sz w:val="16"/>
      <w:szCs w:val="16"/>
    </w:rPr>
  </w:style>
  <w:style w:type="paragraph" w:styleId="CommentSubject">
    <w:name w:val="annotation subject"/>
    <w:basedOn w:val="CommentText"/>
    <w:next w:val="CommentText"/>
    <w:link w:val="CommentSubjectChar"/>
    <w:uiPriority w:val="99"/>
    <w:semiHidden/>
    <w:unhideWhenUsed/>
    <w:rsid w:val="00733195"/>
    <w:rPr>
      <w:b/>
      <w:bCs/>
    </w:rPr>
  </w:style>
  <w:style w:type="character" w:customStyle="1" w:styleId="CommentSubjectChar">
    <w:name w:val="Comment Subject Char"/>
    <w:basedOn w:val="CommentTextChar"/>
    <w:link w:val="CommentSubject"/>
    <w:uiPriority w:val="99"/>
    <w:semiHidden/>
    <w:rsid w:val="00733195"/>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1299535549">
      <w:bodyDiv w:val="1"/>
      <w:marLeft w:val="0"/>
      <w:marRight w:val="0"/>
      <w:marTop w:val="0"/>
      <w:marBottom w:val="0"/>
      <w:divBdr>
        <w:top w:val="none" w:sz="0" w:space="0" w:color="auto"/>
        <w:left w:val="none" w:sz="0" w:space="0" w:color="auto"/>
        <w:bottom w:val="none" w:sz="0" w:space="0" w:color="auto"/>
        <w:right w:val="none" w:sz="0" w:space="0" w:color="auto"/>
      </w:divBdr>
    </w:div>
    <w:div w:id="153422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via.com" TargetMode="External"/><Relationship Id="rId13" Type="http://schemas.openxmlformats.org/officeDocument/2006/relationships/hyperlink" Target="mailto:marc.maillet@forvia.com" TargetMode="External"/><Relationship Id="rId3" Type="http://schemas.openxmlformats.org/officeDocument/2006/relationships/webSettings" Target="webSettings.xml"/><Relationship Id="rId7" Type="http://schemas.openxmlformats.org/officeDocument/2006/relationships/hyperlink" Target="http://www.stellantis.com" TargetMode="External"/><Relationship Id="rId12" Type="http://schemas.openxmlformats.org/officeDocument/2006/relationships/hyperlink" Target="mailto:christophe.malbranque@forv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ellantis.com/en" TargetMode="External"/><Relationship Id="rId11" Type="http://schemas.openxmlformats.org/officeDocument/2006/relationships/hyperlink" Target="http://www.stellanti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fernao.silveira@stellantis.com" TargetMode="External"/><Relationship Id="rId4" Type="http://schemas.openxmlformats.org/officeDocument/2006/relationships/footnotes" Target="footnotes.xml"/><Relationship Id="rId9" Type="http://schemas.openxmlformats.org/officeDocument/2006/relationships/hyperlink" Target="http://www.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D915F3.B19C0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10974</Characters>
  <Application>Microsoft Office Word</Application>
  <DocSecurity>0</DocSecurity>
  <Lines>91</Lines>
  <Paragraphs>25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CRAIG JOHNSTON</cp:lastModifiedBy>
  <cp:revision>4</cp:revision>
  <dcterms:created xsi:type="dcterms:W3CDTF">2023-05-15T16:23:00Z</dcterms:created>
  <dcterms:modified xsi:type="dcterms:W3CDTF">2023-05-16T04:32:00Z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2022-12-22T17:06:56Z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6ad52b6e-d425-4d39-ba6d-1184abbf9ad0</vt:lpwstr>
  </property>
  <property fmtid="{D5CDD505-2E9C-101B-9397-08002B2CF9AE}" pid="8" name="MSIP_Label_09e9a456-2778-4ca9-be06-1190b1e1118a_ContentBits">
    <vt:lpwstr>0</vt:lpwstr>
  </property>
</Properties>
</file>