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68624EDE" w:rsidR="00D90200" w:rsidRPr="00E241A7" w:rsidRDefault="00DA44D2" w:rsidP="00DF3488">
      <w:pPr>
        <w:pBdr>
          <w:top w:val="nil"/>
          <w:left w:val="nil"/>
          <w:bottom w:val="nil"/>
          <w:right w:val="nil"/>
          <w:between w:val="nil"/>
        </w:pBdr>
        <w:spacing w:after="480"/>
        <w:ind w:right="-344"/>
        <w:jc w:val="center"/>
        <w:rPr>
          <w:rFonts w:ascii="Arial" w:eastAsia="Arial" w:hAnsi="Arial" w:cs="Arial"/>
          <w:b/>
          <w:color w:val="000000"/>
          <w:sz w:val="28"/>
          <w:szCs w:val="28"/>
        </w:rPr>
      </w:pPr>
      <w:r>
        <w:rPr>
          <w:rFonts w:ascii="Arial" w:hAnsi="Arial"/>
          <w:b/>
          <w:color w:val="000000"/>
          <w:sz w:val="28"/>
          <w:szCs w:val="28"/>
        </w:rPr>
        <w:t>Stellantis investe in Lyten e nella sua tecnologia all</w:t>
      </w:r>
      <w:r w:rsidR="004A6921">
        <w:rPr>
          <w:rFonts w:ascii="Arial" w:hAnsi="Arial"/>
          <w:b/>
          <w:color w:val="000000"/>
          <w:sz w:val="28"/>
          <w:szCs w:val="28"/>
        </w:rPr>
        <w:t>’</w:t>
      </w:r>
      <w:r>
        <w:rPr>
          <w:rFonts w:ascii="Arial" w:hAnsi="Arial"/>
          <w:b/>
          <w:color w:val="000000"/>
          <w:sz w:val="28"/>
          <w:szCs w:val="28"/>
        </w:rPr>
        <w:t xml:space="preserve">avanguardia per le batterie al litio-zolfo per EV </w:t>
      </w:r>
    </w:p>
    <w:p w14:paraId="756288A1" w14:textId="0F72A191" w:rsidR="004272EE" w:rsidRDefault="004272EE" w:rsidP="00DF3488">
      <w:pPr>
        <w:pStyle w:val="ListParagraph"/>
        <w:numPr>
          <w:ilvl w:val="0"/>
          <w:numId w:val="4"/>
        </w:numPr>
        <w:spacing w:after="0"/>
        <w:ind w:right="-344"/>
        <w:jc w:val="left"/>
        <w:rPr>
          <w:rFonts w:ascii="Arial" w:eastAsia="Arial" w:hAnsi="Arial" w:cs="Arial"/>
          <w:sz w:val="22"/>
          <w:szCs w:val="22"/>
        </w:rPr>
      </w:pPr>
      <w:r>
        <w:rPr>
          <w:rFonts w:ascii="Arial" w:hAnsi="Arial"/>
          <w:sz w:val="22"/>
          <w:szCs w:val="22"/>
        </w:rPr>
        <w:t>Lyten è un</w:t>
      </w:r>
      <w:r w:rsidR="004A6921">
        <w:rPr>
          <w:rFonts w:ascii="Arial" w:hAnsi="Arial"/>
          <w:sz w:val="22"/>
          <w:szCs w:val="22"/>
        </w:rPr>
        <w:t>’</w:t>
      </w:r>
      <w:r>
        <w:rPr>
          <w:rFonts w:ascii="Arial" w:hAnsi="Arial"/>
          <w:sz w:val="22"/>
          <w:szCs w:val="22"/>
        </w:rPr>
        <w:t>azienda con sede nella Silicon Valley pioniera nell</w:t>
      </w:r>
      <w:r w:rsidR="004A6921">
        <w:rPr>
          <w:rFonts w:ascii="Arial" w:hAnsi="Arial"/>
          <w:sz w:val="22"/>
          <w:szCs w:val="22"/>
        </w:rPr>
        <w:t>’</w:t>
      </w:r>
      <w:r>
        <w:rPr>
          <w:rFonts w:ascii="Arial" w:hAnsi="Arial"/>
          <w:sz w:val="22"/>
          <w:szCs w:val="22"/>
        </w:rPr>
        <w:t xml:space="preserve">impiego del grafene tridimensionale sintonizzabile, che </w:t>
      </w:r>
      <w:r w:rsidR="008C1D92">
        <w:rPr>
          <w:rFonts w:ascii="Arial" w:hAnsi="Arial"/>
          <w:sz w:val="22"/>
          <w:szCs w:val="22"/>
        </w:rPr>
        <w:t xml:space="preserve">ha </w:t>
      </w:r>
      <w:r w:rsidR="00675377">
        <w:rPr>
          <w:rFonts w:ascii="Arial" w:hAnsi="Arial"/>
          <w:sz w:val="22"/>
          <w:szCs w:val="22"/>
        </w:rPr>
        <w:t>dimostrato una significativa riduzione</w:t>
      </w:r>
      <w:r>
        <w:rPr>
          <w:rFonts w:ascii="Arial" w:hAnsi="Arial"/>
          <w:sz w:val="22"/>
          <w:szCs w:val="22"/>
        </w:rPr>
        <w:t xml:space="preserve"> </w:t>
      </w:r>
      <w:r w:rsidR="00675377">
        <w:rPr>
          <w:rFonts w:ascii="Arial" w:hAnsi="Arial"/>
          <w:sz w:val="22"/>
          <w:szCs w:val="22"/>
        </w:rPr>
        <w:t>del</w:t>
      </w:r>
      <w:r>
        <w:rPr>
          <w:rFonts w:ascii="Arial" w:hAnsi="Arial"/>
          <w:sz w:val="22"/>
          <w:szCs w:val="22"/>
        </w:rPr>
        <w:t>le emissioni di gas serra e anticipe</w:t>
      </w:r>
      <w:r w:rsidR="00675377">
        <w:rPr>
          <w:rFonts w:ascii="Arial" w:hAnsi="Arial"/>
          <w:sz w:val="22"/>
          <w:szCs w:val="22"/>
        </w:rPr>
        <w:t>rà</w:t>
      </w:r>
      <w:r>
        <w:rPr>
          <w:rFonts w:ascii="Arial" w:hAnsi="Arial"/>
          <w:sz w:val="22"/>
          <w:szCs w:val="22"/>
        </w:rPr>
        <w:t xml:space="preserve"> la transizione verso la mobilità sostenibile </w:t>
      </w:r>
    </w:p>
    <w:p w14:paraId="5B11C115" w14:textId="3C95EEC7" w:rsidR="004272EE" w:rsidRDefault="004272EE" w:rsidP="00DF3488">
      <w:pPr>
        <w:pStyle w:val="ListParagraph"/>
        <w:numPr>
          <w:ilvl w:val="0"/>
          <w:numId w:val="4"/>
        </w:numPr>
        <w:spacing w:after="0"/>
        <w:ind w:right="-344"/>
        <w:jc w:val="left"/>
        <w:rPr>
          <w:rFonts w:ascii="Arial" w:eastAsia="Arial" w:hAnsi="Arial" w:cs="Arial"/>
          <w:sz w:val="22"/>
          <w:szCs w:val="22"/>
        </w:rPr>
      </w:pPr>
      <w:r>
        <w:rPr>
          <w:rFonts w:ascii="Arial" w:hAnsi="Arial"/>
          <w:sz w:val="22"/>
          <w:szCs w:val="22"/>
        </w:rPr>
        <w:t>Stellantis e Lyten svilupperanno delle applicazioni per batterie innovative</w:t>
      </w:r>
      <w:r w:rsidR="00430EF7">
        <w:rPr>
          <w:rFonts w:ascii="Arial" w:hAnsi="Arial"/>
          <w:sz w:val="22"/>
          <w:szCs w:val="22"/>
        </w:rPr>
        <w:t xml:space="preserve"> per EV</w:t>
      </w:r>
      <w:r>
        <w:rPr>
          <w:rFonts w:ascii="Arial" w:hAnsi="Arial"/>
          <w:sz w:val="22"/>
          <w:szCs w:val="22"/>
        </w:rPr>
        <w:t xml:space="preserve"> al litio-zolfo, alleggerimento dei veicoli e soluzioni avanzate di rilevamento a bordo</w:t>
      </w:r>
    </w:p>
    <w:p w14:paraId="2717859D" w14:textId="3D5B87CC" w:rsidR="00217E8C" w:rsidRDefault="00217E8C" w:rsidP="00DF3488">
      <w:pPr>
        <w:pStyle w:val="ListParagraph"/>
        <w:numPr>
          <w:ilvl w:val="0"/>
          <w:numId w:val="4"/>
        </w:numPr>
        <w:spacing w:after="0"/>
        <w:ind w:right="-344"/>
        <w:jc w:val="left"/>
        <w:rPr>
          <w:rFonts w:ascii="Arial" w:eastAsia="Arial" w:hAnsi="Arial" w:cs="Arial"/>
          <w:sz w:val="22"/>
          <w:szCs w:val="22"/>
        </w:rPr>
      </w:pPr>
      <w:r>
        <w:rPr>
          <w:rFonts w:ascii="Arial" w:hAnsi="Arial"/>
          <w:sz w:val="22"/>
          <w:szCs w:val="22"/>
        </w:rPr>
        <w:t>È stato verificato che le batterie al litio-zolfo sono a impatto zero su larga scala, sono potenzialmente in grado di fornire una densità energetica più che doppia rispetto alle batterie agli ioni di litio e rappresentano una soluzione alternativa ai catodi a base di nichel-manganese-cobalto</w:t>
      </w:r>
    </w:p>
    <w:p w14:paraId="7C92D784" w14:textId="0C36A252" w:rsidR="004272EE" w:rsidRDefault="004272EE" w:rsidP="00DF3488">
      <w:pPr>
        <w:pStyle w:val="ListParagraph"/>
        <w:numPr>
          <w:ilvl w:val="0"/>
          <w:numId w:val="4"/>
        </w:numPr>
        <w:spacing w:after="0"/>
        <w:ind w:right="-344"/>
        <w:jc w:val="left"/>
        <w:rPr>
          <w:rFonts w:ascii="Arial" w:eastAsia="Arial" w:hAnsi="Arial" w:cs="Arial"/>
          <w:sz w:val="22"/>
          <w:szCs w:val="22"/>
        </w:rPr>
      </w:pPr>
      <w:r>
        <w:rPr>
          <w:rFonts w:ascii="Arial" w:hAnsi="Arial"/>
          <w:sz w:val="22"/>
          <w:szCs w:val="22"/>
        </w:rPr>
        <w:t xml:space="preserve">Stellantis esplora tutte le tecnologie per la produzione di batterie per rispondere alle esigenze diversificate della sua ampia base di clienti e assicurare una mobilità pulita, sicura e accessibile </w:t>
      </w:r>
    </w:p>
    <w:p w14:paraId="3C06AD10" w14:textId="74EAE58A" w:rsidR="00DA44D2" w:rsidRPr="00E241A7" w:rsidRDefault="00DA44D2" w:rsidP="00DF3488">
      <w:pPr>
        <w:spacing w:after="0"/>
        <w:ind w:left="360" w:right="-344"/>
        <w:jc w:val="left"/>
        <w:rPr>
          <w:rFonts w:ascii="Arial" w:eastAsia="Arial" w:hAnsi="Arial" w:cs="Arial"/>
        </w:rPr>
      </w:pPr>
    </w:p>
    <w:p w14:paraId="1A117F65" w14:textId="190EA808" w:rsidR="00881461" w:rsidRPr="00826BB5" w:rsidRDefault="00DF3488" w:rsidP="00826BB5">
      <w:pPr>
        <w:rPr>
          <w:rFonts w:ascii="Arial" w:hAnsi="Arial"/>
          <w:sz w:val="22"/>
          <w:szCs w:val="22"/>
          <w:shd w:val="clear" w:color="auto" w:fill="FFFFFF"/>
        </w:rPr>
      </w:pPr>
      <w:r w:rsidRPr="00826BB5">
        <w:rPr>
          <w:rFonts w:ascii="Arial" w:hAnsi="Arial"/>
          <w:b/>
          <w:bCs/>
          <w:sz w:val="22"/>
          <w:szCs w:val="22"/>
          <w:shd w:val="clear" w:color="auto" w:fill="FFFFFF"/>
        </w:rPr>
        <w:t>2</w:t>
      </w:r>
      <w:r w:rsidR="00302FC1" w:rsidRPr="00826BB5">
        <w:rPr>
          <w:rFonts w:ascii="Arial" w:hAnsi="Arial"/>
          <w:b/>
          <w:bCs/>
          <w:sz w:val="22"/>
          <w:szCs w:val="22"/>
          <w:shd w:val="clear" w:color="auto" w:fill="FFFFFF"/>
        </w:rPr>
        <w:t>5</w:t>
      </w:r>
      <w:r w:rsidRPr="00826BB5">
        <w:rPr>
          <w:rFonts w:ascii="Arial" w:hAnsi="Arial"/>
          <w:b/>
          <w:bCs/>
          <w:sz w:val="22"/>
          <w:szCs w:val="22"/>
          <w:shd w:val="clear" w:color="auto" w:fill="FFFFFF"/>
        </w:rPr>
        <w:t xml:space="preserve"> maggio 2023</w:t>
      </w:r>
      <w:r w:rsidR="001363A9">
        <w:rPr>
          <w:rFonts w:ascii="Arial" w:hAnsi="Arial"/>
          <w:b/>
          <w:bCs/>
          <w:sz w:val="22"/>
          <w:szCs w:val="22"/>
          <w:shd w:val="clear" w:color="auto" w:fill="FFFFFF"/>
        </w:rPr>
        <w:t xml:space="preserve">, </w:t>
      </w:r>
      <w:r w:rsidR="001363A9" w:rsidRPr="00826BB5">
        <w:rPr>
          <w:rFonts w:ascii="Arial" w:hAnsi="Arial"/>
          <w:b/>
          <w:bCs/>
          <w:sz w:val="22"/>
          <w:szCs w:val="22"/>
          <w:shd w:val="clear" w:color="auto" w:fill="FFFFFF"/>
        </w:rPr>
        <w:t>AMSTERDAM / S</w:t>
      </w:r>
      <w:r w:rsidR="00C045F6">
        <w:rPr>
          <w:rFonts w:ascii="Arial" w:hAnsi="Arial"/>
          <w:b/>
          <w:bCs/>
          <w:sz w:val="22"/>
          <w:szCs w:val="22"/>
          <w:shd w:val="clear" w:color="auto" w:fill="FFFFFF"/>
        </w:rPr>
        <w:t>AN JOSE</w:t>
      </w:r>
      <w:r w:rsidR="001363A9" w:rsidRPr="00826BB5">
        <w:rPr>
          <w:rFonts w:ascii="Arial" w:hAnsi="Arial"/>
          <w:b/>
          <w:bCs/>
          <w:sz w:val="22"/>
          <w:szCs w:val="22"/>
          <w:shd w:val="clear" w:color="auto" w:fill="FFFFFF"/>
        </w:rPr>
        <w:t>, California</w:t>
      </w:r>
      <w:r w:rsidR="00F029CF">
        <w:rPr>
          <w:rFonts w:ascii="Arial" w:hAnsi="Arial"/>
          <w:b/>
          <w:bCs/>
          <w:sz w:val="22"/>
          <w:szCs w:val="22"/>
          <w:shd w:val="clear" w:color="auto" w:fill="FFFFFF"/>
        </w:rPr>
        <w:t xml:space="preserve"> </w:t>
      </w:r>
      <w:r w:rsidRPr="00826BB5">
        <w:rPr>
          <w:rFonts w:ascii="Arial" w:hAnsi="Arial"/>
          <w:sz w:val="22"/>
          <w:szCs w:val="22"/>
          <w:shd w:val="clear" w:color="auto" w:fill="FFFFFF"/>
        </w:rPr>
        <w:t>–</w:t>
      </w:r>
      <w:r>
        <w:rPr>
          <w:rFonts w:ascii="Arial" w:hAnsi="Arial"/>
          <w:sz w:val="22"/>
          <w:szCs w:val="22"/>
          <w:shd w:val="clear" w:color="auto" w:fill="FFFFFF"/>
        </w:rPr>
        <w:t xml:space="preserve"> </w:t>
      </w:r>
      <w:hyperlink r:id="rId11" w:history="1">
        <w:r w:rsidRPr="00BD7665">
          <w:rPr>
            <w:rStyle w:val="Hyperlink"/>
            <w:rFonts w:ascii="Arial" w:hAnsi="Arial"/>
            <w:sz w:val="22"/>
            <w:szCs w:val="22"/>
            <w:shd w:val="clear" w:color="auto" w:fill="FFFFFF"/>
          </w:rPr>
          <w:t>Stellantis N.V.</w:t>
        </w:r>
      </w:hyperlink>
      <w:r>
        <w:rPr>
          <w:rFonts w:ascii="Arial" w:hAnsi="Arial"/>
          <w:sz w:val="22"/>
          <w:szCs w:val="22"/>
          <w:shd w:val="clear" w:color="auto" w:fill="FFFFFF"/>
        </w:rPr>
        <w:t xml:space="preserve"> e </w:t>
      </w:r>
      <w:r w:rsidR="00000000">
        <w:fldChar w:fldCharType="begin"/>
      </w:r>
      <w:r w:rsidR="00000000">
        <w:instrText xml:space="preserve"> HYPERLINK "https://lyten.com/" </w:instrText>
      </w:r>
      <w:r w:rsidR="00000000">
        <w:fldChar w:fldCharType="separate"/>
      </w:r>
      <w:r w:rsidRPr="00422856">
        <w:rPr>
          <w:rStyle w:val="Hyperlink"/>
          <w:rFonts w:ascii="Arial" w:hAnsi="Arial"/>
          <w:sz w:val="22"/>
          <w:szCs w:val="22"/>
          <w:shd w:val="clear" w:color="auto" w:fill="FFFFFF"/>
        </w:rPr>
        <w:t>Lyten, Inc</w:t>
      </w:r>
      <w:r w:rsidR="00000000">
        <w:rPr>
          <w:rStyle w:val="Hyperlink"/>
          <w:rFonts w:ascii="Arial" w:hAnsi="Arial"/>
          <w:sz w:val="22"/>
          <w:szCs w:val="22"/>
          <w:shd w:val="clear" w:color="auto" w:fill="FFFFFF"/>
        </w:rPr>
        <w:fldChar w:fldCharType="end"/>
      </w:r>
      <w:r>
        <w:rPr>
          <w:rFonts w:ascii="Arial" w:hAnsi="Arial"/>
          <w:sz w:val="22"/>
          <w:szCs w:val="22"/>
          <w:shd w:val="clear" w:color="auto" w:fill="FFFFFF"/>
        </w:rPr>
        <w:t>. hanno annunciato oggi che Stellantis Ventures, il fondo di venture capital di Stellantis, ha investito in Lyten per accelerare la commercializzazione delle applicazioni del Lyten 3D Graphene™ per il settore della mobilità, tra cui la batteria al litio-zolfo per EV LytCell™, materiali compositi leggeri e nuovi sistemi di rilevamento a bordo. Lyten, azienda pioniera nell</w:t>
      </w:r>
      <w:r w:rsidR="004A6921">
        <w:rPr>
          <w:rFonts w:ascii="Arial" w:hAnsi="Arial"/>
          <w:sz w:val="22"/>
          <w:szCs w:val="22"/>
          <w:shd w:val="clear" w:color="auto" w:fill="FFFFFF"/>
        </w:rPr>
        <w:t>’</w:t>
      </w:r>
      <w:r>
        <w:rPr>
          <w:rFonts w:ascii="Arial" w:hAnsi="Arial"/>
          <w:sz w:val="22"/>
          <w:szCs w:val="22"/>
          <w:shd w:val="clear" w:color="auto" w:fill="FFFFFF"/>
        </w:rPr>
        <w:t>impiego del grafene tridimensionale (3D), sfrutterà l</w:t>
      </w:r>
      <w:r w:rsidR="004A6921">
        <w:rPr>
          <w:rFonts w:ascii="Arial" w:hAnsi="Arial"/>
          <w:sz w:val="22"/>
          <w:szCs w:val="22"/>
          <w:shd w:val="clear" w:color="auto" w:fill="FFFFFF"/>
        </w:rPr>
        <w:t>’</w:t>
      </w:r>
      <w:r>
        <w:rPr>
          <w:rFonts w:ascii="Arial" w:hAnsi="Arial"/>
          <w:sz w:val="22"/>
          <w:szCs w:val="22"/>
          <w:shd w:val="clear" w:color="auto" w:fill="FFFFFF"/>
        </w:rPr>
        <w:t>esclusiva sintonizzabilità di questo materiale per migliorare le prestazioni dei veicoli e l</w:t>
      </w:r>
      <w:r w:rsidR="004A6921">
        <w:rPr>
          <w:rFonts w:ascii="Arial" w:hAnsi="Arial"/>
          <w:sz w:val="22"/>
          <w:szCs w:val="22"/>
          <w:shd w:val="clear" w:color="auto" w:fill="FFFFFF"/>
        </w:rPr>
        <w:t>’</w:t>
      </w:r>
      <w:r>
        <w:rPr>
          <w:rFonts w:ascii="Arial" w:hAnsi="Arial"/>
          <w:sz w:val="22"/>
          <w:szCs w:val="22"/>
          <w:shd w:val="clear" w:color="auto" w:fill="FFFFFF"/>
        </w:rPr>
        <w:t xml:space="preserve">esperienza del cliente, allo stesso tempo promuovendo la decarbonizzazione del settore dei trasporti. </w:t>
      </w:r>
    </w:p>
    <w:p w14:paraId="061B82DB" w14:textId="16EC2903" w:rsidR="004272EE" w:rsidRPr="00826BB5" w:rsidRDefault="00881461" w:rsidP="00826BB5">
      <w:pPr>
        <w:rPr>
          <w:rFonts w:ascii="Arial" w:hAnsi="Arial"/>
          <w:sz w:val="22"/>
          <w:szCs w:val="22"/>
          <w:shd w:val="clear" w:color="auto" w:fill="FFFFFF"/>
        </w:rPr>
      </w:pPr>
      <w:r>
        <w:rPr>
          <w:rFonts w:ascii="Arial" w:hAnsi="Arial"/>
          <w:sz w:val="22"/>
          <w:szCs w:val="22"/>
          <w:shd w:val="clear" w:color="auto" w:fill="FFFFFF"/>
        </w:rPr>
        <w:t xml:space="preserve">La piattaforma di materiali sintonizzabili di Lyten </w:t>
      </w:r>
      <w:r w:rsidR="008C1D92" w:rsidRPr="008C1D92">
        <w:rPr>
          <w:rFonts w:ascii="Arial" w:hAnsi="Arial"/>
          <w:sz w:val="22"/>
          <w:szCs w:val="22"/>
          <w:shd w:val="clear" w:color="auto" w:fill="FFFFFF"/>
        </w:rPr>
        <w:t>ha dimostrato una significativa riduzione delle</w:t>
      </w:r>
      <w:r>
        <w:rPr>
          <w:rFonts w:ascii="Arial" w:hAnsi="Arial"/>
          <w:sz w:val="22"/>
          <w:szCs w:val="22"/>
          <w:shd w:val="clear" w:color="auto" w:fill="FFFFFF"/>
        </w:rPr>
        <w:t xml:space="preserve"> emissioni di gas serra e </w:t>
      </w:r>
      <w:r w:rsidR="008C1D92">
        <w:rPr>
          <w:rFonts w:ascii="Arial" w:hAnsi="Arial"/>
          <w:sz w:val="22"/>
          <w:szCs w:val="22"/>
          <w:shd w:val="clear" w:color="auto" w:fill="FFFFFF"/>
        </w:rPr>
        <w:t xml:space="preserve">farà avanzare </w:t>
      </w:r>
      <w:r>
        <w:rPr>
          <w:rFonts w:ascii="Arial" w:hAnsi="Arial"/>
          <w:sz w:val="22"/>
          <w:szCs w:val="22"/>
          <w:shd w:val="clear" w:color="auto" w:fill="FFFFFF"/>
        </w:rPr>
        <w:t>la transizione verso la mobilità sostenibile.</w:t>
      </w:r>
    </w:p>
    <w:p w14:paraId="66F443D9" w14:textId="56E9EADB" w:rsidR="004272EE" w:rsidRDefault="004272EE" w:rsidP="00983E1A">
      <w:pPr>
        <w:rPr>
          <w:rFonts w:ascii="Arial" w:eastAsia="Times New Roman" w:hAnsi="Arial" w:cs="Arial"/>
          <w:sz w:val="22"/>
          <w:szCs w:val="22"/>
          <w:shd w:val="clear" w:color="auto" w:fill="FFFFFF"/>
        </w:rPr>
      </w:pPr>
      <w:r>
        <w:rPr>
          <w:rFonts w:ascii="Arial" w:hAnsi="Arial"/>
          <w:sz w:val="22"/>
          <w:szCs w:val="22"/>
          <w:shd w:val="clear" w:color="auto" w:fill="FFFFFF"/>
        </w:rPr>
        <w:t xml:space="preserve">A differenza delle batterie tradizionali agli ioni di litio, le batterie al litio-zolfo di Lyten non </w:t>
      </w:r>
      <w:r w:rsidR="009F76F2">
        <w:rPr>
          <w:rFonts w:ascii="Arial" w:hAnsi="Arial"/>
          <w:sz w:val="22"/>
          <w:szCs w:val="22"/>
          <w:shd w:val="clear" w:color="auto" w:fill="FFFFFF"/>
        </w:rPr>
        <w:t>utilizzano</w:t>
      </w:r>
      <w:r>
        <w:rPr>
          <w:rFonts w:ascii="Arial" w:hAnsi="Arial"/>
          <w:sz w:val="22"/>
          <w:szCs w:val="22"/>
          <w:shd w:val="clear" w:color="auto" w:fill="FFFFFF"/>
        </w:rPr>
        <w:t xml:space="preserve"> nichel, cobalto o manganese, con il risultato di un</w:t>
      </w:r>
      <w:r w:rsidR="004A6921">
        <w:rPr>
          <w:rFonts w:ascii="Arial" w:hAnsi="Arial"/>
          <w:sz w:val="22"/>
          <w:szCs w:val="22"/>
          <w:shd w:val="clear" w:color="auto" w:fill="FFFFFF"/>
        </w:rPr>
        <w:t>’</w:t>
      </w:r>
      <w:r>
        <w:rPr>
          <w:rFonts w:ascii="Arial" w:hAnsi="Arial"/>
          <w:sz w:val="22"/>
          <w:szCs w:val="22"/>
          <w:shd w:val="clear" w:color="auto" w:fill="FFFFFF"/>
        </w:rPr>
        <w:t>impronta di carbonio stimata inferiore d</w:t>
      </w:r>
      <w:r w:rsidR="009F76F2">
        <w:rPr>
          <w:rFonts w:ascii="Arial" w:hAnsi="Arial"/>
          <w:sz w:val="22"/>
          <w:szCs w:val="22"/>
          <w:shd w:val="clear" w:color="auto" w:fill="FFFFFF"/>
        </w:rPr>
        <w:t>e</w:t>
      </w:r>
      <w:r>
        <w:rPr>
          <w:rFonts w:ascii="Arial" w:hAnsi="Arial"/>
          <w:sz w:val="22"/>
          <w:szCs w:val="22"/>
          <w:shd w:val="clear" w:color="auto" w:fill="FFFFFF"/>
        </w:rPr>
        <w:t>l 60</w:t>
      </w:r>
      <w:r w:rsidR="009F76F2">
        <w:rPr>
          <w:rFonts w:ascii="Arial" w:hAnsi="Arial"/>
          <w:sz w:val="22"/>
          <w:szCs w:val="22"/>
          <w:shd w:val="clear" w:color="auto" w:fill="FFFFFF"/>
        </w:rPr>
        <w:t>%</w:t>
      </w:r>
      <w:r>
        <w:rPr>
          <w:rFonts w:ascii="Arial" w:hAnsi="Arial"/>
          <w:sz w:val="22"/>
          <w:szCs w:val="22"/>
          <w:shd w:val="clear" w:color="auto" w:fill="FFFFFF"/>
        </w:rPr>
        <w:t xml:space="preserve"> rispetto alle migliori batterie attualmente disponibili. L</w:t>
      </w:r>
      <w:r w:rsidR="004A6921">
        <w:rPr>
          <w:rFonts w:ascii="Arial" w:hAnsi="Arial"/>
          <w:sz w:val="22"/>
          <w:szCs w:val="22"/>
          <w:shd w:val="clear" w:color="auto" w:fill="FFFFFF"/>
        </w:rPr>
        <w:t>’</w:t>
      </w:r>
      <w:r>
        <w:rPr>
          <w:rFonts w:ascii="Arial" w:hAnsi="Arial"/>
          <w:sz w:val="22"/>
          <w:szCs w:val="22"/>
          <w:shd w:val="clear" w:color="auto" w:fill="FFFFFF"/>
        </w:rPr>
        <w:t>approvvigionamento delle materie prime e la produzione per le batterie al litio-zolfo può avvenire</w:t>
      </w:r>
      <w:r w:rsidR="00826BB5">
        <w:rPr>
          <w:rFonts w:ascii="Arial" w:hAnsi="Arial"/>
          <w:sz w:val="22"/>
          <w:szCs w:val="22"/>
          <w:shd w:val="clear" w:color="auto" w:fill="FFFFFF"/>
        </w:rPr>
        <w:t xml:space="preserve"> </w:t>
      </w:r>
      <w:r>
        <w:rPr>
          <w:rFonts w:ascii="Arial" w:hAnsi="Arial"/>
          <w:sz w:val="22"/>
          <w:szCs w:val="22"/>
          <w:shd w:val="clear" w:color="auto" w:fill="FFFFFF"/>
        </w:rPr>
        <w:t xml:space="preserve">localmente, in Nord America e in Europa, </w:t>
      </w:r>
      <w:r w:rsidR="009F76F2">
        <w:rPr>
          <w:rFonts w:ascii="Arial" w:hAnsi="Arial"/>
          <w:sz w:val="22"/>
          <w:szCs w:val="22"/>
          <w:shd w:val="clear" w:color="auto" w:fill="FFFFFF"/>
        </w:rPr>
        <w:t xml:space="preserve">rafforzando la sovranità regionale. Questa tecnologia </w:t>
      </w:r>
      <w:r>
        <w:rPr>
          <w:rFonts w:ascii="Arial" w:hAnsi="Arial"/>
          <w:sz w:val="22"/>
          <w:szCs w:val="22"/>
          <w:shd w:val="clear" w:color="auto" w:fill="FFFFFF"/>
        </w:rPr>
        <w:t>risponde</w:t>
      </w:r>
      <w:r w:rsidR="009F76F2">
        <w:rPr>
          <w:rFonts w:ascii="Arial" w:hAnsi="Arial"/>
          <w:sz w:val="22"/>
          <w:szCs w:val="22"/>
          <w:shd w:val="clear" w:color="auto" w:fill="FFFFFF"/>
        </w:rPr>
        <w:t>rà</w:t>
      </w:r>
      <w:r>
        <w:rPr>
          <w:rFonts w:ascii="Arial" w:hAnsi="Arial"/>
          <w:sz w:val="22"/>
          <w:szCs w:val="22"/>
          <w:shd w:val="clear" w:color="auto" w:fill="FFFFFF"/>
        </w:rPr>
        <w:t xml:space="preserve"> alle esigenze delle aziende alla ricerca di batterie leggere e ad alta densità energetica non a rischio di interruzioni della supply chain.</w:t>
      </w:r>
    </w:p>
    <w:p w14:paraId="1DC3E4A9" w14:textId="2DEEA1C9" w:rsidR="004272EE" w:rsidRPr="004272EE" w:rsidRDefault="004272EE" w:rsidP="00983E1A">
      <w:pPr>
        <w:rPr>
          <w:rFonts w:ascii="Arial" w:eastAsia="Times New Roman" w:hAnsi="Arial" w:cs="Arial"/>
          <w:sz w:val="22"/>
          <w:szCs w:val="22"/>
          <w:shd w:val="clear" w:color="auto" w:fill="FFFFFF"/>
        </w:rPr>
      </w:pPr>
      <w:r>
        <w:rPr>
          <w:rFonts w:ascii="Arial" w:hAnsi="Arial"/>
          <w:sz w:val="22"/>
          <w:szCs w:val="22"/>
          <w:shd w:val="clear" w:color="auto" w:fill="FFFFFF"/>
        </w:rPr>
        <w:t xml:space="preserve">Stellantis ha lanciato Stellantis Ventures nel 2022 come fondo di venture capital dedicato a compiere investimenti in startup </w:t>
      </w:r>
      <w:r w:rsidR="007F55F6">
        <w:rPr>
          <w:rFonts w:ascii="Arial" w:hAnsi="Arial"/>
          <w:sz w:val="22"/>
          <w:szCs w:val="22"/>
          <w:shd w:val="clear" w:color="auto" w:fill="FFFFFF"/>
        </w:rPr>
        <w:t>in fase iniziale</w:t>
      </w:r>
      <w:r>
        <w:rPr>
          <w:rFonts w:ascii="Arial" w:hAnsi="Arial"/>
          <w:sz w:val="22"/>
          <w:szCs w:val="22"/>
          <w:shd w:val="clear" w:color="auto" w:fill="FFFFFF"/>
        </w:rPr>
        <w:t xml:space="preserve"> e </w:t>
      </w:r>
      <w:r w:rsidR="007F55F6">
        <w:rPr>
          <w:rFonts w:ascii="Arial" w:hAnsi="Arial"/>
          <w:sz w:val="22"/>
          <w:szCs w:val="22"/>
          <w:shd w:val="clear" w:color="auto" w:fill="FFFFFF"/>
        </w:rPr>
        <w:t>avanzata</w:t>
      </w:r>
      <w:r>
        <w:rPr>
          <w:rFonts w:ascii="Arial" w:hAnsi="Arial"/>
          <w:sz w:val="22"/>
          <w:szCs w:val="22"/>
          <w:shd w:val="clear" w:color="auto" w:fill="FFFFFF"/>
        </w:rPr>
        <w:t xml:space="preserve"> che sviluppano tecnologie innovative e sostenibili per i settori automotive e della mobilità. Stellantis Ventures</w:t>
      </w:r>
      <w:r w:rsidR="007F55F6">
        <w:rPr>
          <w:rFonts w:ascii="Arial" w:hAnsi="Arial"/>
          <w:sz w:val="22"/>
          <w:szCs w:val="22"/>
          <w:shd w:val="clear" w:color="auto" w:fill="FFFFFF"/>
        </w:rPr>
        <w:t xml:space="preserve">, supportato da </w:t>
      </w:r>
      <w:r w:rsidR="007F55F6" w:rsidRPr="007F55F6">
        <w:rPr>
          <w:rFonts w:ascii="Arial" w:hAnsi="Arial"/>
          <w:sz w:val="22"/>
          <w:szCs w:val="22"/>
          <w:shd w:val="clear" w:color="auto" w:fill="FFFFFF"/>
        </w:rPr>
        <w:t>un investimento iniziale di 300 milioni di euro</w:t>
      </w:r>
      <w:r w:rsidR="007F55F6">
        <w:rPr>
          <w:rFonts w:ascii="Arial" w:hAnsi="Arial"/>
          <w:sz w:val="22"/>
          <w:szCs w:val="22"/>
          <w:shd w:val="clear" w:color="auto" w:fill="FFFFFF"/>
        </w:rPr>
        <w:t>,</w:t>
      </w:r>
      <w:r>
        <w:rPr>
          <w:rFonts w:ascii="Arial" w:hAnsi="Arial"/>
          <w:sz w:val="22"/>
          <w:szCs w:val="22"/>
          <w:shd w:val="clear" w:color="auto" w:fill="FFFFFF"/>
        </w:rPr>
        <w:t xml:space="preserve"> è un elemento chiave del piano strategico aziendale </w:t>
      </w:r>
      <w:hyperlink r:id="rId12" w:history="1">
        <w:r>
          <w:rPr>
            <w:rStyle w:val="Hyperlink"/>
            <w:rFonts w:ascii="Arial" w:hAnsi="Arial"/>
            <w:sz w:val="22"/>
            <w:szCs w:val="22"/>
            <w:u w:val="single"/>
            <w:shd w:val="clear" w:color="auto" w:fill="FFFFFF"/>
          </w:rPr>
          <w:t>Dare Forward 2030</w:t>
        </w:r>
      </w:hyperlink>
      <w:r>
        <w:rPr>
          <w:rFonts w:ascii="Arial" w:hAnsi="Arial"/>
          <w:sz w:val="22"/>
          <w:szCs w:val="22"/>
          <w:shd w:val="clear" w:color="auto" w:fill="FFFFFF"/>
        </w:rPr>
        <w:t xml:space="preserve"> che stabilisce degli obiettivi prioritari per Stellantis, tra i quali una drastica riduzione delle emissioni di CO</w:t>
      </w:r>
      <w:r w:rsidRPr="00983E1A">
        <w:rPr>
          <w:rFonts w:ascii="Arial" w:hAnsi="Arial"/>
          <w:sz w:val="22"/>
          <w:szCs w:val="22"/>
          <w:shd w:val="clear" w:color="auto" w:fill="FFFFFF"/>
          <w:vertAlign w:val="subscript"/>
        </w:rPr>
        <w:t>2</w:t>
      </w:r>
      <w:r>
        <w:rPr>
          <w:rFonts w:ascii="Arial" w:hAnsi="Arial"/>
          <w:sz w:val="22"/>
          <w:szCs w:val="22"/>
          <w:shd w:val="clear" w:color="auto" w:fill="FFFFFF"/>
        </w:rPr>
        <w:t xml:space="preserve"> con </w:t>
      </w:r>
      <w:r w:rsidR="007F55F6">
        <w:rPr>
          <w:rFonts w:ascii="Arial" w:hAnsi="Arial"/>
          <w:sz w:val="22"/>
          <w:szCs w:val="22"/>
          <w:shd w:val="clear" w:color="auto" w:fill="FFFFFF"/>
        </w:rPr>
        <w:t xml:space="preserve">una </w:t>
      </w:r>
      <w:r w:rsidR="007F55F6">
        <w:rPr>
          <w:rFonts w:ascii="Arial" w:hAnsi="Arial"/>
          <w:sz w:val="22"/>
          <w:szCs w:val="22"/>
          <w:shd w:val="clear" w:color="auto" w:fill="FFFFFF"/>
        </w:rPr>
        <w:lastRenderedPageBreak/>
        <w:t>riduzione</w:t>
      </w:r>
      <w:r>
        <w:rPr>
          <w:rFonts w:ascii="Arial" w:hAnsi="Arial"/>
          <w:sz w:val="22"/>
          <w:szCs w:val="22"/>
          <w:shd w:val="clear" w:color="auto" w:fill="FFFFFF"/>
        </w:rPr>
        <w:t xml:space="preserve"> del 50% entro il 2030 rispetto al 2021, per arrivare </w:t>
      </w:r>
      <w:r w:rsidRPr="00983E1A">
        <w:rPr>
          <w:rFonts w:ascii="Arial" w:hAnsi="Arial"/>
          <w:sz w:val="22"/>
          <w:szCs w:val="22"/>
          <w:shd w:val="clear" w:color="auto" w:fill="FFFFFF"/>
        </w:rPr>
        <w:t>all'</w:t>
      </w:r>
      <w:hyperlink r:id="rId13" w:history="1">
        <w:r>
          <w:rPr>
            <w:rStyle w:val="Hyperlink"/>
            <w:rFonts w:ascii="Arial" w:hAnsi="Arial"/>
            <w:sz w:val="22"/>
            <w:szCs w:val="22"/>
            <w:u w:val="single"/>
            <w:shd w:val="clear" w:color="auto" w:fill="FFFFFF"/>
          </w:rPr>
          <w:t>azzeramento delle emissioni nette entro il 2038</w:t>
        </w:r>
      </w:hyperlink>
      <w:r>
        <w:rPr>
          <w:rFonts w:ascii="Arial" w:hAnsi="Arial"/>
          <w:sz w:val="22"/>
          <w:szCs w:val="22"/>
          <w:shd w:val="clear" w:color="auto" w:fill="FFFFFF"/>
        </w:rPr>
        <w:t xml:space="preserve"> con </w:t>
      </w:r>
      <w:r w:rsidR="007F55F6">
        <w:rPr>
          <w:rFonts w:ascii="Arial" w:hAnsi="Arial"/>
          <w:sz w:val="22"/>
          <w:szCs w:val="22"/>
          <w:shd w:val="clear" w:color="auto" w:fill="FFFFFF"/>
        </w:rPr>
        <w:t xml:space="preserve">una </w:t>
      </w:r>
      <w:r>
        <w:rPr>
          <w:rFonts w:ascii="Arial" w:hAnsi="Arial"/>
          <w:sz w:val="22"/>
          <w:szCs w:val="22"/>
          <w:shd w:val="clear" w:color="auto" w:fill="FFFFFF"/>
        </w:rPr>
        <w:t>compensazion</w:t>
      </w:r>
      <w:r w:rsidR="007F55F6">
        <w:rPr>
          <w:rFonts w:ascii="Arial" w:hAnsi="Arial"/>
          <w:sz w:val="22"/>
          <w:szCs w:val="22"/>
          <w:shd w:val="clear" w:color="auto" w:fill="FFFFFF"/>
        </w:rPr>
        <w:t>e</w:t>
      </w:r>
      <w:r>
        <w:rPr>
          <w:rFonts w:ascii="Arial" w:hAnsi="Arial"/>
          <w:sz w:val="22"/>
          <w:szCs w:val="22"/>
          <w:shd w:val="clear" w:color="auto" w:fill="FFFFFF"/>
        </w:rPr>
        <w:t xml:space="preserve"> a una cifra percentuale delle emissioni restanti. </w:t>
      </w:r>
    </w:p>
    <w:p w14:paraId="7F27D95E" w14:textId="6CFB8CA5" w:rsidR="004272EE" w:rsidRPr="004272EE" w:rsidRDefault="004A6921" w:rsidP="00983E1A">
      <w:pPr>
        <w:rPr>
          <w:rFonts w:ascii="Arial" w:eastAsia="Times New Roman" w:hAnsi="Arial" w:cs="Arial"/>
          <w:sz w:val="22"/>
          <w:szCs w:val="22"/>
          <w:shd w:val="clear" w:color="auto" w:fill="FFFFFF"/>
        </w:rPr>
      </w:pPr>
      <w:r>
        <w:rPr>
          <w:rFonts w:ascii="Arial" w:hAnsi="Arial"/>
          <w:sz w:val="22"/>
          <w:szCs w:val="22"/>
          <w:shd w:val="clear" w:color="auto" w:fill="FFFFFF"/>
        </w:rPr>
        <w:t>“</w:t>
      </w:r>
      <w:r w:rsidR="004272EE">
        <w:rPr>
          <w:rFonts w:ascii="Arial" w:hAnsi="Arial"/>
          <w:sz w:val="22"/>
          <w:szCs w:val="22"/>
          <w:shd w:val="clear" w:color="auto" w:fill="FFFFFF"/>
        </w:rPr>
        <w:t>Siamo molto soddisfatti che Stellantis Ventures, il braccio operativo per gli investimenti in venture capital di un</w:t>
      </w:r>
      <w:r>
        <w:rPr>
          <w:rFonts w:ascii="Arial" w:hAnsi="Arial"/>
          <w:sz w:val="22"/>
          <w:szCs w:val="22"/>
          <w:shd w:val="clear" w:color="auto" w:fill="FFFFFF"/>
        </w:rPr>
        <w:t>’</w:t>
      </w:r>
      <w:r w:rsidR="004272EE">
        <w:rPr>
          <w:rFonts w:ascii="Arial" w:hAnsi="Arial"/>
          <w:sz w:val="22"/>
          <w:szCs w:val="22"/>
          <w:shd w:val="clear" w:color="auto" w:fill="FFFFFF"/>
        </w:rPr>
        <w:t>azienda globale innovatrice nel settore automotive, abbia dimostrato di credere fortemente nei nostri supermateriali per la decarbonizzazione Lyten 3D Graphene™</w:t>
      </w:r>
      <w:r>
        <w:rPr>
          <w:rFonts w:ascii="Arial" w:hAnsi="Arial"/>
          <w:sz w:val="22"/>
          <w:szCs w:val="22"/>
          <w:shd w:val="clear" w:color="auto" w:fill="FFFFFF"/>
        </w:rPr>
        <w:t>”</w:t>
      </w:r>
      <w:r w:rsidR="004272EE">
        <w:rPr>
          <w:rFonts w:ascii="Arial" w:hAnsi="Arial"/>
          <w:sz w:val="22"/>
          <w:szCs w:val="22"/>
          <w:shd w:val="clear" w:color="auto" w:fill="FFFFFF"/>
        </w:rPr>
        <w:t xml:space="preserve">, ha dichiarato Dan Cook, </w:t>
      </w:r>
      <w:r w:rsidR="007F55F6">
        <w:rPr>
          <w:rFonts w:ascii="Arial" w:hAnsi="Arial"/>
          <w:sz w:val="22"/>
          <w:szCs w:val="22"/>
          <w:shd w:val="clear" w:color="auto" w:fill="FFFFFF"/>
        </w:rPr>
        <w:t>P</w:t>
      </w:r>
      <w:r w:rsidR="004272EE">
        <w:rPr>
          <w:rFonts w:ascii="Arial" w:hAnsi="Arial"/>
          <w:sz w:val="22"/>
          <w:szCs w:val="22"/>
          <w:shd w:val="clear" w:color="auto" w:fill="FFFFFF"/>
        </w:rPr>
        <w:t xml:space="preserve">residente e CEO di Lyten. </w:t>
      </w:r>
      <w:r>
        <w:rPr>
          <w:rFonts w:ascii="Arial" w:hAnsi="Arial"/>
          <w:sz w:val="22"/>
          <w:szCs w:val="22"/>
          <w:shd w:val="clear" w:color="auto" w:fill="FFFFFF"/>
        </w:rPr>
        <w:t>“</w:t>
      </w:r>
      <w:r w:rsidR="004272EE">
        <w:rPr>
          <w:rFonts w:ascii="Arial" w:hAnsi="Arial"/>
          <w:sz w:val="22"/>
          <w:szCs w:val="22"/>
          <w:shd w:val="clear" w:color="auto" w:fill="FFFFFF"/>
        </w:rPr>
        <w:t>Tra le innovazioni dei prodotti per l</w:t>
      </w:r>
      <w:r>
        <w:rPr>
          <w:rFonts w:ascii="Arial" w:hAnsi="Arial"/>
          <w:sz w:val="22"/>
          <w:szCs w:val="22"/>
          <w:shd w:val="clear" w:color="auto" w:fill="FFFFFF"/>
        </w:rPr>
        <w:t>’</w:t>
      </w:r>
      <w:r w:rsidR="004272EE">
        <w:rPr>
          <w:rFonts w:ascii="Arial" w:hAnsi="Arial"/>
          <w:sz w:val="22"/>
          <w:szCs w:val="22"/>
          <w:shd w:val="clear" w:color="auto" w:fill="FFFFFF"/>
        </w:rPr>
        <w:t xml:space="preserve">automotive che subiranno una trasformazione grazie al Lyten 3D Graphene™ ci sono le batterie al litio-zolfo, potenzialmente in grado di offrire una densità energetica più che doppia rispetto alle batterie agli ioni di litio, materiali compositi leggeri per i veicoli che aumenteranno il carico utile e nuove modalità di rilevamento che non richiedono chip, batterie o cavi. Il nostro impegno è volto a offrire ognuna di queste applicazioni </w:t>
      </w:r>
      <w:r w:rsidR="007B6622">
        <w:rPr>
          <w:rFonts w:ascii="Arial" w:hAnsi="Arial"/>
          <w:sz w:val="22"/>
          <w:szCs w:val="22"/>
          <w:shd w:val="clear" w:color="auto" w:fill="FFFFFF"/>
        </w:rPr>
        <w:t>per</w:t>
      </w:r>
      <w:r w:rsidR="004272EE">
        <w:rPr>
          <w:rFonts w:ascii="Arial" w:hAnsi="Arial"/>
          <w:sz w:val="22"/>
          <w:szCs w:val="22"/>
          <w:shd w:val="clear" w:color="auto" w:fill="FFFFFF"/>
        </w:rPr>
        <w:t xml:space="preserve"> Stellantis e </w:t>
      </w:r>
      <w:r w:rsidR="007B6622">
        <w:rPr>
          <w:rFonts w:ascii="Arial" w:hAnsi="Arial"/>
          <w:sz w:val="22"/>
          <w:szCs w:val="22"/>
          <w:shd w:val="clear" w:color="auto" w:fill="FFFFFF"/>
        </w:rPr>
        <w:t>per</w:t>
      </w:r>
      <w:r w:rsidR="004272EE">
        <w:rPr>
          <w:rFonts w:ascii="Arial" w:hAnsi="Arial"/>
          <w:sz w:val="22"/>
          <w:szCs w:val="22"/>
          <w:shd w:val="clear" w:color="auto" w:fill="FFFFFF"/>
        </w:rPr>
        <w:t xml:space="preserve"> mercato dell</w:t>
      </w:r>
      <w:r>
        <w:rPr>
          <w:rFonts w:ascii="Arial" w:hAnsi="Arial"/>
          <w:sz w:val="22"/>
          <w:szCs w:val="22"/>
          <w:shd w:val="clear" w:color="auto" w:fill="FFFFFF"/>
        </w:rPr>
        <w:t>’</w:t>
      </w:r>
      <w:r w:rsidR="004272EE">
        <w:rPr>
          <w:rFonts w:ascii="Arial" w:hAnsi="Arial"/>
          <w:sz w:val="22"/>
          <w:szCs w:val="22"/>
          <w:shd w:val="clear" w:color="auto" w:fill="FFFFFF"/>
        </w:rPr>
        <w:t>automotive.</w:t>
      </w:r>
      <w:r>
        <w:rPr>
          <w:rFonts w:ascii="Arial" w:hAnsi="Arial"/>
          <w:sz w:val="22"/>
          <w:szCs w:val="22"/>
          <w:shd w:val="clear" w:color="auto" w:fill="FFFFFF"/>
        </w:rPr>
        <w:t>”</w:t>
      </w:r>
    </w:p>
    <w:p w14:paraId="2296C34D" w14:textId="357C35BC" w:rsidR="004272EE" w:rsidRPr="004272EE" w:rsidRDefault="004272EE" w:rsidP="00983E1A">
      <w:pPr>
        <w:rPr>
          <w:rFonts w:ascii="Arial" w:eastAsia="Times New Roman" w:hAnsi="Arial" w:cs="Arial"/>
          <w:sz w:val="22"/>
          <w:szCs w:val="22"/>
          <w:shd w:val="clear" w:color="auto" w:fill="FFFFFF"/>
        </w:rPr>
      </w:pPr>
      <w:r>
        <w:rPr>
          <w:rFonts w:ascii="Arial" w:hAnsi="Arial"/>
          <w:sz w:val="22"/>
          <w:szCs w:val="22"/>
          <w:shd w:val="clear" w:color="auto" w:fill="FFFFFF"/>
        </w:rPr>
        <w:t xml:space="preserve">Cook ha proseguito: </w:t>
      </w:r>
      <w:r w:rsidR="004A6921">
        <w:rPr>
          <w:rFonts w:ascii="Arial" w:hAnsi="Arial"/>
          <w:sz w:val="22"/>
          <w:szCs w:val="22"/>
          <w:shd w:val="clear" w:color="auto" w:fill="FFFFFF"/>
        </w:rPr>
        <w:t>“</w:t>
      </w:r>
      <w:r>
        <w:rPr>
          <w:rFonts w:ascii="Arial" w:hAnsi="Arial"/>
          <w:sz w:val="22"/>
          <w:szCs w:val="22"/>
          <w:shd w:val="clear" w:color="auto" w:fill="FFFFFF"/>
        </w:rPr>
        <w:t>Diversamente dalle forme bidimensionali del grafene, la produzione del nostro Lyten 3D Graphene™ sintonizzabile è stata sottoposta a verifica indipendente e giudicata a impatto zero su larga scala. Stiamo convertendo i gas a effetto serra in una nuova classe di materiali al carbonio ad alte prestazioni e di elevato valore e integrando questi materiali sintonizzati in applicazioni che decarbonizzeranno i settori più problematici del pianeta.</w:t>
      </w:r>
      <w:r w:rsidR="004A6921">
        <w:rPr>
          <w:rFonts w:ascii="Arial" w:hAnsi="Arial"/>
          <w:sz w:val="22"/>
          <w:szCs w:val="22"/>
          <w:shd w:val="clear" w:color="auto" w:fill="FFFFFF"/>
        </w:rPr>
        <w:t>”</w:t>
      </w:r>
      <w:r>
        <w:rPr>
          <w:rFonts w:ascii="Arial" w:hAnsi="Arial"/>
          <w:sz w:val="22"/>
          <w:szCs w:val="22"/>
          <w:shd w:val="clear" w:color="auto" w:fill="FFFFFF"/>
        </w:rPr>
        <w:t xml:space="preserve">  </w:t>
      </w:r>
    </w:p>
    <w:p w14:paraId="1B2ABFBC" w14:textId="4BE1BFB9" w:rsidR="004272EE" w:rsidRPr="004272EE" w:rsidRDefault="004A6921" w:rsidP="00983E1A">
      <w:pPr>
        <w:rPr>
          <w:rFonts w:ascii="Arial" w:eastAsia="Times New Roman" w:hAnsi="Arial" w:cs="Arial"/>
          <w:sz w:val="22"/>
          <w:szCs w:val="22"/>
          <w:shd w:val="clear" w:color="auto" w:fill="FFFFFF"/>
        </w:rPr>
      </w:pPr>
      <w:r>
        <w:rPr>
          <w:rFonts w:ascii="Arial" w:hAnsi="Arial"/>
          <w:sz w:val="22"/>
          <w:szCs w:val="22"/>
          <w:shd w:val="clear" w:color="auto" w:fill="FFFFFF"/>
        </w:rPr>
        <w:t>“</w:t>
      </w:r>
      <w:r w:rsidR="00081F0A" w:rsidRPr="00081F0A">
        <w:rPr>
          <w:rFonts w:ascii="Arial" w:hAnsi="Arial"/>
          <w:sz w:val="22"/>
          <w:szCs w:val="22"/>
          <w:shd w:val="clear" w:color="auto" w:fill="FFFFFF"/>
        </w:rPr>
        <w:t>Avendo visitato</w:t>
      </w:r>
      <w:r w:rsidR="00081F0A">
        <w:rPr>
          <w:rFonts w:ascii="Arial" w:hAnsi="Arial"/>
          <w:sz w:val="22"/>
          <w:szCs w:val="22"/>
          <w:shd w:val="clear" w:color="auto" w:fill="FFFFFF"/>
        </w:rPr>
        <w:t xml:space="preserve"> </w:t>
      </w:r>
      <w:r w:rsidR="00081F0A" w:rsidRPr="00081F0A">
        <w:rPr>
          <w:rFonts w:ascii="Arial" w:hAnsi="Arial"/>
          <w:sz w:val="22"/>
          <w:szCs w:val="22"/>
          <w:shd w:val="clear" w:color="auto" w:fill="FFFFFF"/>
        </w:rPr>
        <w:t>di recente</w:t>
      </w:r>
      <w:r w:rsidR="00081F0A">
        <w:rPr>
          <w:rFonts w:ascii="Arial" w:hAnsi="Arial"/>
          <w:sz w:val="22"/>
          <w:szCs w:val="22"/>
          <w:shd w:val="clear" w:color="auto" w:fill="FFFFFF"/>
        </w:rPr>
        <w:t xml:space="preserve"> </w:t>
      </w:r>
      <w:r w:rsidR="00081F0A" w:rsidRPr="00081F0A">
        <w:rPr>
          <w:rFonts w:ascii="Arial" w:hAnsi="Arial"/>
          <w:sz w:val="22"/>
          <w:szCs w:val="22"/>
          <w:shd w:val="clear" w:color="auto" w:fill="FFFFFF"/>
        </w:rPr>
        <w:t xml:space="preserve">Lyten insieme al nostro CTO Ned Curic e al nostro </w:t>
      </w:r>
      <w:r w:rsidR="00081F0A">
        <w:rPr>
          <w:rFonts w:ascii="Arial" w:hAnsi="Arial"/>
          <w:sz w:val="22"/>
          <w:szCs w:val="22"/>
          <w:shd w:val="clear" w:color="auto" w:fill="FFFFFF"/>
        </w:rPr>
        <w:t>R</w:t>
      </w:r>
      <w:r w:rsidR="00081F0A" w:rsidRPr="00081F0A">
        <w:rPr>
          <w:rFonts w:ascii="Arial" w:hAnsi="Arial"/>
          <w:sz w:val="22"/>
          <w:szCs w:val="22"/>
          <w:shd w:val="clear" w:color="auto" w:fill="FFFFFF"/>
        </w:rPr>
        <w:t xml:space="preserve">esponsabile di Stellantis Ventures, Adam Bazih, siamo rimasti impressionati dal potenziale di questa tecnologia </w:t>
      </w:r>
      <w:r w:rsidR="00CE4AD9">
        <w:rPr>
          <w:rFonts w:ascii="Arial" w:hAnsi="Arial"/>
          <w:sz w:val="22"/>
          <w:szCs w:val="22"/>
          <w:shd w:val="clear" w:color="auto" w:fill="FFFFFF"/>
        </w:rPr>
        <w:t>in grado di</w:t>
      </w:r>
      <w:r w:rsidR="00081F0A" w:rsidRPr="00081F0A">
        <w:rPr>
          <w:rFonts w:ascii="Arial" w:hAnsi="Arial"/>
          <w:sz w:val="22"/>
          <w:szCs w:val="22"/>
          <w:shd w:val="clear" w:color="auto" w:fill="FFFFFF"/>
        </w:rPr>
        <w:t xml:space="preserve"> contribuire a una mobilità pulita, sicura e accessibile</w:t>
      </w:r>
      <w:r>
        <w:rPr>
          <w:rFonts w:ascii="Arial" w:hAnsi="Arial"/>
          <w:sz w:val="22"/>
          <w:szCs w:val="22"/>
          <w:shd w:val="clear" w:color="auto" w:fill="FFFFFF"/>
        </w:rPr>
        <w:t>”</w:t>
      </w:r>
      <w:r w:rsidR="00081F0A" w:rsidRPr="00081F0A">
        <w:rPr>
          <w:rFonts w:ascii="Arial" w:hAnsi="Arial"/>
          <w:sz w:val="22"/>
          <w:szCs w:val="22"/>
          <w:shd w:val="clear" w:color="auto" w:fill="FFFFFF"/>
        </w:rPr>
        <w:t>, ha dichiarato Carlos Tavares, CEO di Stellantis.</w:t>
      </w:r>
      <w:r w:rsidR="00081F0A">
        <w:rPr>
          <w:rFonts w:ascii="Arial" w:hAnsi="Arial"/>
          <w:sz w:val="22"/>
          <w:szCs w:val="22"/>
          <w:shd w:val="clear" w:color="auto" w:fill="FFFFFF"/>
        </w:rPr>
        <w:t xml:space="preserve"> </w:t>
      </w:r>
      <w:r w:rsidR="004272EE">
        <w:rPr>
          <w:rFonts w:ascii="Arial" w:hAnsi="Arial"/>
          <w:sz w:val="22"/>
          <w:szCs w:val="22"/>
          <w:shd w:val="clear" w:color="auto" w:fill="FFFFFF"/>
        </w:rPr>
        <w:t xml:space="preserve">La piattaforma di materiali di Lyten rappresenta un investimento chiave per Stellantis Ventures, in linea </w:t>
      </w:r>
      <w:r w:rsidR="00CE4AD9">
        <w:rPr>
          <w:rFonts w:ascii="Arial" w:hAnsi="Arial"/>
          <w:sz w:val="22"/>
          <w:szCs w:val="22"/>
          <w:shd w:val="clear" w:color="auto" w:fill="FFFFFF"/>
        </w:rPr>
        <w:t xml:space="preserve">con </w:t>
      </w:r>
      <w:r w:rsidR="004272EE">
        <w:rPr>
          <w:rFonts w:ascii="Arial" w:hAnsi="Arial"/>
          <w:sz w:val="22"/>
          <w:szCs w:val="22"/>
          <w:shd w:val="clear" w:color="auto" w:fill="FFFFFF"/>
        </w:rPr>
        <w:t>l</w:t>
      </w:r>
      <w:r>
        <w:rPr>
          <w:rFonts w:ascii="Arial" w:hAnsi="Arial"/>
          <w:sz w:val="22"/>
          <w:szCs w:val="22"/>
          <w:shd w:val="clear" w:color="auto" w:fill="FFFFFF"/>
        </w:rPr>
        <w:t>’</w:t>
      </w:r>
      <w:r w:rsidR="004272EE">
        <w:rPr>
          <w:rFonts w:ascii="Arial" w:hAnsi="Arial"/>
          <w:sz w:val="22"/>
          <w:szCs w:val="22"/>
          <w:shd w:val="clear" w:color="auto" w:fill="FFFFFF"/>
        </w:rPr>
        <w:t>obiettivo aziendale del Dare Forward 2030 di accelerare l</w:t>
      </w:r>
      <w:r>
        <w:rPr>
          <w:rFonts w:ascii="Arial" w:hAnsi="Arial"/>
          <w:sz w:val="22"/>
          <w:szCs w:val="22"/>
          <w:shd w:val="clear" w:color="auto" w:fill="FFFFFF"/>
        </w:rPr>
        <w:t>’</w:t>
      </w:r>
      <w:r w:rsidR="004272EE">
        <w:rPr>
          <w:rFonts w:ascii="Arial" w:hAnsi="Arial"/>
          <w:sz w:val="22"/>
          <w:szCs w:val="22"/>
          <w:shd w:val="clear" w:color="auto" w:fill="FFFFFF"/>
        </w:rPr>
        <w:t>impiego di tecnologie innovative mettendo il cliente al centro</w:t>
      </w:r>
      <w:r w:rsidR="00CE4AD9">
        <w:rPr>
          <w:rFonts w:ascii="Arial" w:hAnsi="Arial"/>
          <w:sz w:val="22"/>
          <w:szCs w:val="22"/>
          <w:shd w:val="clear" w:color="auto" w:fill="FFFFFF"/>
        </w:rPr>
        <w:t>. In particolare,</w:t>
      </w:r>
      <w:r w:rsidR="004272EE">
        <w:rPr>
          <w:rFonts w:ascii="Arial" w:hAnsi="Arial"/>
          <w:sz w:val="22"/>
          <w:szCs w:val="22"/>
          <w:shd w:val="clear" w:color="auto" w:fill="FFFFFF"/>
        </w:rPr>
        <w:t xml:space="preserve"> </w:t>
      </w:r>
      <w:r w:rsidR="00CE4AD9">
        <w:rPr>
          <w:rFonts w:ascii="Arial" w:hAnsi="Arial"/>
          <w:sz w:val="22"/>
          <w:szCs w:val="22"/>
          <w:shd w:val="clear" w:color="auto" w:fill="FFFFFF"/>
        </w:rPr>
        <w:t>l</w:t>
      </w:r>
      <w:r w:rsidR="004272EE">
        <w:rPr>
          <w:rFonts w:ascii="Arial" w:hAnsi="Arial"/>
          <w:sz w:val="22"/>
          <w:szCs w:val="22"/>
          <w:shd w:val="clear" w:color="auto" w:fill="FFFFFF"/>
        </w:rPr>
        <w:t>e batterie al litio-zolfo di Lyten hanno il potenziale per diventare un ingrediente chiave nel promuovere l</w:t>
      </w:r>
      <w:r>
        <w:rPr>
          <w:rFonts w:ascii="Arial" w:hAnsi="Arial"/>
          <w:sz w:val="22"/>
          <w:szCs w:val="22"/>
          <w:shd w:val="clear" w:color="auto" w:fill="FFFFFF"/>
        </w:rPr>
        <w:t>’</w:t>
      </w:r>
      <w:r w:rsidR="004272EE">
        <w:rPr>
          <w:rFonts w:ascii="Arial" w:hAnsi="Arial"/>
          <w:sz w:val="22"/>
          <w:szCs w:val="22"/>
          <w:shd w:val="clear" w:color="auto" w:fill="FFFFFF"/>
        </w:rPr>
        <w:t>adozione dei veicoli elettrici sul mercato di massa a livello globale. Allo stesso modo, la tecnologia dei</w:t>
      </w:r>
      <w:r w:rsidR="00D05AB7">
        <w:rPr>
          <w:rFonts w:ascii="Arial" w:hAnsi="Arial"/>
          <w:sz w:val="22"/>
          <w:szCs w:val="22"/>
          <w:shd w:val="clear" w:color="auto" w:fill="FFFFFF"/>
        </w:rPr>
        <w:t xml:space="preserve"> loro</w:t>
      </w:r>
      <w:r w:rsidR="004272EE">
        <w:rPr>
          <w:rFonts w:ascii="Arial" w:hAnsi="Arial"/>
          <w:sz w:val="22"/>
          <w:szCs w:val="22"/>
          <w:shd w:val="clear" w:color="auto" w:fill="FFFFFF"/>
        </w:rPr>
        <w:t xml:space="preserve"> materiali potrebbe contribuire a ridurre il peso dei veicoli, un risultato che il </w:t>
      </w:r>
      <w:r w:rsidR="00D05AB7">
        <w:rPr>
          <w:rFonts w:ascii="Arial" w:hAnsi="Arial"/>
          <w:sz w:val="22"/>
          <w:szCs w:val="22"/>
          <w:shd w:val="clear" w:color="auto" w:fill="FFFFFF"/>
        </w:rPr>
        <w:t xml:space="preserve">nostro </w:t>
      </w:r>
      <w:r w:rsidR="004272EE">
        <w:rPr>
          <w:rFonts w:ascii="Arial" w:hAnsi="Arial"/>
          <w:sz w:val="22"/>
          <w:szCs w:val="22"/>
          <w:shd w:val="clear" w:color="auto" w:fill="FFFFFF"/>
        </w:rPr>
        <w:t>settore dovrà necessariamente ottenere per raggiungere gli obiettivi di azzeramento delle emissioni nette</w:t>
      </w:r>
      <w:r w:rsidR="00CE4AD9">
        <w:rPr>
          <w:rFonts w:ascii="Arial" w:hAnsi="Arial"/>
          <w:sz w:val="22"/>
          <w:szCs w:val="22"/>
          <w:shd w:val="clear" w:color="auto" w:fill="FFFFFF"/>
        </w:rPr>
        <w:t xml:space="preserve"> di carbonio</w:t>
      </w:r>
      <w:r w:rsidR="004272EE">
        <w:rPr>
          <w:rFonts w:ascii="Arial" w:hAnsi="Arial"/>
          <w:sz w:val="22"/>
          <w:szCs w:val="22"/>
          <w:shd w:val="clear" w:color="auto" w:fill="FFFFFF"/>
        </w:rPr>
        <w:t>.</w:t>
      </w:r>
      <w:r>
        <w:rPr>
          <w:rFonts w:ascii="Arial" w:hAnsi="Arial"/>
          <w:sz w:val="22"/>
          <w:szCs w:val="22"/>
          <w:shd w:val="clear" w:color="auto" w:fill="FFFFFF"/>
        </w:rPr>
        <w:t>”</w:t>
      </w:r>
    </w:p>
    <w:p w14:paraId="6ED2F60C" w14:textId="35009DAB" w:rsidR="004272EE" w:rsidRPr="004272EE" w:rsidRDefault="004272EE" w:rsidP="00983E1A">
      <w:pPr>
        <w:rPr>
          <w:rFonts w:ascii="Arial" w:eastAsia="Times New Roman" w:hAnsi="Arial" w:cs="Arial"/>
          <w:sz w:val="22"/>
          <w:szCs w:val="22"/>
          <w:shd w:val="clear" w:color="auto" w:fill="FFFFFF"/>
        </w:rPr>
      </w:pPr>
      <w:r>
        <w:rPr>
          <w:rFonts w:ascii="Arial" w:hAnsi="Arial"/>
          <w:sz w:val="22"/>
          <w:szCs w:val="22"/>
          <w:shd w:val="clear" w:color="auto" w:fill="FFFFFF"/>
        </w:rPr>
        <w:t xml:space="preserve">Considerata la grave scarsità di materiali per le batterie tradizionali agli ioni di litio che sta penalizzando la produzione dei veicoli elettrici, </w:t>
      </w:r>
      <w:r w:rsidR="00D05AB7">
        <w:rPr>
          <w:rFonts w:ascii="Arial" w:hAnsi="Arial"/>
          <w:sz w:val="22"/>
          <w:szCs w:val="22"/>
          <w:shd w:val="clear" w:color="auto" w:fill="FFFFFF"/>
        </w:rPr>
        <w:t>le batterie al litio-zolfo di Lyten</w:t>
      </w:r>
      <w:r>
        <w:rPr>
          <w:rFonts w:ascii="Arial" w:hAnsi="Arial"/>
          <w:sz w:val="22"/>
          <w:szCs w:val="22"/>
          <w:shd w:val="clear" w:color="auto" w:fill="FFFFFF"/>
        </w:rPr>
        <w:t xml:space="preserve"> offriranno una soluzione alternativa con catodi senza nichel, manganese e cobalto, promuovendo la transizione globale verso i veicoli elettrici a livello di mercato di massa. </w:t>
      </w:r>
      <w:r w:rsidR="005E0949" w:rsidRPr="005E0949">
        <w:rPr>
          <w:rFonts w:ascii="Arial" w:hAnsi="Arial"/>
          <w:sz w:val="22"/>
          <w:szCs w:val="22"/>
          <w:shd w:val="clear" w:color="auto" w:fill="FFFFFF"/>
        </w:rPr>
        <w:t>L</w:t>
      </w:r>
      <w:r w:rsidR="004A6921">
        <w:rPr>
          <w:rFonts w:ascii="Arial" w:hAnsi="Arial"/>
          <w:sz w:val="22"/>
          <w:szCs w:val="22"/>
          <w:shd w:val="clear" w:color="auto" w:fill="FFFFFF"/>
        </w:rPr>
        <w:t>’</w:t>
      </w:r>
      <w:r w:rsidR="005E0949" w:rsidRPr="005E0949">
        <w:rPr>
          <w:rFonts w:ascii="Arial" w:hAnsi="Arial"/>
          <w:sz w:val="22"/>
          <w:szCs w:val="22"/>
          <w:shd w:val="clear" w:color="auto" w:fill="FFFFFF"/>
        </w:rPr>
        <w:t>obiettivo di Lyten</w:t>
      </w:r>
      <w:r>
        <w:rPr>
          <w:rFonts w:ascii="Arial" w:hAnsi="Arial"/>
          <w:sz w:val="22"/>
          <w:szCs w:val="22"/>
          <w:shd w:val="clear" w:color="auto" w:fill="FFFFFF"/>
        </w:rPr>
        <w:t xml:space="preserve"> consiste nell</w:t>
      </w:r>
      <w:r w:rsidR="004A6921">
        <w:rPr>
          <w:rFonts w:ascii="Arial" w:hAnsi="Arial"/>
          <w:sz w:val="22"/>
          <w:szCs w:val="22"/>
          <w:shd w:val="clear" w:color="auto" w:fill="FFFFFF"/>
        </w:rPr>
        <w:t>’</w:t>
      </w:r>
      <w:r>
        <w:rPr>
          <w:rFonts w:ascii="Arial" w:hAnsi="Arial"/>
          <w:sz w:val="22"/>
          <w:szCs w:val="22"/>
          <w:shd w:val="clear" w:color="auto" w:fill="FFFFFF"/>
        </w:rPr>
        <w:t xml:space="preserve">offrire ai </w:t>
      </w:r>
      <w:r w:rsidR="005E0949">
        <w:rPr>
          <w:rFonts w:ascii="Arial" w:hAnsi="Arial"/>
          <w:sz w:val="22"/>
          <w:szCs w:val="22"/>
          <w:shd w:val="clear" w:color="auto" w:fill="FFFFFF"/>
        </w:rPr>
        <w:t xml:space="preserve">propri </w:t>
      </w:r>
      <w:r>
        <w:rPr>
          <w:rFonts w:ascii="Arial" w:hAnsi="Arial"/>
          <w:sz w:val="22"/>
          <w:szCs w:val="22"/>
          <w:shd w:val="clear" w:color="auto" w:fill="FFFFFF"/>
        </w:rPr>
        <w:t xml:space="preserve">clienti una fonte di approvvigionamento sicura di prodotti performanti e sostenibili in termini ambientali, consentendo allo stesso tempo ai costruttori di auto di beneficiare dei crescenti incentivi previsti dalle politiche statunitensi ed europee, come quelli </w:t>
      </w:r>
      <w:r w:rsidR="005E0949">
        <w:rPr>
          <w:rFonts w:ascii="Arial" w:hAnsi="Arial"/>
          <w:sz w:val="22"/>
          <w:szCs w:val="22"/>
          <w:shd w:val="clear" w:color="auto" w:fill="FFFFFF"/>
        </w:rPr>
        <w:t xml:space="preserve">previsti </w:t>
      </w:r>
      <w:r>
        <w:rPr>
          <w:rFonts w:ascii="Arial" w:hAnsi="Arial"/>
          <w:sz w:val="22"/>
          <w:szCs w:val="22"/>
          <w:shd w:val="clear" w:color="auto" w:fill="FFFFFF"/>
        </w:rPr>
        <w:t>nell</w:t>
      </w:r>
      <w:r w:rsidR="004A6921">
        <w:rPr>
          <w:rFonts w:ascii="Arial" w:hAnsi="Arial"/>
          <w:sz w:val="22"/>
          <w:szCs w:val="22"/>
          <w:shd w:val="clear" w:color="auto" w:fill="FFFFFF"/>
        </w:rPr>
        <w:t>’</w:t>
      </w:r>
      <w:r>
        <w:rPr>
          <w:rFonts w:ascii="Arial" w:hAnsi="Arial"/>
          <w:sz w:val="22"/>
          <w:szCs w:val="22"/>
          <w:shd w:val="clear" w:color="auto" w:fill="FFFFFF"/>
        </w:rPr>
        <w:t>Inflation Reduction Act.</w:t>
      </w:r>
      <w:r w:rsidR="004A6921">
        <w:rPr>
          <w:rFonts w:ascii="Arial" w:hAnsi="Arial"/>
          <w:sz w:val="22"/>
          <w:szCs w:val="22"/>
          <w:shd w:val="clear" w:color="auto" w:fill="FFFFFF"/>
        </w:rPr>
        <w:t>”</w:t>
      </w:r>
    </w:p>
    <w:p w14:paraId="6D50FBF9" w14:textId="6354DFBA" w:rsidR="004272EE" w:rsidRDefault="004272EE" w:rsidP="00983E1A">
      <w:pPr>
        <w:rPr>
          <w:rFonts w:ascii="Arial" w:eastAsia="Times New Roman" w:hAnsi="Arial" w:cs="Arial"/>
          <w:sz w:val="22"/>
          <w:szCs w:val="22"/>
          <w:shd w:val="clear" w:color="auto" w:fill="FFFFFF"/>
        </w:rPr>
      </w:pPr>
      <w:r>
        <w:rPr>
          <w:rFonts w:ascii="Arial" w:hAnsi="Arial"/>
          <w:sz w:val="22"/>
          <w:szCs w:val="22"/>
          <w:shd w:val="clear" w:color="auto" w:fill="FFFFFF"/>
        </w:rPr>
        <w:t xml:space="preserve">Attualmente le tecnologie per le batterie al litio-zolfo, i materiali compositi e i sensori di Lyten </w:t>
      </w:r>
      <w:r w:rsidR="00E145EF">
        <w:rPr>
          <w:rFonts w:ascii="Arial" w:hAnsi="Arial"/>
          <w:sz w:val="22"/>
          <w:szCs w:val="22"/>
          <w:shd w:val="clear" w:color="auto" w:fill="FFFFFF"/>
        </w:rPr>
        <w:t xml:space="preserve">saranno inizialmente </w:t>
      </w:r>
      <w:r>
        <w:rPr>
          <w:rFonts w:ascii="Arial" w:hAnsi="Arial"/>
          <w:sz w:val="22"/>
          <w:szCs w:val="22"/>
          <w:shd w:val="clear" w:color="auto" w:fill="FFFFFF"/>
        </w:rPr>
        <w:t>prodott</w:t>
      </w:r>
      <w:r w:rsidR="00E145EF">
        <w:rPr>
          <w:rFonts w:ascii="Arial" w:hAnsi="Arial"/>
          <w:sz w:val="22"/>
          <w:szCs w:val="22"/>
          <w:shd w:val="clear" w:color="auto" w:fill="FFFFFF"/>
        </w:rPr>
        <w:t>i</w:t>
      </w:r>
      <w:r>
        <w:rPr>
          <w:rFonts w:ascii="Arial" w:hAnsi="Arial"/>
          <w:sz w:val="22"/>
          <w:szCs w:val="22"/>
          <w:shd w:val="clear" w:color="auto" w:fill="FFFFFF"/>
        </w:rPr>
        <w:t xml:space="preserve"> presso la sua sede di oltre </w:t>
      </w:r>
      <w:r w:rsidR="00E145EF">
        <w:rPr>
          <w:rFonts w:ascii="Arial" w:hAnsi="Arial"/>
          <w:sz w:val="22"/>
          <w:szCs w:val="22"/>
          <w:shd w:val="clear" w:color="auto" w:fill="FFFFFF"/>
        </w:rPr>
        <w:t>13</w:t>
      </w:r>
      <w:r>
        <w:rPr>
          <w:rFonts w:ascii="Arial" w:hAnsi="Arial"/>
          <w:sz w:val="22"/>
          <w:szCs w:val="22"/>
          <w:shd w:val="clear" w:color="auto" w:fill="FFFFFF"/>
        </w:rPr>
        <w:t xml:space="preserve">.000 metri quadri </w:t>
      </w:r>
      <w:r w:rsidR="00E145EF">
        <w:rPr>
          <w:rFonts w:ascii="Arial" w:hAnsi="Arial"/>
          <w:sz w:val="22"/>
          <w:szCs w:val="22"/>
          <w:shd w:val="clear" w:color="auto" w:fill="FFFFFF"/>
        </w:rPr>
        <w:t>nella Silicon Valley</w:t>
      </w:r>
      <w:r>
        <w:rPr>
          <w:rFonts w:ascii="Arial" w:hAnsi="Arial"/>
          <w:sz w:val="22"/>
          <w:szCs w:val="22"/>
          <w:shd w:val="clear" w:color="auto" w:fill="FFFFFF"/>
        </w:rPr>
        <w:t xml:space="preserve">. </w:t>
      </w:r>
      <w:r w:rsidR="00E145EF" w:rsidRPr="00E145EF">
        <w:rPr>
          <w:rFonts w:ascii="Arial" w:hAnsi="Arial"/>
          <w:sz w:val="22"/>
          <w:szCs w:val="22"/>
          <w:shd w:val="clear" w:color="auto" w:fill="FFFFFF"/>
        </w:rPr>
        <w:t xml:space="preserve">Oltre alla produzione di batterie per veicoli elettrici, Lyten sta collaborando con </w:t>
      </w:r>
      <w:r w:rsidR="00E145EF">
        <w:rPr>
          <w:rFonts w:ascii="Arial" w:hAnsi="Arial"/>
          <w:sz w:val="22"/>
          <w:szCs w:val="22"/>
          <w:shd w:val="clear" w:color="auto" w:fill="FFFFFF"/>
        </w:rPr>
        <w:t xml:space="preserve">vecchi </w:t>
      </w:r>
      <w:r w:rsidR="00E145EF" w:rsidRPr="00E145EF">
        <w:rPr>
          <w:rFonts w:ascii="Arial" w:hAnsi="Arial"/>
          <w:sz w:val="22"/>
          <w:szCs w:val="22"/>
          <w:shd w:val="clear" w:color="auto" w:fill="FFFFFF"/>
        </w:rPr>
        <w:t>clienti per iniziare a fornire batterie al litio-zolfo e compositi infusi con grafene 3D per mercati speciali nel 2023.</w:t>
      </w:r>
      <w:r>
        <w:rPr>
          <w:rFonts w:ascii="Arial" w:hAnsi="Arial"/>
          <w:sz w:val="22"/>
          <w:szCs w:val="22"/>
          <w:shd w:val="clear" w:color="auto" w:fill="FFFFFF"/>
        </w:rPr>
        <w:t xml:space="preserve"> Lyten collabora con i propri investitori strategici appartenenti a svariati settori per l</w:t>
      </w:r>
      <w:r w:rsidR="004A6921">
        <w:rPr>
          <w:rFonts w:ascii="Arial" w:hAnsi="Arial"/>
          <w:sz w:val="22"/>
          <w:szCs w:val="22"/>
          <w:shd w:val="clear" w:color="auto" w:fill="FFFFFF"/>
        </w:rPr>
        <w:t>’</w:t>
      </w:r>
      <w:r>
        <w:rPr>
          <w:rFonts w:ascii="Arial" w:hAnsi="Arial"/>
          <w:sz w:val="22"/>
          <w:szCs w:val="22"/>
          <w:shd w:val="clear" w:color="auto" w:fill="FFFFFF"/>
        </w:rPr>
        <w:t xml:space="preserve">applicazione di materiali a base di Lyten 3D Graphene ai fini della decarbonizzazione di altri settori </w:t>
      </w:r>
      <w:r w:rsidR="00E145EF">
        <w:rPr>
          <w:rFonts w:ascii="Arial" w:hAnsi="Arial"/>
          <w:sz w:val="22"/>
          <w:szCs w:val="22"/>
          <w:shd w:val="clear" w:color="auto" w:fill="FFFFFF"/>
        </w:rPr>
        <w:t>ad alta intensità di carbonio</w:t>
      </w:r>
      <w:r>
        <w:rPr>
          <w:rFonts w:ascii="Arial" w:hAnsi="Arial"/>
          <w:sz w:val="22"/>
          <w:szCs w:val="22"/>
          <w:shd w:val="clear" w:color="auto" w:fill="FFFFFF"/>
        </w:rPr>
        <w:t>, oltre a quello dei trasporti, e sono previsti ulteriori annunci nel corso di quest</w:t>
      </w:r>
      <w:r w:rsidR="004A6921">
        <w:rPr>
          <w:rFonts w:ascii="Arial" w:hAnsi="Arial"/>
          <w:sz w:val="22"/>
          <w:szCs w:val="22"/>
          <w:shd w:val="clear" w:color="auto" w:fill="FFFFFF"/>
        </w:rPr>
        <w:t>’</w:t>
      </w:r>
      <w:r>
        <w:rPr>
          <w:rFonts w:ascii="Arial" w:hAnsi="Arial"/>
          <w:sz w:val="22"/>
          <w:szCs w:val="22"/>
          <w:shd w:val="clear" w:color="auto" w:fill="FFFFFF"/>
        </w:rPr>
        <w:t xml:space="preserve">anno. </w:t>
      </w:r>
    </w:p>
    <w:p w14:paraId="07C8C529" w14:textId="77777777" w:rsidR="004272EE" w:rsidRPr="00E241A7" w:rsidRDefault="004272EE" w:rsidP="004272EE">
      <w:pPr>
        <w:jc w:val="center"/>
        <w:rPr>
          <w:rFonts w:ascii="Arial" w:eastAsia="Encode Sans" w:hAnsi="Arial" w:cs="Arial"/>
          <w:sz w:val="22"/>
          <w:szCs w:val="22"/>
        </w:rPr>
      </w:pPr>
      <w:r>
        <w:rPr>
          <w:rFonts w:ascii="Arial" w:hAnsi="Arial"/>
          <w:sz w:val="22"/>
          <w:szCs w:val="22"/>
        </w:rPr>
        <w:lastRenderedPageBreak/>
        <w:t># # #</w:t>
      </w:r>
    </w:p>
    <w:p w14:paraId="702CF53B" w14:textId="77777777" w:rsidR="004272EE" w:rsidRPr="004272EE" w:rsidRDefault="004272EE" w:rsidP="004272EE">
      <w:pPr>
        <w:rPr>
          <w:rFonts w:ascii="Arial" w:eastAsia="Times New Roman" w:hAnsi="Arial" w:cs="Arial"/>
          <w:sz w:val="22"/>
          <w:szCs w:val="22"/>
          <w:shd w:val="clear" w:color="auto" w:fill="FFFFFF"/>
        </w:rPr>
      </w:pPr>
    </w:p>
    <w:p w14:paraId="558ABB14" w14:textId="77777777" w:rsidR="004272EE" w:rsidRPr="004272EE" w:rsidRDefault="004272EE" w:rsidP="004272EE">
      <w:pPr>
        <w:spacing w:after="0"/>
        <w:rPr>
          <w:rFonts w:ascii="Arial" w:eastAsia="Times New Roman" w:hAnsi="Arial" w:cs="Arial"/>
          <w:b/>
          <w:bCs/>
          <w:sz w:val="20"/>
          <w:szCs w:val="20"/>
          <w:shd w:val="clear" w:color="auto" w:fill="FFFFFF"/>
        </w:rPr>
      </w:pPr>
      <w:r>
        <w:rPr>
          <w:rFonts w:ascii="Arial" w:hAnsi="Arial"/>
          <w:b/>
          <w:bCs/>
          <w:sz w:val="20"/>
          <w:szCs w:val="20"/>
          <w:shd w:val="clear" w:color="auto" w:fill="FFFFFF"/>
        </w:rPr>
        <w:t>Lyten 3D Graphene™</w:t>
      </w:r>
    </w:p>
    <w:p w14:paraId="4637BFA3" w14:textId="662F7E28" w:rsidR="004272EE" w:rsidRDefault="004272EE" w:rsidP="004272EE">
      <w:pPr>
        <w:spacing w:after="0"/>
        <w:rPr>
          <w:rFonts w:ascii="Arial" w:eastAsia="Times New Roman" w:hAnsi="Arial" w:cs="Arial"/>
          <w:i/>
          <w:iCs/>
          <w:sz w:val="20"/>
          <w:szCs w:val="20"/>
          <w:shd w:val="clear" w:color="auto" w:fill="FFFFFF"/>
        </w:rPr>
      </w:pPr>
      <w:r>
        <w:rPr>
          <w:rFonts w:ascii="Arial" w:hAnsi="Arial"/>
          <w:i/>
          <w:iCs/>
          <w:sz w:val="20"/>
          <w:szCs w:val="20"/>
          <w:shd w:val="clear" w:color="auto" w:fill="FFFFFF"/>
        </w:rPr>
        <w:t>Lyten 3D Graphene™ è un supermateriale proprietario sintonizzabile per la decarbonizzazione realizzato a partire dal gas naturale. Il 3D Graphene di Lyten è simile al grafene bidimensionale per molte delle sue preziose proprietà,tuttavia il 3D Graphene può essere di gran lunga chimicamente ed elettricamente più reattivo e allo stesso tempo altamente sintonizzabile grazie alla sua morfologia tridimensionale. I processi e le apparecchiature per realizzare materiali in grafene tridimensionale sono invenzioni tecnologiche proprietarie brevettate da Lyten. Lyten intende ampliare la propria produzione iniziale attualmente in corso presso il suo stabilimento di San Jose, in California, e a breve intraprenderà la ricerca di altre sedi per attuare una seconda fase di capacità produttiva.</w:t>
      </w:r>
    </w:p>
    <w:p w14:paraId="425A1573" w14:textId="77777777" w:rsidR="004272EE" w:rsidRPr="004272EE" w:rsidRDefault="004272EE" w:rsidP="004272EE">
      <w:pPr>
        <w:spacing w:after="0"/>
        <w:rPr>
          <w:rFonts w:ascii="Arial" w:eastAsia="Times New Roman" w:hAnsi="Arial" w:cs="Arial"/>
          <w:i/>
          <w:iCs/>
          <w:sz w:val="20"/>
          <w:szCs w:val="20"/>
          <w:shd w:val="clear" w:color="auto" w:fill="FFFFFF"/>
        </w:rPr>
      </w:pPr>
    </w:p>
    <w:p w14:paraId="63BFB418" w14:textId="0AE8ED76" w:rsidR="004272EE" w:rsidRPr="004272EE" w:rsidRDefault="004272EE" w:rsidP="004272EE">
      <w:pPr>
        <w:spacing w:after="0"/>
        <w:rPr>
          <w:rFonts w:ascii="Arial" w:eastAsia="Times New Roman" w:hAnsi="Arial" w:cs="Arial"/>
          <w:b/>
          <w:bCs/>
          <w:sz w:val="20"/>
          <w:szCs w:val="20"/>
          <w:shd w:val="clear" w:color="auto" w:fill="FFFFFF"/>
        </w:rPr>
      </w:pPr>
      <w:r>
        <w:rPr>
          <w:rFonts w:ascii="Arial" w:hAnsi="Arial"/>
          <w:b/>
          <w:bCs/>
          <w:sz w:val="20"/>
          <w:szCs w:val="20"/>
          <w:shd w:val="clear" w:color="auto" w:fill="FFFFFF"/>
        </w:rPr>
        <w:t xml:space="preserve">Batteria al </w:t>
      </w:r>
      <w:r w:rsidR="00302FC1">
        <w:rPr>
          <w:rFonts w:ascii="Arial" w:hAnsi="Arial"/>
          <w:b/>
          <w:bCs/>
          <w:sz w:val="20"/>
          <w:szCs w:val="20"/>
          <w:shd w:val="clear" w:color="auto" w:fill="FFFFFF"/>
        </w:rPr>
        <w:t>L</w:t>
      </w:r>
      <w:r>
        <w:rPr>
          <w:rFonts w:ascii="Arial" w:hAnsi="Arial"/>
          <w:b/>
          <w:bCs/>
          <w:sz w:val="20"/>
          <w:szCs w:val="20"/>
          <w:shd w:val="clear" w:color="auto" w:fill="FFFFFF"/>
        </w:rPr>
        <w:t>itio-</w:t>
      </w:r>
      <w:r w:rsidR="00302FC1">
        <w:rPr>
          <w:rFonts w:ascii="Arial" w:hAnsi="Arial"/>
          <w:b/>
          <w:bCs/>
          <w:sz w:val="20"/>
          <w:szCs w:val="20"/>
          <w:shd w:val="clear" w:color="auto" w:fill="FFFFFF"/>
        </w:rPr>
        <w:t>Z</w:t>
      </w:r>
      <w:r>
        <w:rPr>
          <w:rFonts w:ascii="Arial" w:hAnsi="Arial"/>
          <w:b/>
          <w:bCs/>
          <w:sz w:val="20"/>
          <w:szCs w:val="20"/>
          <w:shd w:val="clear" w:color="auto" w:fill="FFFFFF"/>
        </w:rPr>
        <w:t>olfo LytCell EV™</w:t>
      </w:r>
    </w:p>
    <w:p w14:paraId="4C6CDB6D" w14:textId="14F5BB0A" w:rsidR="004272EE" w:rsidRDefault="004272EE" w:rsidP="004272EE">
      <w:pPr>
        <w:spacing w:after="0"/>
        <w:rPr>
          <w:rFonts w:ascii="Arial" w:eastAsia="Times New Roman" w:hAnsi="Arial" w:cs="Arial"/>
          <w:i/>
          <w:iCs/>
          <w:sz w:val="20"/>
          <w:szCs w:val="20"/>
          <w:shd w:val="clear" w:color="auto" w:fill="FFFFFF"/>
        </w:rPr>
      </w:pPr>
      <w:r>
        <w:rPr>
          <w:rFonts w:ascii="Arial" w:hAnsi="Arial"/>
          <w:i/>
          <w:iCs/>
          <w:sz w:val="20"/>
          <w:szCs w:val="20"/>
          <w:shd w:val="clear" w:color="auto" w:fill="FFFFFF"/>
        </w:rPr>
        <w:t>LytCell™ è una batteria al litio-zolfo proprietaria di Lyten che impiega Lyten 3D Graphene™ per contrastare l'effetto shuttle di produzione di solfuri associato allo zolfo, ottenendo una batteria maggiormente performante con una densità energetica più che doppia e un'autonomia prolungata rispetto alle batterie tradizionali per veicoli elettrici. A differenza delle batterie agli ioni di litio o allo stato solido, LytCell™ non impiega nichel o cobalto, materiali costosi e scarsamente disponibili, e avrà un'impronta di carbonio stimata inferiore di oltre il 60 percento rispetto alle batterie agli ioni di litio e del 40 percento rispetto a quelle allo stato solido. L'approvvigionamento delle materie prime per LytCell avverrà localmente e in modo sostenibile, liberando i costruttori e i consumatori dai rischi legati alla supply chain e da problemi di pratiche estrattive non ecologiche associati ai materiali in ossido di nichel-manganese-cobalto (NMC).</w:t>
      </w:r>
    </w:p>
    <w:p w14:paraId="32153571" w14:textId="77777777" w:rsidR="004272EE" w:rsidRPr="004272EE" w:rsidRDefault="004272EE" w:rsidP="004272EE">
      <w:pPr>
        <w:spacing w:after="0"/>
        <w:rPr>
          <w:rFonts w:ascii="Arial" w:eastAsia="Times New Roman" w:hAnsi="Arial" w:cs="Arial"/>
          <w:i/>
          <w:iCs/>
          <w:sz w:val="20"/>
          <w:szCs w:val="20"/>
          <w:shd w:val="clear" w:color="auto" w:fill="FFFFFF"/>
        </w:rPr>
      </w:pPr>
    </w:p>
    <w:p w14:paraId="3E2A8193" w14:textId="77777777" w:rsidR="004272EE" w:rsidRPr="004272EE" w:rsidRDefault="004272EE" w:rsidP="004272EE">
      <w:pPr>
        <w:spacing w:after="0"/>
        <w:rPr>
          <w:rFonts w:ascii="Arial" w:eastAsia="Times New Roman" w:hAnsi="Arial" w:cs="Arial"/>
          <w:b/>
          <w:bCs/>
          <w:sz w:val="20"/>
          <w:szCs w:val="20"/>
          <w:shd w:val="clear" w:color="auto" w:fill="FFFFFF"/>
        </w:rPr>
      </w:pPr>
      <w:r>
        <w:rPr>
          <w:rFonts w:ascii="Arial" w:hAnsi="Arial"/>
          <w:b/>
          <w:bCs/>
          <w:sz w:val="20"/>
          <w:szCs w:val="20"/>
          <w:shd w:val="clear" w:color="auto" w:fill="FFFFFF"/>
        </w:rPr>
        <w:t>LytR™</w:t>
      </w:r>
    </w:p>
    <w:p w14:paraId="7FB9B16D" w14:textId="72AFFC7A" w:rsidR="004272EE" w:rsidRDefault="004272EE" w:rsidP="004272EE">
      <w:pPr>
        <w:spacing w:after="0"/>
        <w:rPr>
          <w:rFonts w:ascii="Arial" w:eastAsia="Times New Roman" w:hAnsi="Arial" w:cs="Arial"/>
          <w:i/>
          <w:iCs/>
          <w:sz w:val="20"/>
          <w:szCs w:val="20"/>
          <w:shd w:val="clear" w:color="auto" w:fill="FFFFFF"/>
        </w:rPr>
      </w:pPr>
      <w:r>
        <w:rPr>
          <w:rFonts w:ascii="Arial" w:hAnsi="Arial"/>
          <w:i/>
          <w:iCs/>
          <w:sz w:val="20"/>
          <w:szCs w:val="20"/>
          <w:shd w:val="clear" w:color="auto" w:fill="FFFFFF"/>
        </w:rPr>
        <w:t xml:space="preserve">LytR™ è l'esclusiva formulazione termoplastica – infusa con Lyten 3D Graphene™ – di Lyten che riduce fino della metà il peso e i materiali richiesti, allo stesso tempo mantenendo o migliorando la resistenza e le prestazioni. Quando il Lyten 3D Graphene™ viene sintonizzato per la dispersione in polietilene, come avviene con il materiale LytR™, potenzia significativamente le proprietà chimiche e fisiche dei materiali termoplastici, richiedendo pertanto un quantitativo minore di polietilene e riducendo fino del 55% l'impronta di carbonio. </w:t>
      </w:r>
    </w:p>
    <w:p w14:paraId="6475B8A6" w14:textId="77777777" w:rsidR="004272EE" w:rsidRPr="004272EE" w:rsidRDefault="004272EE" w:rsidP="004272EE">
      <w:pPr>
        <w:spacing w:after="0"/>
        <w:rPr>
          <w:rFonts w:ascii="Arial" w:eastAsia="Times New Roman" w:hAnsi="Arial" w:cs="Arial"/>
          <w:i/>
          <w:iCs/>
          <w:sz w:val="20"/>
          <w:szCs w:val="20"/>
          <w:shd w:val="clear" w:color="auto" w:fill="FFFFFF"/>
        </w:rPr>
      </w:pPr>
    </w:p>
    <w:p w14:paraId="11D89850" w14:textId="77777777" w:rsidR="004272EE" w:rsidRPr="004272EE" w:rsidRDefault="004272EE" w:rsidP="004272EE">
      <w:pPr>
        <w:spacing w:after="0"/>
        <w:rPr>
          <w:rFonts w:ascii="Arial" w:eastAsia="Times New Roman" w:hAnsi="Arial" w:cs="Arial"/>
          <w:b/>
          <w:bCs/>
          <w:sz w:val="20"/>
          <w:szCs w:val="20"/>
          <w:shd w:val="clear" w:color="auto" w:fill="FFFFFF"/>
        </w:rPr>
      </w:pPr>
      <w:r>
        <w:rPr>
          <w:rFonts w:ascii="Arial" w:hAnsi="Arial"/>
          <w:b/>
          <w:bCs/>
          <w:sz w:val="20"/>
          <w:szCs w:val="20"/>
          <w:shd w:val="clear" w:color="auto" w:fill="FFFFFF"/>
        </w:rPr>
        <w:t>Lyten</w:t>
      </w:r>
    </w:p>
    <w:p w14:paraId="3D57F653" w14:textId="77777777" w:rsidR="004272EE" w:rsidRPr="004272EE" w:rsidRDefault="004272EE" w:rsidP="004272EE">
      <w:pPr>
        <w:spacing w:after="0"/>
        <w:rPr>
          <w:rFonts w:ascii="Arial" w:eastAsia="Times New Roman" w:hAnsi="Arial" w:cs="Arial"/>
          <w:i/>
          <w:iCs/>
          <w:sz w:val="20"/>
          <w:szCs w:val="20"/>
          <w:shd w:val="clear" w:color="auto" w:fill="FFFFFF"/>
        </w:rPr>
      </w:pPr>
      <w:r>
        <w:rPr>
          <w:rFonts w:ascii="Arial" w:hAnsi="Arial"/>
          <w:i/>
          <w:iCs/>
          <w:sz w:val="20"/>
          <w:szCs w:val="20"/>
          <w:shd w:val="clear" w:color="auto" w:fill="FFFFFF"/>
        </w:rPr>
        <w:t xml:space="preserve">Lyten è un'azienda specializzata in materiali innovativi e relative applicazioni e pioniera nella creazione della piattaforma di materiali Lyten 3D Graphene™. I supermateriali per la decarbonizzazione di Lyten vengono sintonizzati per una vasta gamma di applicazioni, tra cui le batterie al litio-zolfo di prossima generazione per l'impiego nei mercati dell'automotive, aerospaziale, della difesa e altri, il materiale polimerico composito di prossima generazione LytR™ in grado di ridurre fino della metà il quantitativo di plastica utilizzato pur mantenendo la resistenza strutturale e agli impatti, e array di sensori di prossima generazione che aumentano significativamente la sensibilità e la selettività dei rilevamenti per l'impiego in applicazioni per i settori automotive, industriale, sanitario e della sicurezza. </w:t>
      </w:r>
    </w:p>
    <w:p w14:paraId="7291B002" w14:textId="13399A8A" w:rsidR="004272EE" w:rsidRDefault="004272EE" w:rsidP="004272EE">
      <w:pPr>
        <w:spacing w:after="0"/>
        <w:rPr>
          <w:rFonts w:ascii="Arial" w:eastAsia="Times New Roman" w:hAnsi="Arial" w:cs="Arial"/>
          <w:i/>
          <w:iCs/>
          <w:sz w:val="20"/>
          <w:szCs w:val="20"/>
          <w:shd w:val="clear" w:color="auto" w:fill="FFFFFF"/>
        </w:rPr>
      </w:pPr>
      <w:r>
        <w:rPr>
          <w:rFonts w:ascii="Arial" w:hAnsi="Arial"/>
          <w:i/>
          <w:iCs/>
          <w:sz w:val="20"/>
          <w:szCs w:val="20"/>
          <w:shd w:val="clear" w:color="auto" w:fill="FFFFFF"/>
        </w:rPr>
        <w:t>Alla guida di Lyten c'è un gruppo di dirigenti di grande esperienza provenienti dai settori automotive, energetico, delle batterie, dei semiconduttori, manifatturiero e della difesa; l'azienda vanta oltre 300 richieste di brevetti e attualmente è impegnata nella produzione del materiale Lyten 3D Graphene, così come delle sue batterie per veicoli elettrici LytCell™, presso la sede di San Jose, in California. Lyten è stata fondata nel 2015. Per la cartella stampa: lyten.com/media-kit/</w:t>
      </w:r>
    </w:p>
    <w:p w14:paraId="23EA58A1" w14:textId="77777777" w:rsidR="004272EE" w:rsidRPr="004272EE" w:rsidRDefault="004272EE" w:rsidP="004272EE">
      <w:pPr>
        <w:spacing w:after="0"/>
        <w:rPr>
          <w:rFonts w:ascii="Arial" w:eastAsia="Times New Roman" w:hAnsi="Arial" w:cs="Arial"/>
          <w:i/>
          <w:iCs/>
          <w:sz w:val="20"/>
          <w:szCs w:val="20"/>
          <w:shd w:val="clear" w:color="auto" w:fill="FFFFFF"/>
        </w:rPr>
      </w:pPr>
    </w:p>
    <w:p w14:paraId="5A1A1F1B" w14:textId="77777777" w:rsidR="004272EE" w:rsidRPr="004272EE" w:rsidRDefault="004272EE" w:rsidP="004272EE">
      <w:pPr>
        <w:spacing w:after="0"/>
        <w:rPr>
          <w:rFonts w:ascii="Arial" w:eastAsia="Times New Roman" w:hAnsi="Arial" w:cs="Arial"/>
          <w:b/>
          <w:bCs/>
          <w:sz w:val="20"/>
          <w:szCs w:val="20"/>
          <w:shd w:val="clear" w:color="auto" w:fill="FFFFFF"/>
        </w:rPr>
      </w:pPr>
      <w:r>
        <w:rPr>
          <w:rFonts w:ascii="Arial" w:hAnsi="Arial"/>
          <w:b/>
          <w:bCs/>
          <w:sz w:val="20"/>
          <w:szCs w:val="20"/>
          <w:shd w:val="clear" w:color="auto" w:fill="FFFFFF"/>
        </w:rPr>
        <w:t>Stellantis Ventures</w:t>
      </w:r>
    </w:p>
    <w:p w14:paraId="1D865921" w14:textId="7056F0AD" w:rsidR="004272EE" w:rsidRDefault="004272EE" w:rsidP="004272EE">
      <w:pPr>
        <w:spacing w:after="0"/>
        <w:rPr>
          <w:rFonts w:ascii="Arial" w:eastAsia="Times New Roman" w:hAnsi="Arial" w:cs="Arial"/>
          <w:i/>
          <w:iCs/>
          <w:sz w:val="20"/>
          <w:szCs w:val="20"/>
          <w:shd w:val="clear" w:color="auto" w:fill="FFFFFF"/>
        </w:rPr>
      </w:pPr>
      <w:r>
        <w:rPr>
          <w:rFonts w:ascii="Arial" w:hAnsi="Arial"/>
          <w:i/>
          <w:iCs/>
          <w:sz w:val="20"/>
          <w:szCs w:val="20"/>
          <w:shd w:val="clear" w:color="auto" w:fill="FFFFFF"/>
        </w:rPr>
        <w:t xml:space="preserve">Creata con un investimento iniziale di 300 milioni di euro, Stellantis Ventures è il primo fondo di venture capital di Stellantis. Si rivolge a startup early stage e già affermate che sviluppano tecnologie all'avanguardia per i settori automotive e della mobilità e concentrate sul miglioramento dei loro prodotti a vantaggio delle singole persone e della società nel suo complesso. Il fondo ha una duplice missione il cui compimento richiede che le aziende finanziate </w:t>
      </w:r>
      <w:r>
        <w:rPr>
          <w:rFonts w:ascii="Arial" w:hAnsi="Arial"/>
          <w:i/>
          <w:iCs/>
          <w:sz w:val="20"/>
          <w:szCs w:val="20"/>
          <w:shd w:val="clear" w:color="auto" w:fill="FFFFFF"/>
        </w:rPr>
        <w:lastRenderedPageBreak/>
        <w:t>abbiano solide prospettive di crescita sostenibile e realizzino tecnologie con un elevato potenziale di impiego nei prodotti e nelle attività di Stellantis. Supportata da uno degli automaker e mobility provider leader al mondo, Stellantis Ventures gode di una straordinaria posizione per accrescere rapidamente e in modo efficiente il valore delle aziende che compongono il suo portafoglio.</w:t>
      </w:r>
    </w:p>
    <w:p w14:paraId="525C1508" w14:textId="77777777" w:rsidR="004272EE" w:rsidRPr="004272EE" w:rsidRDefault="004272EE" w:rsidP="004272EE">
      <w:pPr>
        <w:spacing w:after="0"/>
        <w:rPr>
          <w:rFonts w:ascii="Arial" w:eastAsia="Times New Roman" w:hAnsi="Arial" w:cs="Arial"/>
          <w:i/>
          <w:iCs/>
          <w:sz w:val="20"/>
          <w:szCs w:val="20"/>
          <w:shd w:val="clear" w:color="auto" w:fill="FFFFFF"/>
        </w:rPr>
      </w:pPr>
    </w:p>
    <w:p w14:paraId="47CF30ED" w14:textId="77777777" w:rsidR="004272EE" w:rsidRPr="004272EE" w:rsidRDefault="004272EE" w:rsidP="004272EE">
      <w:pPr>
        <w:spacing w:after="0"/>
        <w:rPr>
          <w:rFonts w:ascii="Arial" w:eastAsia="Times New Roman" w:hAnsi="Arial" w:cs="Arial"/>
          <w:b/>
          <w:bCs/>
          <w:sz w:val="20"/>
          <w:szCs w:val="20"/>
        </w:rPr>
      </w:pPr>
      <w:r>
        <w:rPr>
          <w:rFonts w:ascii="Arial" w:hAnsi="Arial"/>
          <w:b/>
          <w:bCs/>
          <w:sz w:val="20"/>
          <w:szCs w:val="20"/>
        </w:rPr>
        <w:t>Stellantis</w:t>
      </w:r>
    </w:p>
    <w:p w14:paraId="7294E11E" w14:textId="0C2F6C0E" w:rsidR="004272EE" w:rsidRPr="004272EE" w:rsidRDefault="004272EE" w:rsidP="004272EE">
      <w:pPr>
        <w:pBdr>
          <w:top w:val="nil"/>
          <w:left w:val="nil"/>
          <w:bottom w:val="nil"/>
          <w:right w:val="nil"/>
          <w:between w:val="nil"/>
        </w:pBdr>
        <w:spacing w:after="0"/>
        <w:jc w:val="left"/>
        <w:rPr>
          <w:rFonts w:ascii="Arial" w:eastAsia="Arial" w:hAnsi="Arial" w:cs="Arial"/>
          <w:iCs/>
          <w:color w:val="000000"/>
          <w:sz w:val="20"/>
          <w:szCs w:val="20"/>
        </w:rPr>
      </w:pPr>
      <w:r>
        <w:rPr>
          <w:rFonts w:ascii="Arial" w:hAnsi="Arial"/>
          <w:i/>
          <w:iCs/>
          <w:sz w:val="20"/>
          <w:szCs w:val="20"/>
        </w:rPr>
        <w:t>Stellantis N.V. (NYSE: STLA / Euronext Milan: STLAM / Euronext Paris</w:t>
      </w:r>
      <w:r w:rsidR="00302FC1">
        <w:rPr>
          <w:rFonts w:ascii="Arial" w:hAnsi="Arial"/>
          <w:i/>
          <w:iCs/>
          <w:sz w:val="20"/>
          <w:szCs w:val="20"/>
        </w:rPr>
        <w:t xml:space="preserve"> </w:t>
      </w:r>
      <w:r>
        <w:rPr>
          <w:rFonts w:ascii="Arial" w:hAnsi="Arial"/>
          <w:i/>
          <w:iCs/>
          <w:sz w:val="20"/>
          <w:szCs w:val="20"/>
        </w:rPr>
        <w:t>STLAM: STLAP)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www.stellantis.com.</w:t>
      </w:r>
    </w:p>
    <w:p w14:paraId="7A26DAA1" w14:textId="77777777" w:rsidR="00DF3488" w:rsidRPr="00E241A7" w:rsidRDefault="00DF3488" w:rsidP="00DF3488">
      <w:pPr>
        <w:spacing w:after="0"/>
        <w:jc w:val="left"/>
        <w:rPr>
          <w:rFonts w:ascii="Arial" w:eastAsia="Arial" w:hAnsi="Arial" w:cs="Arial"/>
          <w:b/>
          <w:sz w:val="22"/>
          <w:szCs w:val="22"/>
        </w:rPr>
      </w:pPr>
    </w:p>
    <w:p w14:paraId="09667F5E" w14:textId="4A31A91B" w:rsidR="00211BDA" w:rsidRPr="00E241A7" w:rsidRDefault="00211BDA" w:rsidP="00211BDA">
      <w:pPr>
        <w:spacing w:after="0"/>
        <w:rPr>
          <w:rFonts w:ascii="Arial" w:eastAsia="Arial" w:hAnsi="Arial" w:cs="Arial"/>
          <w:b/>
          <w:sz w:val="22"/>
          <w:szCs w:val="22"/>
        </w:rPr>
      </w:pPr>
      <w:r>
        <w:rPr>
          <w:rFonts w:ascii="Arial" w:hAnsi="Arial"/>
          <w:b/>
          <w:sz w:val="22"/>
          <w:szCs w:val="22"/>
        </w:rPr>
        <w:t>Contatti:</w:t>
      </w:r>
    </w:p>
    <w:p w14:paraId="3C30E1AF" w14:textId="77777777" w:rsidR="00211BDA" w:rsidRPr="00E241A7" w:rsidRDefault="00211BDA" w:rsidP="00211BDA">
      <w:pPr>
        <w:spacing w:after="0"/>
        <w:rPr>
          <w:rFonts w:ascii="Arial" w:eastAsiaTheme="minorEastAsia" w:hAnsi="Arial" w:cs="Arial"/>
          <w:sz w:val="22"/>
          <w:szCs w:val="22"/>
          <w:lang w:val="fr-FR"/>
        </w:rPr>
      </w:pPr>
    </w:p>
    <w:p w14:paraId="7ED2C733" w14:textId="77777777" w:rsidR="00211BDA" w:rsidRPr="00E241A7" w:rsidRDefault="00211BDA" w:rsidP="00211BDA">
      <w:pPr>
        <w:spacing w:after="0"/>
        <w:rPr>
          <w:rFonts w:ascii="Arial" w:hAnsi="Arial" w:cs="Arial"/>
          <w:b/>
          <w:bCs/>
          <w:sz w:val="22"/>
          <w:szCs w:val="22"/>
        </w:rPr>
      </w:pPr>
      <w:bookmarkStart w:id="0" w:name="_Hlk115941120"/>
      <w:r>
        <w:rPr>
          <w:rFonts w:ascii="Arial" w:hAnsi="Arial"/>
          <w:b/>
          <w:bCs/>
          <w:sz w:val="22"/>
          <w:szCs w:val="22"/>
        </w:rPr>
        <w:t>Stellantis</w:t>
      </w:r>
    </w:p>
    <w:p w14:paraId="7730F5DF" w14:textId="77777777" w:rsidR="00211BDA" w:rsidRPr="00E241A7" w:rsidRDefault="00211BDA" w:rsidP="00211BDA">
      <w:pPr>
        <w:spacing w:after="0"/>
        <w:rPr>
          <w:rFonts w:ascii="Arial" w:hAnsi="Arial" w:cs="Arial"/>
          <w:sz w:val="22"/>
          <w:szCs w:val="22"/>
          <w:lang w:val="fr-FR"/>
        </w:rPr>
      </w:pPr>
    </w:p>
    <w:p w14:paraId="2C556014" w14:textId="77777777" w:rsidR="00211BDA" w:rsidRPr="0058020B" w:rsidRDefault="00211BDA" w:rsidP="00211BDA">
      <w:pPr>
        <w:tabs>
          <w:tab w:val="left" w:pos="2592"/>
        </w:tabs>
        <w:spacing w:after="0"/>
        <w:rPr>
          <w:rFonts w:ascii="Arial" w:eastAsia="Arial" w:hAnsi="Arial" w:cs="Arial"/>
          <w:b/>
          <w:bCs/>
          <w:sz w:val="18"/>
          <w:szCs w:val="18"/>
        </w:rPr>
      </w:pPr>
      <w:r>
        <w:rPr>
          <w:rFonts w:ascii="Arial" w:hAnsi="Arial"/>
          <w:b/>
          <w:bCs/>
          <w:sz w:val="18"/>
          <w:szCs w:val="18"/>
        </w:rPr>
        <w:t xml:space="preserve">Fernão Silveira </w:t>
      </w:r>
    </w:p>
    <w:p w14:paraId="6253A0AD" w14:textId="77777777" w:rsidR="00211BDA" w:rsidRPr="00F030D2" w:rsidRDefault="00211BDA" w:rsidP="00211BDA">
      <w:pPr>
        <w:tabs>
          <w:tab w:val="left" w:pos="2592"/>
        </w:tabs>
        <w:spacing w:after="0"/>
        <w:rPr>
          <w:rFonts w:ascii="Arial" w:eastAsia="Arial" w:hAnsi="Arial" w:cs="Arial"/>
          <w:sz w:val="18"/>
          <w:szCs w:val="18"/>
          <w:lang w:val="en-US"/>
        </w:rPr>
      </w:pPr>
      <w:r w:rsidRPr="00F030D2">
        <w:rPr>
          <w:rFonts w:ascii="Arial" w:hAnsi="Arial"/>
          <w:sz w:val="18"/>
          <w:szCs w:val="18"/>
          <w:lang w:val="en-US"/>
        </w:rPr>
        <w:t>Global Communications / Stellantis</w:t>
      </w:r>
    </w:p>
    <w:p w14:paraId="367451AF" w14:textId="77777777" w:rsidR="008E1ACE" w:rsidRPr="00F030D2" w:rsidRDefault="008E1ACE" w:rsidP="00211BDA">
      <w:pPr>
        <w:tabs>
          <w:tab w:val="left" w:pos="2592"/>
        </w:tabs>
        <w:spacing w:after="0"/>
        <w:rPr>
          <w:rFonts w:ascii="Arial" w:eastAsia="Arial" w:hAnsi="Arial" w:cs="Arial"/>
          <w:sz w:val="18"/>
          <w:szCs w:val="18"/>
          <w:lang w:val="en-US"/>
        </w:rPr>
      </w:pPr>
      <w:r w:rsidRPr="00F030D2">
        <w:rPr>
          <w:rFonts w:ascii="Arial" w:hAnsi="Arial"/>
          <w:sz w:val="18"/>
          <w:szCs w:val="18"/>
          <w:lang w:val="en-US"/>
        </w:rPr>
        <w:t>+31 6 43 25 43 41</w:t>
      </w:r>
    </w:p>
    <w:p w14:paraId="3D47FCA4" w14:textId="2471A283" w:rsidR="00211BDA" w:rsidRPr="00F030D2" w:rsidRDefault="00211BDA" w:rsidP="00211BDA">
      <w:pPr>
        <w:tabs>
          <w:tab w:val="left" w:pos="2592"/>
        </w:tabs>
        <w:spacing w:after="0"/>
        <w:rPr>
          <w:rFonts w:ascii="Arial" w:eastAsia="Arial" w:hAnsi="Arial" w:cs="Arial"/>
          <w:sz w:val="18"/>
          <w:szCs w:val="18"/>
          <w:lang w:val="en-US"/>
        </w:rPr>
      </w:pPr>
      <w:r w:rsidRPr="00F030D2">
        <w:rPr>
          <w:rFonts w:ascii="Arial" w:hAnsi="Arial"/>
          <w:sz w:val="18"/>
          <w:szCs w:val="18"/>
          <w:lang w:val="en-US"/>
        </w:rPr>
        <w:t xml:space="preserve">fernao.silveira@stellantis.com </w:t>
      </w:r>
    </w:p>
    <w:bookmarkEnd w:id="0"/>
    <w:p w14:paraId="6FA374A1" w14:textId="77777777" w:rsidR="00D013CE" w:rsidRPr="00F030D2" w:rsidRDefault="00D013CE" w:rsidP="00D013CE">
      <w:pPr>
        <w:tabs>
          <w:tab w:val="left" w:pos="2592"/>
        </w:tabs>
        <w:spacing w:after="0"/>
        <w:rPr>
          <w:rFonts w:ascii="Arial" w:eastAsia="Arial" w:hAnsi="Arial" w:cs="Arial"/>
          <w:b/>
          <w:bCs/>
          <w:sz w:val="22"/>
          <w:szCs w:val="22"/>
          <w:lang w:val="en-US"/>
        </w:rPr>
      </w:pPr>
    </w:p>
    <w:p w14:paraId="62FF7A91" w14:textId="77777777" w:rsidR="00B07E73" w:rsidRPr="00F030D2" w:rsidRDefault="00B07E73" w:rsidP="00211BDA">
      <w:pPr>
        <w:tabs>
          <w:tab w:val="left" w:pos="2592"/>
        </w:tabs>
        <w:spacing w:after="0"/>
        <w:rPr>
          <w:rFonts w:ascii="Arial" w:eastAsia="Arial" w:hAnsi="Arial" w:cs="Arial"/>
          <w:b/>
          <w:bCs/>
          <w:sz w:val="22"/>
          <w:szCs w:val="22"/>
          <w:lang w:val="en-US"/>
        </w:rPr>
      </w:pPr>
    </w:p>
    <w:p w14:paraId="34853F97" w14:textId="5676BAE9" w:rsidR="00C202F5" w:rsidRPr="00E241A7" w:rsidRDefault="004272EE" w:rsidP="00211BDA">
      <w:pPr>
        <w:tabs>
          <w:tab w:val="left" w:pos="2592"/>
        </w:tabs>
        <w:spacing w:after="0"/>
        <w:rPr>
          <w:rFonts w:ascii="Arial" w:eastAsia="Arial" w:hAnsi="Arial" w:cs="Arial"/>
          <w:b/>
          <w:bCs/>
          <w:sz w:val="22"/>
          <w:szCs w:val="22"/>
        </w:rPr>
      </w:pPr>
      <w:r>
        <w:rPr>
          <w:rFonts w:ascii="Arial" w:hAnsi="Arial"/>
          <w:b/>
          <w:bCs/>
          <w:sz w:val="22"/>
          <w:szCs w:val="22"/>
        </w:rPr>
        <w:t>Lyten</w:t>
      </w:r>
    </w:p>
    <w:p w14:paraId="791A6BA4" w14:textId="77777777" w:rsidR="00D013CE" w:rsidRPr="00E241A7" w:rsidRDefault="00D013CE" w:rsidP="00D013CE">
      <w:pPr>
        <w:tabs>
          <w:tab w:val="left" w:pos="2592"/>
        </w:tabs>
        <w:spacing w:after="0"/>
        <w:rPr>
          <w:rFonts w:ascii="Arial" w:eastAsia="Arial" w:hAnsi="Arial" w:cs="Arial"/>
          <w:b/>
          <w:bCs/>
          <w:sz w:val="22"/>
          <w:szCs w:val="22"/>
        </w:rPr>
      </w:pPr>
    </w:p>
    <w:p w14:paraId="550E6CB2" w14:textId="77777777" w:rsidR="00302FC1" w:rsidRPr="00F65C66" w:rsidRDefault="00302FC1" w:rsidP="00302FC1">
      <w:pPr>
        <w:tabs>
          <w:tab w:val="left" w:pos="2592"/>
        </w:tabs>
        <w:spacing w:after="0"/>
        <w:rPr>
          <w:rFonts w:ascii="Arial" w:eastAsia="Arial" w:hAnsi="Arial" w:cs="Arial"/>
          <w:b/>
          <w:bCs/>
          <w:sz w:val="18"/>
          <w:szCs w:val="18"/>
          <w:lang w:val="en-US"/>
        </w:rPr>
      </w:pPr>
      <w:r w:rsidRPr="00F65C66">
        <w:rPr>
          <w:rFonts w:ascii="Arial" w:eastAsia="Arial" w:hAnsi="Arial" w:cs="Arial"/>
          <w:b/>
          <w:bCs/>
          <w:sz w:val="18"/>
          <w:szCs w:val="18"/>
          <w:lang w:val="en-US"/>
        </w:rPr>
        <w:t xml:space="preserve">Bob </w:t>
      </w:r>
      <w:proofErr w:type="spellStart"/>
      <w:r w:rsidRPr="00F65C66">
        <w:rPr>
          <w:rFonts w:ascii="Arial" w:eastAsia="Arial" w:hAnsi="Arial" w:cs="Arial"/>
          <w:b/>
          <w:bCs/>
          <w:sz w:val="18"/>
          <w:szCs w:val="18"/>
          <w:lang w:val="en-US"/>
        </w:rPr>
        <w:t>Zeitlinger</w:t>
      </w:r>
      <w:proofErr w:type="spellEnd"/>
    </w:p>
    <w:p w14:paraId="256CC4E7" w14:textId="77777777" w:rsidR="00302FC1" w:rsidRPr="00F65C66" w:rsidRDefault="00302FC1" w:rsidP="00302FC1">
      <w:pPr>
        <w:tabs>
          <w:tab w:val="left" w:pos="2592"/>
        </w:tabs>
        <w:spacing w:after="0"/>
        <w:rPr>
          <w:rFonts w:ascii="Arial" w:eastAsia="Arial" w:hAnsi="Arial" w:cs="Arial"/>
          <w:sz w:val="18"/>
          <w:szCs w:val="18"/>
          <w:lang w:val="en-US"/>
        </w:rPr>
      </w:pPr>
      <w:r w:rsidRPr="00F65C66">
        <w:rPr>
          <w:rFonts w:ascii="Arial" w:eastAsia="Arial" w:hAnsi="Arial" w:cs="Arial"/>
          <w:sz w:val="18"/>
          <w:szCs w:val="18"/>
          <w:lang w:val="en-US"/>
        </w:rPr>
        <w:t xml:space="preserve">Senior VP, </w:t>
      </w:r>
      <w:proofErr w:type="spellStart"/>
      <w:r w:rsidRPr="00F65C66">
        <w:rPr>
          <w:rFonts w:ascii="Arial" w:eastAsia="Arial" w:hAnsi="Arial" w:cs="Arial"/>
          <w:sz w:val="18"/>
          <w:szCs w:val="18"/>
          <w:lang w:val="en-US"/>
        </w:rPr>
        <w:t>Makovsky</w:t>
      </w:r>
      <w:proofErr w:type="spellEnd"/>
      <w:r w:rsidRPr="00F65C66">
        <w:rPr>
          <w:rFonts w:ascii="Arial" w:eastAsia="Arial" w:hAnsi="Arial" w:cs="Arial"/>
          <w:sz w:val="18"/>
          <w:szCs w:val="18"/>
          <w:lang w:val="en-US"/>
        </w:rPr>
        <w:t xml:space="preserve"> PR</w:t>
      </w:r>
    </w:p>
    <w:p w14:paraId="58CA9C65" w14:textId="77777777" w:rsidR="00302FC1" w:rsidRPr="00F65C66" w:rsidRDefault="00302FC1" w:rsidP="00302FC1">
      <w:pPr>
        <w:rPr>
          <w:rFonts w:ascii="Arial" w:hAnsi="Arial" w:cs="Arial"/>
          <w:sz w:val="18"/>
          <w:szCs w:val="18"/>
          <w:shd w:val="clear" w:color="auto" w:fill="FEFEFE"/>
        </w:rPr>
      </w:pPr>
      <w:r w:rsidRPr="00F65C66">
        <w:rPr>
          <w:rFonts w:ascii="Arial" w:hAnsi="Arial" w:cs="Arial"/>
          <w:sz w:val="18"/>
          <w:szCs w:val="18"/>
          <w:shd w:val="clear" w:color="auto" w:fill="FEFEFE"/>
        </w:rPr>
        <w:t>bzeitlinger@makovsky.com</w:t>
      </w:r>
      <w:r w:rsidRPr="00F65C66">
        <w:rPr>
          <w:rFonts w:ascii="Arial" w:hAnsi="Arial" w:cs="Arial"/>
          <w:sz w:val="18"/>
          <w:szCs w:val="18"/>
        </w:rPr>
        <w:br/>
      </w:r>
      <w:r w:rsidRPr="00F65C66">
        <w:rPr>
          <w:rFonts w:ascii="Arial" w:hAnsi="Arial" w:cs="Arial"/>
          <w:sz w:val="18"/>
          <w:szCs w:val="18"/>
          <w:shd w:val="clear" w:color="auto" w:fill="FEFEFE"/>
        </w:rPr>
        <w:t>(551) 427-7298</w:t>
      </w:r>
    </w:p>
    <w:p w14:paraId="6C24A05C" w14:textId="77777777" w:rsidR="00C202F5" w:rsidRPr="00E241A7" w:rsidRDefault="00C202F5" w:rsidP="00914E09">
      <w:pPr>
        <w:rPr>
          <w:rFonts w:ascii="Arial" w:hAnsi="Arial" w:cs="Arial"/>
          <w:b/>
          <w:bCs/>
          <w:sz w:val="18"/>
          <w:szCs w:val="18"/>
        </w:rPr>
      </w:pPr>
    </w:p>
    <w:p w14:paraId="70B0D9A4" w14:textId="77777777" w:rsidR="007D2596" w:rsidRDefault="007D2596">
      <w:pPr>
        <w:rPr>
          <w:rFonts w:ascii="Arial" w:eastAsia="Encode Sans" w:hAnsi="Arial" w:cs="Arial"/>
          <w:b/>
          <w:bCs/>
          <w:i/>
          <w:sz w:val="18"/>
          <w:szCs w:val="18"/>
        </w:rPr>
      </w:pPr>
      <w:r>
        <w:br w:type="page"/>
      </w:r>
    </w:p>
    <w:p w14:paraId="7EFE1017" w14:textId="291A4AB5" w:rsidR="004F3039" w:rsidRPr="00E241A7" w:rsidRDefault="004F3039" w:rsidP="004F3039">
      <w:pPr>
        <w:spacing w:before="240"/>
        <w:rPr>
          <w:rFonts w:ascii="Arial" w:eastAsia="Encode Sans" w:hAnsi="Arial" w:cs="Arial"/>
          <w:b/>
          <w:bCs/>
          <w:i/>
          <w:sz w:val="18"/>
          <w:szCs w:val="18"/>
        </w:rPr>
      </w:pPr>
      <w:r>
        <w:rPr>
          <w:rFonts w:ascii="Arial" w:hAnsi="Arial"/>
          <w:b/>
          <w:bCs/>
          <w:i/>
          <w:sz w:val="18"/>
          <w:szCs w:val="18"/>
        </w:rPr>
        <w:lastRenderedPageBreak/>
        <w:t>DICHIARAZIONI PREVISIONALI STELLANTIS</w:t>
      </w:r>
    </w:p>
    <w:p w14:paraId="1EB6F988" w14:textId="77777777" w:rsidR="0058020B" w:rsidRPr="0058020B" w:rsidRDefault="0058020B" w:rsidP="0058020B">
      <w:pPr>
        <w:spacing w:before="240"/>
        <w:rPr>
          <w:rFonts w:ascii="Arial" w:eastAsia="Encode Sans" w:hAnsi="Arial" w:cs="Arial"/>
          <w:i/>
          <w:sz w:val="18"/>
          <w:szCs w:val="18"/>
        </w:rPr>
      </w:pPr>
      <w:r>
        <w:rPr>
          <w:rFonts w:ascii="Arial" w:hAnsi="Arial"/>
          <w:i/>
          <w:sz w:val="18"/>
          <w:szCs w:val="18"/>
        </w:rPr>
        <w:t>La presente comunicazione contiene dichiarazioni previsionali. In particolare, sono dichiarazioni previsionali le dichiarazioni riguardanti eventi futuri e risultati previsti delle operazioni, strategie aziendali, previsione dei benefici ottenuti dalla transazione proposta, risultati finanziari e operativi futuri, data di chiusura prevista per la transazione proposta e gli altri aspetti previsti relativamente alle nostre operazioni o ai nostri risultati operativi. Tali dichiarazioni possono includere i termini come “possono”, “saranno”, "prevedono", "potrebbero", "dovrebbero", "intendono", "stimano", "anticipano", "credono", "rimangono", "sulla buona strada", "progettano", "obiettivo", "previsione", "proiezione", "prospettiva", "prospettive", "piano" o termini simili. Le dichiarazioni previsionali non costituiscono garanzia di prestazioni future. Piuttosto, si basano sullo stato attuale delle conoscenze di Stellantis, su aspettative future e proiezioni di eventi futuri e sono, per loro natura, soggette a rischi e incertezze intrinseche. Si riferiscono a eventi e dipendono da circostanze che possono o non possono verificarsi o esistere in futuro. Pertanto, che non dovrebbero essere oggetto di eccessivo affidamento.</w:t>
      </w:r>
    </w:p>
    <w:p w14:paraId="6C8F939F" w14:textId="4A17C64D" w:rsidR="0058020B" w:rsidRPr="0058020B" w:rsidRDefault="0058020B" w:rsidP="0058020B">
      <w:pPr>
        <w:spacing w:before="240"/>
        <w:rPr>
          <w:rFonts w:ascii="Arial" w:eastAsia="Encode Sans" w:hAnsi="Arial" w:cs="Arial"/>
          <w:i/>
          <w:sz w:val="18"/>
          <w:szCs w:val="18"/>
        </w:rPr>
      </w:pPr>
      <w:r>
        <w:rPr>
          <w:rFonts w:ascii="Arial" w:hAnsi="Arial"/>
          <w:i/>
          <w:sz w:val="18"/>
          <w:szCs w:val="18"/>
        </w:rPr>
        <w:t>I risultati effettivi potrebbero differire materialmente da quelli espressi nelle dichiarazioni previsionali quale risultato di una molteplicità di fattori, inclusi: impatto della pandemia da COVID-19, capacità di Stellantis di lanciare nuovi prodotti con successo e di mantenere i volumi di consegna dei veicoli; cambiamenti nei mercati finanziari globali nel contesto economico generale e modifiche nella domanda di prodotti automobilistici, soggetta a ciclicità; cambiamenti delle condizioni economiche e politiche locali, cambiamenti delle politiche commerciali e imposizione di dazi a livello globale e regionale o dazi mirati all’industria automobilistica, attuazione di riforme fiscali o altre variazioni nelle normative e regolamentazioni fiscali; la capacità di Stellantis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elevato livello di concorrenza nel settore automobilistico, che potrebbe aumentare a causa di consolidamenti; potenziale carenza nel finanziamento dei piani pensionistici di Stellantis; capacità di fornire o organizzare l’accesso a finanziamenti adeguati per i concessionari e i clienti finali e i rischi associati alla costituzione e alle operazioni di società di servizi finanziari; capacità di accedere a finanziamenti per realizzare i piani industriali di Stellantis e migliorare le attività, la situazione finanziaria e i risultati operativi; significativo malfunzionamento, interruzione o violazione della sicurezza che possa compromettere i sistemi di information technology o i sistemi di controllo elettronico contenuti nei veicoli di Stellantis; capacità di Stellantis di realizzare i benefici previsti dagli accordi di joint venture; interruzioni dovute a instabilità politica, sociale ed economica; rischi associati alle relazioni con dipendenti, concessionari e fornitori; aumenti dei costi, interruzioni di forniture o carenza di materie prime, parti, componenti e sistemi utilizzati nei veicoli di Stellantis; sviluppi in relazioni sindacali, industriali e nella normativa del lavoro; fluttuazioni dei tassi di cambio, variazioni dai tassi di interesse, rischio di credito e altri rischi di mercato; tensioni politiche e sociali; terremoti o altri disastri; rischi e altri elementi descritti nella Relazione annuale dell’Azienda sul Modulo 20-F per l’anno conclusosi il 31 dicembre 2022 e nelle Relazioni correnti sul Modulo 6-K e relative modifiche depositate presso la SEC; e altri rischi e incertezze.</w:t>
      </w:r>
    </w:p>
    <w:p w14:paraId="02BA3761" w14:textId="0D1F48C0" w:rsidR="0058020B" w:rsidRDefault="0058020B" w:rsidP="0058020B">
      <w:pPr>
        <w:spacing w:before="240"/>
        <w:rPr>
          <w:rFonts w:ascii="Arial" w:eastAsia="Encode Sans" w:hAnsi="Arial" w:cs="Arial"/>
          <w:i/>
          <w:sz w:val="18"/>
          <w:szCs w:val="18"/>
        </w:rPr>
      </w:pPr>
      <w:r>
        <w:rPr>
          <w:rFonts w:ascii="Arial" w:hAnsi="Arial"/>
          <w:i/>
          <w:sz w:val="18"/>
          <w:szCs w:val="18"/>
        </w:rPr>
        <w:t>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p w14:paraId="4FDEE555" w14:textId="77777777" w:rsidR="00C77EDC" w:rsidRPr="00E241A7" w:rsidRDefault="00C77EDC" w:rsidP="00C77EDC">
      <w:pPr>
        <w:rPr>
          <w:rFonts w:ascii="Arial" w:eastAsia="Encode Sans" w:hAnsi="Arial" w:cs="Arial"/>
          <w:i/>
          <w:sz w:val="18"/>
          <w:szCs w:val="18"/>
        </w:rPr>
      </w:pPr>
    </w:p>
    <w:p w14:paraId="1E760339" w14:textId="77777777" w:rsidR="00C77EDC" w:rsidRPr="00E241A7" w:rsidRDefault="00C77EDC" w:rsidP="004F3039">
      <w:pPr>
        <w:spacing w:before="240"/>
        <w:rPr>
          <w:rFonts w:ascii="Arial" w:hAnsi="Arial" w:cs="Arial"/>
          <w:b/>
          <w:i/>
          <w:sz w:val="16"/>
          <w:szCs w:val="16"/>
        </w:rPr>
      </w:pPr>
    </w:p>
    <w:sectPr w:rsidR="00C77EDC" w:rsidRPr="00E241A7" w:rsidSect="00C202F5">
      <w:footerReference w:type="default" r:id="rId14"/>
      <w:headerReference w:type="first" r:id="rId15"/>
      <w:pgSz w:w="12242" w:h="15842"/>
      <w:pgMar w:top="1134" w:right="1928" w:bottom="1134"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2C1A" w14:textId="77777777" w:rsidR="006712D2" w:rsidRDefault="006712D2">
      <w:pPr>
        <w:spacing w:after="0"/>
      </w:pPr>
      <w:r>
        <w:separator/>
      </w:r>
    </w:p>
  </w:endnote>
  <w:endnote w:type="continuationSeparator" w:id="0">
    <w:p w14:paraId="6CC000E9" w14:textId="77777777" w:rsidR="006712D2" w:rsidRDefault="00671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 Expanded">
    <w:altName w:val="Cambria"/>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altName w:val="Calibri"/>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C68A" w14:textId="77777777" w:rsidR="006712D2" w:rsidRDefault="006712D2">
      <w:pPr>
        <w:spacing w:after="0"/>
      </w:pPr>
      <w:r>
        <w:separator/>
      </w:r>
    </w:p>
  </w:footnote>
  <w:footnote w:type="continuationSeparator" w:id="0">
    <w:p w14:paraId="76A27992" w14:textId="77777777" w:rsidR="006712D2" w:rsidRDefault="006712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608" w14:textId="6CCE2EDD" w:rsidR="00E241A7" w:rsidRDefault="00881461" w:rsidP="00881461">
    <w:pPr>
      <w:pStyle w:val="Header"/>
      <w:jc w:val="both"/>
    </w:pPr>
    <w:r>
      <w:rPr>
        <w:noProof/>
      </w:rPr>
      <w:drawing>
        <wp:anchor distT="0" distB="0" distL="114300" distR="114300" simplePos="0" relativeHeight="251658240" behindDoc="0" locked="0" layoutInCell="1" allowOverlap="1" wp14:anchorId="3EC7B410" wp14:editId="00C1E6C9">
          <wp:simplePos x="0" y="0"/>
          <wp:positionH relativeFrom="column">
            <wp:posOffset>2919095</wp:posOffset>
          </wp:positionH>
          <wp:positionV relativeFrom="paragraph">
            <wp:posOffset>161290</wp:posOffset>
          </wp:positionV>
          <wp:extent cx="2476500" cy="295275"/>
          <wp:effectExtent l="0" t="0" r="0" b="9525"/>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76500" cy="2952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8D86E97" wp14:editId="5A1BE7CC">
          <wp:extent cx="2266950" cy="722309"/>
          <wp:effectExtent l="0" t="0" r="0" b="0"/>
          <wp:docPr id="1" name="Picture 1" descr="A picture containing font, graphics,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screenshot, graphic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15514" cy="73778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69D7"/>
    <w:multiLevelType w:val="hybridMultilevel"/>
    <w:tmpl w:val="30742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54704591">
    <w:abstractNumId w:val="1"/>
  </w:num>
  <w:num w:numId="2" w16cid:durableId="176359381">
    <w:abstractNumId w:val="2"/>
  </w:num>
  <w:num w:numId="3" w16cid:durableId="307322999">
    <w:abstractNumId w:val="3"/>
  </w:num>
  <w:num w:numId="4" w16cid:durableId="51599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39C"/>
    <w:rsid w:val="000127F3"/>
    <w:rsid w:val="00015FDB"/>
    <w:rsid w:val="00020A0F"/>
    <w:rsid w:val="00023B89"/>
    <w:rsid w:val="000403C6"/>
    <w:rsid w:val="00044E26"/>
    <w:rsid w:val="00045958"/>
    <w:rsid w:val="00050B5D"/>
    <w:rsid w:val="0006441F"/>
    <w:rsid w:val="000661DE"/>
    <w:rsid w:val="0008041C"/>
    <w:rsid w:val="00081F0A"/>
    <w:rsid w:val="000833E0"/>
    <w:rsid w:val="000850F7"/>
    <w:rsid w:val="00096BB8"/>
    <w:rsid w:val="000B0968"/>
    <w:rsid w:val="000B2E42"/>
    <w:rsid w:val="000C5A52"/>
    <w:rsid w:val="000D07E0"/>
    <w:rsid w:val="000D0AC3"/>
    <w:rsid w:val="000F7479"/>
    <w:rsid w:val="00100E33"/>
    <w:rsid w:val="0011344A"/>
    <w:rsid w:val="00115CA3"/>
    <w:rsid w:val="00123307"/>
    <w:rsid w:val="00134F8D"/>
    <w:rsid w:val="001363A9"/>
    <w:rsid w:val="00136AC8"/>
    <w:rsid w:val="001379DC"/>
    <w:rsid w:val="001408C0"/>
    <w:rsid w:val="0016045E"/>
    <w:rsid w:val="00162B39"/>
    <w:rsid w:val="00172B2C"/>
    <w:rsid w:val="00176A69"/>
    <w:rsid w:val="0019432C"/>
    <w:rsid w:val="00195133"/>
    <w:rsid w:val="001A14C2"/>
    <w:rsid w:val="001A25FF"/>
    <w:rsid w:val="001A3B61"/>
    <w:rsid w:val="001B7F90"/>
    <w:rsid w:val="001C1D40"/>
    <w:rsid w:val="001D10B3"/>
    <w:rsid w:val="001D2376"/>
    <w:rsid w:val="001D24A4"/>
    <w:rsid w:val="001E145E"/>
    <w:rsid w:val="001E5A7A"/>
    <w:rsid w:val="00202659"/>
    <w:rsid w:val="0020268D"/>
    <w:rsid w:val="00206526"/>
    <w:rsid w:val="002074AC"/>
    <w:rsid w:val="002079A4"/>
    <w:rsid w:val="00211BDA"/>
    <w:rsid w:val="00214934"/>
    <w:rsid w:val="00217E8C"/>
    <w:rsid w:val="002232A1"/>
    <w:rsid w:val="00243FC4"/>
    <w:rsid w:val="00245789"/>
    <w:rsid w:val="00247709"/>
    <w:rsid w:val="0025678C"/>
    <w:rsid w:val="00263AD6"/>
    <w:rsid w:val="00267761"/>
    <w:rsid w:val="00287CED"/>
    <w:rsid w:val="002B72BF"/>
    <w:rsid w:val="002C77BE"/>
    <w:rsid w:val="002D1821"/>
    <w:rsid w:val="002D43AD"/>
    <w:rsid w:val="002D67E6"/>
    <w:rsid w:val="002D6E8E"/>
    <w:rsid w:val="002E3C8F"/>
    <w:rsid w:val="002E69CE"/>
    <w:rsid w:val="002F25E1"/>
    <w:rsid w:val="003011A4"/>
    <w:rsid w:val="00302FC1"/>
    <w:rsid w:val="003062BC"/>
    <w:rsid w:val="00306BC9"/>
    <w:rsid w:val="003118AB"/>
    <w:rsid w:val="0034475B"/>
    <w:rsid w:val="003712EF"/>
    <w:rsid w:val="00374F28"/>
    <w:rsid w:val="0037579C"/>
    <w:rsid w:val="003C0EBE"/>
    <w:rsid w:val="003C5A36"/>
    <w:rsid w:val="003D21DF"/>
    <w:rsid w:val="003D756D"/>
    <w:rsid w:val="00401F74"/>
    <w:rsid w:val="00410120"/>
    <w:rsid w:val="00413E9B"/>
    <w:rsid w:val="0041544A"/>
    <w:rsid w:val="00422856"/>
    <w:rsid w:val="00424B0D"/>
    <w:rsid w:val="004272EE"/>
    <w:rsid w:val="00430EF7"/>
    <w:rsid w:val="00432165"/>
    <w:rsid w:val="004346A3"/>
    <w:rsid w:val="004431D4"/>
    <w:rsid w:val="00481F4D"/>
    <w:rsid w:val="00492DDE"/>
    <w:rsid w:val="00495D4A"/>
    <w:rsid w:val="004977D2"/>
    <w:rsid w:val="004A6921"/>
    <w:rsid w:val="004B14A5"/>
    <w:rsid w:val="004C37B7"/>
    <w:rsid w:val="004C48ED"/>
    <w:rsid w:val="004D60BA"/>
    <w:rsid w:val="004E29EF"/>
    <w:rsid w:val="004E387D"/>
    <w:rsid w:val="004E3DDE"/>
    <w:rsid w:val="004F0A2C"/>
    <w:rsid w:val="004F2150"/>
    <w:rsid w:val="004F3039"/>
    <w:rsid w:val="004F3BE9"/>
    <w:rsid w:val="004F468E"/>
    <w:rsid w:val="004F7329"/>
    <w:rsid w:val="005062F7"/>
    <w:rsid w:val="005073F1"/>
    <w:rsid w:val="005079D0"/>
    <w:rsid w:val="00512922"/>
    <w:rsid w:val="00516057"/>
    <w:rsid w:val="00525726"/>
    <w:rsid w:val="00547AF9"/>
    <w:rsid w:val="0055767E"/>
    <w:rsid w:val="00563469"/>
    <w:rsid w:val="00572D4A"/>
    <w:rsid w:val="0058020B"/>
    <w:rsid w:val="0058367F"/>
    <w:rsid w:val="005872A0"/>
    <w:rsid w:val="00594BD8"/>
    <w:rsid w:val="0059767C"/>
    <w:rsid w:val="005B0E86"/>
    <w:rsid w:val="005C533B"/>
    <w:rsid w:val="005E0949"/>
    <w:rsid w:val="005E4EB5"/>
    <w:rsid w:val="00603F18"/>
    <w:rsid w:val="0061766E"/>
    <w:rsid w:val="00625C11"/>
    <w:rsid w:val="006262D2"/>
    <w:rsid w:val="00627EDB"/>
    <w:rsid w:val="00631BCB"/>
    <w:rsid w:val="006616BE"/>
    <w:rsid w:val="006679B2"/>
    <w:rsid w:val="006712D2"/>
    <w:rsid w:val="00675377"/>
    <w:rsid w:val="00677729"/>
    <w:rsid w:val="00680D18"/>
    <w:rsid w:val="006863D0"/>
    <w:rsid w:val="006B0CEC"/>
    <w:rsid w:val="006B2EB2"/>
    <w:rsid w:val="006C58BE"/>
    <w:rsid w:val="0071156E"/>
    <w:rsid w:val="0071381F"/>
    <w:rsid w:val="007376E7"/>
    <w:rsid w:val="00745364"/>
    <w:rsid w:val="00745A7B"/>
    <w:rsid w:val="00752F66"/>
    <w:rsid w:val="0076578D"/>
    <w:rsid w:val="00771DF0"/>
    <w:rsid w:val="00786615"/>
    <w:rsid w:val="00794DDC"/>
    <w:rsid w:val="007A17A2"/>
    <w:rsid w:val="007A1CD0"/>
    <w:rsid w:val="007A4423"/>
    <w:rsid w:val="007B6622"/>
    <w:rsid w:val="007B698C"/>
    <w:rsid w:val="007C5570"/>
    <w:rsid w:val="007D2596"/>
    <w:rsid w:val="007F0624"/>
    <w:rsid w:val="007F30E2"/>
    <w:rsid w:val="007F55F6"/>
    <w:rsid w:val="008018C5"/>
    <w:rsid w:val="008170F0"/>
    <w:rsid w:val="00826BB5"/>
    <w:rsid w:val="00837A76"/>
    <w:rsid w:val="008535C7"/>
    <w:rsid w:val="00854542"/>
    <w:rsid w:val="00854923"/>
    <w:rsid w:val="00861B7A"/>
    <w:rsid w:val="00881461"/>
    <w:rsid w:val="00881AB2"/>
    <w:rsid w:val="00894729"/>
    <w:rsid w:val="0089621D"/>
    <w:rsid w:val="0089685C"/>
    <w:rsid w:val="008A0E8A"/>
    <w:rsid w:val="008B0A0F"/>
    <w:rsid w:val="008B2BF5"/>
    <w:rsid w:val="008C1D92"/>
    <w:rsid w:val="008C60D4"/>
    <w:rsid w:val="008D26D0"/>
    <w:rsid w:val="008E1ACE"/>
    <w:rsid w:val="008F269A"/>
    <w:rsid w:val="008F4551"/>
    <w:rsid w:val="00907495"/>
    <w:rsid w:val="00913FCE"/>
    <w:rsid w:val="00914E09"/>
    <w:rsid w:val="00914ED6"/>
    <w:rsid w:val="00925DB9"/>
    <w:rsid w:val="00945F1A"/>
    <w:rsid w:val="00960076"/>
    <w:rsid w:val="00964EE7"/>
    <w:rsid w:val="00967C88"/>
    <w:rsid w:val="00970E01"/>
    <w:rsid w:val="00971F64"/>
    <w:rsid w:val="00980D9E"/>
    <w:rsid w:val="00983E1A"/>
    <w:rsid w:val="00990BE3"/>
    <w:rsid w:val="00991B50"/>
    <w:rsid w:val="00996297"/>
    <w:rsid w:val="00997486"/>
    <w:rsid w:val="0099793C"/>
    <w:rsid w:val="009A2719"/>
    <w:rsid w:val="009A5024"/>
    <w:rsid w:val="009B0CB9"/>
    <w:rsid w:val="009B2260"/>
    <w:rsid w:val="009B3485"/>
    <w:rsid w:val="009B5C3F"/>
    <w:rsid w:val="009C39C6"/>
    <w:rsid w:val="009C4A55"/>
    <w:rsid w:val="009D083B"/>
    <w:rsid w:val="009D5DC6"/>
    <w:rsid w:val="009D782E"/>
    <w:rsid w:val="009D7CB7"/>
    <w:rsid w:val="009E385B"/>
    <w:rsid w:val="009F76F2"/>
    <w:rsid w:val="00A10206"/>
    <w:rsid w:val="00A10846"/>
    <w:rsid w:val="00A143B2"/>
    <w:rsid w:val="00A1710C"/>
    <w:rsid w:val="00A237F3"/>
    <w:rsid w:val="00A42F8E"/>
    <w:rsid w:val="00A579FB"/>
    <w:rsid w:val="00A61578"/>
    <w:rsid w:val="00A70AB9"/>
    <w:rsid w:val="00A816C8"/>
    <w:rsid w:val="00A906F0"/>
    <w:rsid w:val="00A93804"/>
    <w:rsid w:val="00A9686E"/>
    <w:rsid w:val="00A976CF"/>
    <w:rsid w:val="00AB0FFA"/>
    <w:rsid w:val="00AB1778"/>
    <w:rsid w:val="00AB426B"/>
    <w:rsid w:val="00AC30B9"/>
    <w:rsid w:val="00AD12DA"/>
    <w:rsid w:val="00AD7B93"/>
    <w:rsid w:val="00AE10BF"/>
    <w:rsid w:val="00AE34AF"/>
    <w:rsid w:val="00AF5DF3"/>
    <w:rsid w:val="00B07E73"/>
    <w:rsid w:val="00B272C1"/>
    <w:rsid w:val="00B27345"/>
    <w:rsid w:val="00B31E73"/>
    <w:rsid w:val="00B41B60"/>
    <w:rsid w:val="00B46A84"/>
    <w:rsid w:val="00B523FB"/>
    <w:rsid w:val="00B54574"/>
    <w:rsid w:val="00B57822"/>
    <w:rsid w:val="00B61CF3"/>
    <w:rsid w:val="00B73C7C"/>
    <w:rsid w:val="00B901C8"/>
    <w:rsid w:val="00BC4685"/>
    <w:rsid w:val="00BD6882"/>
    <w:rsid w:val="00BD74C3"/>
    <w:rsid w:val="00BD7665"/>
    <w:rsid w:val="00BE126A"/>
    <w:rsid w:val="00BE75A5"/>
    <w:rsid w:val="00C00E9B"/>
    <w:rsid w:val="00C045F6"/>
    <w:rsid w:val="00C202F5"/>
    <w:rsid w:val="00C24901"/>
    <w:rsid w:val="00C334EF"/>
    <w:rsid w:val="00C34D75"/>
    <w:rsid w:val="00C35BE9"/>
    <w:rsid w:val="00C42C0B"/>
    <w:rsid w:val="00C520FA"/>
    <w:rsid w:val="00C566C4"/>
    <w:rsid w:val="00C61685"/>
    <w:rsid w:val="00C77EDC"/>
    <w:rsid w:val="00C818B8"/>
    <w:rsid w:val="00C87382"/>
    <w:rsid w:val="00CA254B"/>
    <w:rsid w:val="00CA3AFC"/>
    <w:rsid w:val="00CA420F"/>
    <w:rsid w:val="00CB19A5"/>
    <w:rsid w:val="00CB3E70"/>
    <w:rsid w:val="00CC15FE"/>
    <w:rsid w:val="00CC5C47"/>
    <w:rsid w:val="00CD319D"/>
    <w:rsid w:val="00CD461A"/>
    <w:rsid w:val="00CE4AD9"/>
    <w:rsid w:val="00D013CE"/>
    <w:rsid w:val="00D019D7"/>
    <w:rsid w:val="00D0352B"/>
    <w:rsid w:val="00D05AB7"/>
    <w:rsid w:val="00D06C0E"/>
    <w:rsid w:val="00D22E38"/>
    <w:rsid w:val="00D3455C"/>
    <w:rsid w:val="00D40E54"/>
    <w:rsid w:val="00D41FFA"/>
    <w:rsid w:val="00D47A5A"/>
    <w:rsid w:val="00D77EEF"/>
    <w:rsid w:val="00D878B6"/>
    <w:rsid w:val="00D90200"/>
    <w:rsid w:val="00DA44D2"/>
    <w:rsid w:val="00DB3712"/>
    <w:rsid w:val="00DB7F49"/>
    <w:rsid w:val="00DC4B9C"/>
    <w:rsid w:val="00DD5F91"/>
    <w:rsid w:val="00DF0988"/>
    <w:rsid w:val="00DF3488"/>
    <w:rsid w:val="00DF61C4"/>
    <w:rsid w:val="00E11EDF"/>
    <w:rsid w:val="00E13473"/>
    <w:rsid w:val="00E145EF"/>
    <w:rsid w:val="00E15211"/>
    <w:rsid w:val="00E16A57"/>
    <w:rsid w:val="00E241A7"/>
    <w:rsid w:val="00E36F4A"/>
    <w:rsid w:val="00E402E3"/>
    <w:rsid w:val="00E46862"/>
    <w:rsid w:val="00E55D06"/>
    <w:rsid w:val="00E653B0"/>
    <w:rsid w:val="00E669FB"/>
    <w:rsid w:val="00E759EE"/>
    <w:rsid w:val="00E76235"/>
    <w:rsid w:val="00E83264"/>
    <w:rsid w:val="00E877EC"/>
    <w:rsid w:val="00E87F6E"/>
    <w:rsid w:val="00E97FB7"/>
    <w:rsid w:val="00EB4114"/>
    <w:rsid w:val="00EB585F"/>
    <w:rsid w:val="00EC46E6"/>
    <w:rsid w:val="00EC481A"/>
    <w:rsid w:val="00EC4F3A"/>
    <w:rsid w:val="00EE3906"/>
    <w:rsid w:val="00EF0351"/>
    <w:rsid w:val="00F029CF"/>
    <w:rsid w:val="00F030D2"/>
    <w:rsid w:val="00F073F5"/>
    <w:rsid w:val="00F1190D"/>
    <w:rsid w:val="00F1317B"/>
    <w:rsid w:val="00F13216"/>
    <w:rsid w:val="00F15C59"/>
    <w:rsid w:val="00F2385D"/>
    <w:rsid w:val="00F430AA"/>
    <w:rsid w:val="00F43483"/>
    <w:rsid w:val="00F455C0"/>
    <w:rsid w:val="00F529C5"/>
    <w:rsid w:val="00F5359D"/>
    <w:rsid w:val="00F557CF"/>
    <w:rsid w:val="00F55FA4"/>
    <w:rsid w:val="00F6243A"/>
    <w:rsid w:val="00F62C02"/>
    <w:rsid w:val="00F62C38"/>
    <w:rsid w:val="00F65C66"/>
    <w:rsid w:val="00F72EB4"/>
    <w:rsid w:val="00F75BDD"/>
    <w:rsid w:val="00F76B60"/>
    <w:rsid w:val="00F76C4A"/>
    <w:rsid w:val="00F77D35"/>
    <w:rsid w:val="00F8008C"/>
    <w:rsid w:val="00F801FE"/>
    <w:rsid w:val="00F922D5"/>
    <w:rsid w:val="00F93D65"/>
    <w:rsid w:val="00F9493A"/>
    <w:rsid w:val="00FA2B35"/>
    <w:rsid w:val="00FA3E38"/>
    <w:rsid w:val="00FB40A5"/>
    <w:rsid w:val="00FB58AF"/>
    <w:rsid w:val="00FD3C15"/>
    <w:rsid w:val="00FD7529"/>
    <w:rsid w:val="00FE2429"/>
    <w:rsid w:val="00FE73C3"/>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it-IT"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it-IT"/>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it-IT"/>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it-IT"/>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 w:id="175139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it/responsabilita/strategia-carbon-net-ze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it/il-gruppo/dare-forward-20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CD06DB4FF6549973422D366D948C5" ma:contentTypeVersion="2" ma:contentTypeDescription="Create a new document." ma:contentTypeScope="" ma:versionID="3a5fe0a2235e6a035c1f9df453d97e53">
  <xsd:schema xmlns:xsd="http://www.w3.org/2001/XMLSchema" xmlns:xs="http://www.w3.org/2001/XMLSchema" xmlns:p="http://schemas.microsoft.com/office/2006/metadata/properties" xmlns:ns3="b4433625-0c24-41a9-bdfa-68617b5dd8eb" targetNamespace="http://schemas.microsoft.com/office/2006/metadata/properties" ma:root="true" ma:fieldsID="9aacc4901b0ac5600e8b0be9c03819b0" ns3:_="">
    <xsd:import namespace="b4433625-0c24-41a9-bdfa-68617b5dd8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33625-0c24-41a9-bdfa-68617b5dd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Props1.xml><?xml version="1.0" encoding="utf-8"?>
<ds:datastoreItem xmlns:ds="http://schemas.openxmlformats.org/officeDocument/2006/customXml" ds:itemID="{8B72182F-326B-470F-83F9-C67FAB16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33625-0c24-41a9-bdfa-68617b5d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2627</Words>
  <Characters>14976</Characters>
  <Application>Microsoft Office Word</Application>
  <DocSecurity>0</DocSecurity>
  <Lines>124</Lines>
  <Paragraphs>35</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FCA US</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KAILEEN</cp:lastModifiedBy>
  <cp:revision>2</cp:revision>
  <cp:lastPrinted>2023-04-14T03:32:00Z</cp:lastPrinted>
  <dcterms:created xsi:type="dcterms:W3CDTF">2023-05-25T08:50:00Z</dcterms:created>
  <dcterms:modified xsi:type="dcterms:W3CDTF">2023-05-25T08:50:00Z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0x01010010DCD06DB4FF6549973422D366D948C5</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y fmtid="{D5CDD505-2E9C-101B-9397-08002B2CF9AE}" pid="12" name="_NewReviewCycle">
    <vt:lpwstr/>
  </property>
  <property fmtid="{D5CDD505-2E9C-101B-9397-08002B2CF9AE}" pid="13" name="GrammarlyDocumentId">
    <vt:lpwstr>d7cff3caea233ec580b738a2523f845cce4e3a3842a284f86d04936a492e3310</vt:lpwstr>
  </property>
</Properties>
</file>